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1B" w:rsidRDefault="00EB6E6F">
      <w:pPr>
        <w:spacing w:line="360" w:lineRule="auto"/>
        <w:ind w:firstLineChars="200" w:firstLine="640"/>
        <w:outlineLvl w:val="0"/>
        <w:rPr>
          <w:rFonts w:ascii="Times New Roman" w:eastAsia="仿宋_GB2312" w:hAnsi="Times New Roman"/>
          <w:sz w:val="32"/>
          <w:szCs w:val="32"/>
        </w:rPr>
      </w:pPr>
      <w:bookmarkStart w:id="0" w:name="_Toc63081460"/>
      <w:bookmarkStart w:id="1" w:name="_Toc28508"/>
      <w:r>
        <w:rPr>
          <w:rFonts w:ascii="Times New Roman" w:eastAsia="仿宋_GB2312" w:hAnsi="Times New Roman" w:hint="eastAsia"/>
          <w:sz w:val="32"/>
          <w:szCs w:val="32"/>
        </w:rPr>
        <w:t>附表</w:t>
      </w:r>
      <w:r>
        <w:rPr>
          <w:rFonts w:ascii="Times New Roman" w:eastAsia="仿宋_GB2312" w:hAnsi="Times New Roman" w:hint="eastAsia"/>
          <w:sz w:val="32"/>
          <w:szCs w:val="32"/>
        </w:rPr>
        <w:t>5</w:t>
      </w:r>
      <w:bookmarkEnd w:id="0"/>
      <w:bookmarkEnd w:id="1"/>
    </w:p>
    <w:p w:rsidR="0020761B" w:rsidRDefault="00EB6E6F">
      <w:pPr>
        <w:spacing w:line="360" w:lineRule="auto"/>
        <w:jc w:val="center"/>
        <w:outlineLvl w:val="0"/>
        <w:rPr>
          <w:rFonts w:ascii="Times New Roman" w:eastAsia="仿宋_GB2312" w:hAnsi="Times New Roman"/>
          <w:b/>
          <w:sz w:val="32"/>
          <w:szCs w:val="32"/>
        </w:rPr>
      </w:pPr>
      <w:bookmarkStart w:id="2" w:name="_Toc63081461"/>
      <w:bookmarkStart w:id="3" w:name="_Toc17026"/>
      <w:r>
        <w:rPr>
          <w:rFonts w:ascii="Times New Roman" w:eastAsia="仿宋_GB2312" w:hAnsi="Times New Roman" w:hint="eastAsia"/>
          <w:b/>
          <w:sz w:val="32"/>
          <w:szCs w:val="32"/>
        </w:rPr>
        <w:t>医用电气设备并列安全标准及专用安全标准</w:t>
      </w:r>
      <w:bookmarkStart w:id="4" w:name="_Toc63081462"/>
      <w:bookmarkEnd w:id="2"/>
      <w:r>
        <w:rPr>
          <w:rFonts w:ascii="Times New Roman" w:eastAsia="仿宋_GB2312" w:hAnsi="Times New Roman" w:hint="eastAsia"/>
          <w:b/>
          <w:sz w:val="32"/>
          <w:szCs w:val="32"/>
        </w:rPr>
        <w:t>制修订项目编号方案</w:t>
      </w:r>
      <w:bookmarkEnd w:id="3"/>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898"/>
        <w:gridCol w:w="5262"/>
        <w:gridCol w:w="1272"/>
        <w:gridCol w:w="1272"/>
        <w:gridCol w:w="1701"/>
        <w:gridCol w:w="2062"/>
      </w:tblGrid>
      <w:tr w:rsidR="0020761B">
        <w:trPr>
          <w:cantSplit/>
          <w:trHeight w:val="510"/>
          <w:tblHeader/>
        </w:trPr>
        <w:tc>
          <w:tcPr>
            <w:tcW w:w="264" w:type="pct"/>
            <w:shd w:val="clear" w:color="auto" w:fill="auto"/>
            <w:vAlign w:val="center"/>
          </w:tcPr>
          <w:p w:rsidR="0020761B" w:rsidRDefault="00EB6E6F">
            <w:pPr>
              <w:jc w:val="center"/>
              <w:rPr>
                <w:rFonts w:ascii="Times New Roman" w:eastAsia="仿宋_GB2312" w:hAnsi="Times New Roman" w:cs="宋体"/>
                <w:b/>
                <w:color w:val="000000"/>
                <w:sz w:val="24"/>
                <w:szCs w:val="24"/>
              </w:rPr>
            </w:pPr>
            <w:r>
              <w:rPr>
                <w:rFonts w:ascii="Times New Roman" w:eastAsia="仿宋_GB2312" w:hAnsi="Times New Roman" w:cs="宋体" w:hint="eastAsia"/>
                <w:b/>
                <w:color w:val="000000"/>
                <w:sz w:val="24"/>
                <w:szCs w:val="24"/>
              </w:rPr>
              <w:t>序号</w:t>
            </w:r>
          </w:p>
        </w:tc>
        <w:tc>
          <w:tcPr>
            <w:tcW w:w="667" w:type="pct"/>
            <w:shd w:val="clear" w:color="auto" w:fill="auto"/>
            <w:vAlign w:val="center"/>
          </w:tcPr>
          <w:p w:rsidR="0020761B" w:rsidRDefault="00EB6E6F">
            <w:pPr>
              <w:jc w:val="center"/>
              <w:rPr>
                <w:rFonts w:ascii="Times New Roman" w:eastAsia="仿宋_GB2312" w:hAnsi="Times New Roman" w:cs="宋体"/>
                <w:b/>
                <w:color w:val="000000"/>
                <w:sz w:val="24"/>
                <w:szCs w:val="24"/>
              </w:rPr>
            </w:pPr>
            <w:r>
              <w:rPr>
                <w:rFonts w:ascii="Times New Roman" w:eastAsia="仿宋_GB2312" w:hAnsi="Times New Roman" w:cs="宋体" w:hint="eastAsia"/>
                <w:b/>
                <w:color w:val="000000"/>
                <w:sz w:val="24"/>
                <w:szCs w:val="24"/>
              </w:rPr>
              <w:t>对应国际标准代号</w:t>
            </w:r>
          </w:p>
        </w:tc>
        <w:tc>
          <w:tcPr>
            <w:tcW w:w="1849" w:type="pct"/>
            <w:shd w:val="clear" w:color="auto" w:fill="auto"/>
            <w:vAlign w:val="center"/>
          </w:tcPr>
          <w:p w:rsidR="0020761B" w:rsidRDefault="00EB6E6F">
            <w:pPr>
              <w:jc w:val="center"/>
              <w:rPr>
                <w:rFonts w:ascii="Times New Roman" w:eastAsia="仿宋_GB2312" w:hAnsi="Times New Roman" w:cs="宋体"/>
                <w:b/>
                <w:color w:val="000000"/>
                <w:sz w:val="24"/>
                <w:szCs w:val="24"/>
              </w:rPr>
            </w:pPr>
            <w:r>
              <w:rPr>
                <w:rFonts w:ascii="Times New Roman" w:eastAsia="仿宋_GB2312" w:hAnsi="Times New Roman" w:cs="宋体" w:hint="eastAsia"/>
                <w:b/>
                <w:color w:val="000000"/>
                <w:sz w:val="24"/>
                <w:szCs w:val="24"/>
              </w:rPr>
              <w:t>标准名称</w:t>
            </w:r>
          </w:p>
        </w:tc>
        <w:tc>
          <w:tcPr>
            <w:tcW w:w="447" w:type="pct"/>
            <w:shd w:val="clear" w:color="auto" w:fill="auto"/>
            <w:vAlign w:val="center"/>
          </w:tcPr>
          <w:p w:rsidR="0020761B" w:rsidRDefault="00EB6E6F">
            <w:pPr>
              <w:jc w:val="center"/>
              <w:rPr>
                <w:rFonts w:ascii="Times New Roman" w:eastAsia="仿宋_GB2312" w:hAnsi="Times New Roman" w:cs="宋体"/>
                <w:b/>
                <w:color w:val="000000"/>
                <w:sz w:val="24"/>
                <w:szCs w:val="24"/>
              </w:rPr>
            </w:pPr>
            <w:r>
              <w:rPr>
                <w:rFonts w:ascii="Times New Roman" w:eastAsia="仿宋_GB2312" w:hAnsi="Times New Roman" w:cs="宋体" w:hint="eastAsia"/>
                <w:b/>
                <w:color w:val="000000"/>
                <w:sz w:val="24"/>
                <w:szCs w:val="24"/>
              </w:rPr>
              <w:t>标准层级</w:t>
            </w:r>
          </w:p>
        </w:tc>
        <w:tc>
          <w:tcPr>
            <w:tcW w:w="447" w:type="pct"/>
            <w:shd w:val="clear" w:color="auto" w:fill="auto"/>
            <w:vAlign w:val="center"/>
          </w:tcPr>
          <w:p w:rsidR="0020761B" w:rsidRDefault="00EB6E6F">
            <w:pPr>
              <w:jc w:val="center"/>
              <w:rPr>
                <w:rFonts w:ascii="Times New Roman" w:eastAsia="仿宋_GB2312" w:hAnsi="Times New Roman" w:cs="宋体"/>
                <w:b/>
                <w:color w:val="000000"/>
                <w:sz w:val="24"/>
                <w:szCs w:val="24"/>
              </w:rPr>
            </w:pPr>
            <w:r>
              <w:rPr>
                <w:rFonts w:ascii="Times New Roman" w:eastAsia="仿宋_GB2312" w:hAnsi="Times New Roman" w:cs="宋体" w:hint="eastAsia"/>
                <w:b/>
                <w:color w:val="000000"/>
                <w:sz w:val="24"/>
                <w:szCs w:val="24"/>
              </w:rPr>
              <w:t>约束程度</w:t>
            </w:r>
          </w:p>
        </w:tc>
        <w:tc>
          <w:tcPr>
            <w:tcW w:w="598" w:type="pct"/>
            <w:shd w:val="clear" w:color="auto" w:fill="auto"/>
            <w:vAlign w:val="center"/>
          </w:tcPr>
          <w:p w:rsidR="0020761B" w:rsidRDefault="00EB6E6F">
            <w:pPr>
              <w:jc w:val="center"/>
              <w:rPr>
                <w:rFonts w:ascii="Times New Roman" w:eastAsia="仿宋_GB2312" w:hAnsi="Times New Roman" w:cs="宋体"/>
                <w:b/>
                <w:color w:val="000000"/>
                <w:sz w:val="24"/>
                <w:szCs w:val="24"/>
              </w:rPr>
            </w:pPr>
            <w:r>
              <w:rPr>
                <w:rFonts w:ascii="Times New Roman" w:eastAsia="仿宋_GB2312" w:hAnsi="Times New Roman" w:cs="宋体" w:hint="eastAsia"/>
                <w:b/>
                <w:color w:val="000000"/>
                <w:sz w:val="24"/>
                <w:szCs w:val="24"/>
              </w:rPr>
              <w:t>现行标准编号</w:t>
            </w:r>
          </w:p>
        </w:tc>
        <w:tc>
          <w:tcPr>
            <w:tcW w:w="725" w:type="pct"/>
            <w:shd w:val="clear" w:color="auto" w:fill="auto"/>
            <w:vAlign w:val="center"/>
          </w:tcPr>
          <w:p w:rsidR="0020761B" w:rsidRDefault="00EB6E6F">
            <w:pPr>
              <w:jc w:val="center"/>
              <w:rPr>
                <w:rFonts w:ascii="Times New Roman" w:eastAsia="仿宋_GB2312" w:hAnsi="Times New Roman" w:cs="宋体"/>
                <w:b/>
                <w:color w:val="000000"/>
                <w:sz w:val="24"/>
                <w:szCs w:val="24"/>
              </w:rPr>
            </w:pPr>
            <w:r>
              <w:rPr>
                <w:rFonts w:ascii="Times New Roman" w:eastAsia="仿宋_GB2312" w:hAnsi="Times New Roman" w:cs="宋体" w:hint="eastAsia"/>
                <w:b/>
                <w:color w:val="000000"/>
                <w:sz w:val="24"/>
                <w:szCs w:val="24"/>
              </w:rPr>
              <w:t>新编号</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60601-1-3</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1-3</w:t>
            </w:r>
            <w:r>
              <w:rPr>
                <w:rFonts w:ascii="Times New Roman" w:eastAsia="仿宋_GB2312" w:hAnsi="Times New Roman" w:cs="宋体" w:hint="eastAsia"/>
                <w:sz w:val="24"/>
                <w:szCs w:val="24"/>
              </w:rPr>
              <w:t>部分：基本安全和基本性能的通用要求</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并列标准：诊断</w:t>
            </w:r>
            <w:r>
              <w:rPr>
                <w:rFonts w:ascii="Times New Roman" w:eastAsia="仿宋_GB2312" w:hAnsi="Times New Roman" w:cs="宋体" w:hint="eastAsia"/>
                <w:sz w:val="24"/>
                <w:szCs w:val="24"/>
              </w:rPr>
              <w:t>X</w:t>
            </w:r>
            <w:r>
              <w:rPr>
                <w:rFonts w:ascii="Times New Roman" w:eastAsia="仿宋_GB2312" w:hAnsi="Times New Roman" w:cs="宋体" w:hint="eastAsia"/>
                <w:sz w:val="24"/>
                <w:szCs w:val="24"/>
              </w:rPr>
              <w:t>射线设备的辐射防护</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9706.12</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9706.103</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2</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60601-2-1</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2-1</w:t>
            </w:r>
            <w:r>
              <w:rPr>
                <w:rFonts w:ascii="Times New Roman" w:eastAsia="仿宋_GB2312" w:hAnsi="Times New Roman" w:cs="宋体" w:hint="eastAsia"/>
                <w:sz w:val="24"/>
                <w:szCs w:val="24"/>
              </w:rPr>
              <w:t>部分：能量为</w:t>
            </w:r>
            <w:r>
              <w:rPr>
                <w:rFonts w:ascii="Times New Roman" w:eastAsia="仿宋_GB2312" w:hAnsi="Times New Roman" w:cs="宋体" w:hint="eastAsia"/>
                <w:sz w:val="24"/>
                <w:szCs w:val="24"/>
              </w:rPr>
              <w:t>1MeV</w:t>
            </w:r>
            <w:r>
              <w:rPr>
                <w:rFonts w:ascii="Times New Roman" w:eastAsia="仿宋_GB2312" w:hAnsi="Times New Roman" w:cs="宋体" w:hint="eastAsia"/>
                <w:sz w:val="24"/>
                <w:szCs w:val="24"/>
              </w:rPr>
              <w:t>至</w:t>
            </w:r>
            <w:r>
              <w:rPr>
                <w:rFonts w:ascii="Times New Roman" w:eastAsia="仿宋_GB2312" w:hAnsi="Times New Roman" w:cs="宋体" w:hint="eastAsia"/>
                <w:sz w:val="24"/>
                <w:szCs w:val="24"/>
              </w:rPr>
              <w:t>50MeV</w:t>
            </w:r>
            <w:r>
              <w:rPr>
                <w:rFonts w:ascii="Times New Roman" w:eastAsia="仿宋_GB2312" w:hAnsi="Times New Roman" w:cs="宋体" w:hint="eastAsia"/>
                <w:sz w:val="24"/>
                <w:szCs w:val="24"/>
              </w:rPr>
              <w:t>电子加速器基本安全和基本性能</w:t>
            </w:r>
            <w:proofErr w:type="gramStart"/>
            <w:r>
              <w:rPr>
                <w:rFonts w:ascii="Times New Roman" w:eastAsia="仿宋_GB2312" w:hAnsi="Times New Roman" w:cs="宋体" w:hint="eastAsia"/>
                <w:sz w:val="24"/>
                <w:szCs w:val="24"/>
              </w:rPr>
              <w:t>专用要求</w:t>
            </w:r>
            <w:proofErr w:type="gramEnd"/>
            <w:r>
              <w:rPr>
                <w:rFonts w:ascii="Times New Roman" w:eastAsia="仿宋_GB2312" w:hAnsi="Times New Roman" w:cs="宋体" w:hint="eastAsia"/>
                <w:sz w:val="24"/>
                <w:szCs w:val="24"/>
              </w:rPr>
              <w:t xml:space="preserve"> </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9706.5</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9706.201</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3</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60601-2-2</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2-2</w:t>
            </w:r>
            <w:r>
              <w:rPr>
                <w:rFonts w:ascii="Times New Roman" w:eastAsia="仿宋_GB2312" w:hAnsi="Times New Roman" w:cs="宋体" w:hint="eastAsia"/>
                <w:sz w:val="24"/>
                <w:szCs w:val="24"/>
              </w:rPr>
              <w:t>部分：高频手术设备及高频附件的基本安全和基本性能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9706.4</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9706.202</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4</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60601-2-3</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2-3</w:t>
            </w:r>
            <w:r>
              <w:rPr>
                <w:rFonts w:ascii="Times New Roman" w:eastAsia="仿宋_GB2312" w:hAnsi="Times New Roman" w:cs="宋体" w:hint="eastAsia"/>
                <w:sz w:val="24"/>
                <w:szCs w:val="24"/>
              </w:rPr>
              <w:t>部分：短波治疗设备的基本安全和基本性能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9706.203</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5</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60601-2-4</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2-4</w:t>
            </w:r>
            <w:r>
              <w:rPr>
                <w:rFonts w:ascii="Times New Roman" w:eastAsia="仿宋_GB2312" w:hAnsi="Times New Roman" w:cs="宋体" w:hint="eastAsia"/>
                <w:sz w:val="24"/>
                <w:szCs w:val="24"/>
              </w:rPr>
              <w:t>部分：心脏除颤器的基本安全和基本性能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9706.8</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 xml:space="preserve">GB </w:t>
            </w:r>
            <w:r>
              <w:rPr>
                <w:rFonts w:ascii="Times New Roman" w:eastAsia="仿宋_GB2312" w:hAnsi="Times New Roman" w:cs="宋体" w:hint="eastAsia"/>
                <w:sz w:val="24"/>
                <w:szCs w:val="24"/>
              </w:rPr>
              <w:t>9706.204</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6</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60601-2-5</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2-5</w:t>
            </w:r>
            <w:r>
              <w:rPr>
                <w:rFonts w:ascii="Times New Roman" w:eastAsia="仿宋_GB2312" w:hAnsi="Times New Roman" w:cs="宋体" w:hint="eastAsia"/>
                <w:sz w:val="24"/>
                <w:szCs w:val="24"/>
              </w:rPr>
              <w:t>部分：超声理疗设备基本安全和基本性能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9706.7</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9706.205</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7</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60601-2-6</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2-6</w:t>
            </w:r>
            <w:r>
              <w:rPr>
                <w:rFonts w:ascii="Times New Roman" w:eastAsia="仿宋_GB2312" w:hAnsi="Times New Roman" w:cs="宋体" w:hint="eastAsia"/>
                <w:sz w:val="24"/>
                <w:szCs w:val="24"/>
              </w:rPr>
              <w:t>部分：微波治疗设备的基本安全和基本性能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9706.6</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9706.206</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8</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 xml:space="preserve">IEC 60601-2-8 </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2-8</w:t>
            </w:r>
            <w:r>
              <w:rPr>
                <w:rFonts w:ascii="Times New Roman" w:eastAsia="仿宋_GB2312" w:hAnsi="Times New Roman" w:cs="宋体" w:hint="eastAsia"/>
                <w:sz w:val="24"/>
                <w:szCs w:val="24"/>
              </w:rPr>
              <w:t>部分：能量为</w:t>
            </w:r>
            <w:r>
              <w:rPr>
                <w:rFonts w:ascii="Times New Roman" w:eastAsia="仿宋_GB2312" w:hAnsi="Times New Roman" w:cs="宋体" w:hint="eastAsia"/>
                <w:sz w:val="24"/>
                <w:szCs w:val="24"/>
              </w:rPr>
              <w:t>10kV</w:t>
            </w:r>
            <w:r>
              <w:rPr>
                <w:rFonts w:ascii="Times New Roman" w:eastAsia="仿宋_GB2312" w:hAnsi="Times New Roman" w:cs="宋体" w:hint="eastAsia"/>
                <w:sz w:val="24"/>
                <w:szCs w:val="24"/>
              </w:rPr>
              <w:t>至</w:t>
            </w:r>
            <w:r>
              <w:rPr>
                <w:rFonts w:ascii="Times New Roman" w:eastAsia="仿宋_GB2312" w:hAnsi="Times New Roman" w:cs="宋体" w:hint="eastAsia"/>
                <w:sz w:val="24"/>
                <w:szCs w:val="24"/>
              </w:rPr>
              <w:t>1MV X</w:t>
            </w:r>
            <w:r>
              <w:rPr>
                <w:rFonts w:ascii="Times New Roman" w:eastAsia="仿宋_GB2312" w:hAnsi="Times New Roman" w:cs="宋体" w:hint="eastAsia"/>
                <w:sz w:val="24"/>
                <w:szCs w:val="24"/>
              </w:rPr>
              <w:t>射线治疗设备基本安全和基本性能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9706.10</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 xml:space="preserve">GB </w:t>
            </w:r>
            <w:r>
              <w:rPr>
                <w:rFonts w:ascii="Times New Roman" w:eastAsia="仿宋_GB2312" w:hAnsi="Times New Roman" w:cs="宋体" w:hint="eastAsia"/>
                <w:sz w:val="24"/>
                <w:szCs w:val="24"/>
              </w:rPr>
              <w:t>9706.208</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9</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 xml:space="preserve">IEC 60601-2-11   </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2-11</w:t>
            </w:r>
            <w:r>
              <w:rPr>
                <w:rFonts w:ascii="Times New Roman" w:eastAsia="仿宋_GB2312" w:hAnsi="Times New Roman" w:cs="宋体" w:hint="eastAsia"/>
                <w:sz w:val="24"/>
                <w:szCs w:val="24"/>
              </w:rPr>
              <w:t>部分：γ射束治疗设备基本安全和基本性能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9706.17</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9706.211</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10</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hyperlink r:id="rId10" w:history="1">
              <w:r>
                <w:rPr>
                  <w:rFonts w:ascii="Times New Roman" w:eastAsia="仿宋_GB2312" w:hAnsi="Times New Roman"/>
                  <w:sz w:val="24"/>
                  <w:szCs w:val="24"/>
                </w:rPr>
                <w:t>ISO 80601-2-12</w:t>
              </w:r>
            </w:hyperlink>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2-12</w:t>
            </w:r>
            <w:r>
              <w:rPr>
                <w:rFonts w:ascii="Times New Roman" w:eastAsia="仿宋_GB2312" w:hAnsi="Times New Roman" w:cs="宋体" w:hint="eastAsia"/>
                <w:sz w:val="24"/>
                <w:szCs w:val="24"/>
              </w:rPr>
              <w:t>部分：重症护理呼吸机的基本安全和基本性能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9706.28</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9706.212</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lastRenderedPageBreak/>
              <w:t>11</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hyperlink r:id="rId11" w:tgtFrame="_blank" w:history="1">
              <w:r>
                <w:rPr>
                  <w:rFonts w:ascii="Times New Roman" w:eastAsia="仿宋_GB2312" w:hAnsi="Times New Roman"/>
                  <w:sz w:val="24"/>
                  <w:szCs w:val="24"/>
                </w:rPr>
                <w:t>ISO 80601-2-13</w:t>
              </w:r>
            </w:hyperlink>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2-13</w:t>
            </w:r>
            <w:r>
              <w:rPr>
                <w:rFonts w:ascii="Times New Roman" w:eastAsia="仿宋_GB2312" w:hAnsi="Times New Roman" w:cs="宋体" w:hint="eastAsia"/>
                <w:sz w:val="24"/>
                <w:szCs w:val="24"/>
              </w:rPr>
              <w:t>部分：麻醉工作站的基本安全和基本性能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9706.29</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9706.213</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12</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w:t>
            </w:r>
            <w:r>
              <w:rPr>
                <w:rFonts w:ascii="Times New Roman" w:eastAsia="仿宋_GB2312" w:hAnsi="Times New Roman" w:cs="宋体" w:hint="eastAsia"/>
                <w:sz w:val="24"/>
                <w:szCs w:val="24"/>
              </w:rPr>
              <w:t xml:space="preserve"> </w:t>
            </w:r>
            <w:r>
              <w:rPr>
                <w:rFonts w:ascii="Times New Roman" w:eastAsia="仿宋_GB2312" w:hAnsi="Times New Roman" w:cs="宋体"/>
                <w:sz w:val="24"/>
                <w:szCs w:val="24"/>
              </w:rPr>
              <w:t>60601-2-16</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2-16</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血液透析、血液透析滤过和血液滤过设备的基本安全和基本性能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9706.216</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13</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 xml:space="preserve">IEC 60601-2-17 </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2-17</w:t>
            </w:r>
            <w:r>
              <w:rPr>
                <w:rFonts w:ascii="Times New Roman" w:eastAsia="仿宋_GB2312" w:hAnsi="Times New Roman" w:cs="宋体" w:hint="eastAsia"/>
                <w:sz w:val="24"/>
                <w:szCs w:val="24"/>
              </w:rPr>
              <w:t>部分：自动控制式近距离治疗后装设备基本安全和基本性能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9706.13</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9706.217</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14</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60601-2-18</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2-18</w:t>
            </w:r>
            <w:r>
              <w:rPr>
                <w:rFonts w:ascii="Times New Roman" w:eastAsia="仿宋_GB2312" w:hAnsi="Times New Roman" w:cs="宋体" w:hint="eastAsia"/>
                <w:sz w:val="24"/>
                <w:szCs w:val="24"/>
              </w:rPr>
              <w:t>部分：内窥镜设备基本安全与基本性能</w:t>
            </w:r>
            <w:proofErr w:type="gramStart"/>
            <w:r>
              <w:rPr>
                <w:rFonts w:ascii="Times New Roman" w:eastAsia="仿宋_GB2312" w:hAnsi="Times New Roman" w:cs="宋体" w:hint="eastAsia"/>
                <w:sz w:val="24"/>
                <w:szCs w:val="24"/>
              </w:rPr>
              <w:t>专用要求</w:t>
            </w:r>
            <w:proofErr w:type="gramEnd"/>
            <w:r>
              <w:rPr>
                <w:rFonts w:ascii="Times New Roman" w:eastAsia="仿宋_GB2312" w:hAnsi="Times New Roman" w:cs="宋体" w:hint="eastAsia"/>
                <w:sz w:val="24"/>
                <w:szCs w:val="24"/>
              </w:rPr>
              <w:t xml:space="preserve"> </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9706.19</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9706.218</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15</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60601-2-19</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2-19</w:t>
            </w:r>
            <w:r>
              <w:rPr>
                <w:rFonts w:ascii="Times New Roman" w:eastAsia="仿宋_GB2312" w:hAnsi="Times New Roman" w:cs="宋体" w:hint="eastAsia"/>
                <w:sz w:val="24"/>
                <w:szCs w:val="24"/>
              </w:rPr>
              <w:t>部分：婴儿培养箱的基本安全和基本性能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11243</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9706.219</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16</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w:t>
            </w:r>
            <w:r>
              <w:rPr>
                <w:rFonts w:ascii="Times New Roman" w:eastAsia="仿宋_GB2312" w:hAnsi="Times New Roman" w:cs="宋体" w:hint="eastAsia"/>
                <w:sz w:val="24"/>
                <w:szCs w:val="24"/>
              </w:rPr>
              <w:t xml:space="preserve"> </w:t>
            </w:r>
            <w:r>
              <w:rPr>
                <w:rFonts w:ascii="Times New Roman" w:eastAsia="仿宋_GB2312" w:hAnsi="Times New Roman" w:cs="宋体"/>
                <w:sz w:val="24"/>
                <w:szCs w:val="24"/>
              </w:rPr>
              <w:t>60601-2-22</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2-22</w:t>
            </w:r>
            <w:r>
              <w:rPr>
                <w:rFonts w:ascii="Times New Roman" w:eastAsia="仿宋_GB2312" w:hAnsi="Times New Roman" w:cs="宋体" w:hint="eastAsia"/>
                <w:sz w:val="24"/>
                <w:szCs w:val="24"/>
              </w:rPr>
              <w:t>部分：外科、整形、治疗和诊断用激光设备基本安全与基本性能的</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9706.20</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9706.222</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17</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60601-2-24</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2-24</w:t>
            </w:r>
            <w:r>
              <w:rPr>
                <w:rFonts w:ascii="Times New Roman" w:eastAsia="仿宋_GB2312" w:hAnsi="Times New Roman" w:cs="宋体" w:hint="eastAsia"/>
                <w:sz w:val="24"/>
                <w:szCs w:val="24"/>
              </w:rPr>
              <w:t>部分：输液泵和输液控制器的基本安全和基本性能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9706.27</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9706.224</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18</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 xml:space="preserve">IEC </w:t>
            </w:r>
            <w:r>
              <w:rPr>
                <w:rFonts w:ascii="Times New Roman" w:eastAsia="仿宋_GB2312" w:hAnsi="Times New Roman" w:cs="宋体"/>
                <w:sz w:val="24"/>
                <w:szCs w:val="24"/>
              </w:rPr>
              <w:t>60601-2-25</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2-25</w:t>
            </w:r>
            <w:r>
              <w:rPr>
                <w:rFonts w:ascii="Times New Roman" w:eastAsia="仿宋_GB2312" w:hAnsi="Times New Roman" w:cs="宋体" w:hint="eastAsia"/>
                <w:sz w:val="24"/>
                <w:szCs w:val="24"/>
              </w:rPr>
              <w:t>部分：心电图机的基本安全和基本性能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10793-2000</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YY 0782</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9706.225</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19</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60601-2-26</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2-26</w:t>
            </w:r>
            <w:r>
              <w:rPr>
                <w:rFonts w:ascii="Times New Roman" w:eastAsia="仿宋_GB2312" w:hAnsi="Times New Roman" w:cs="宋体" w:hint="eastAsia"/>
                <w:sz w:val="24"/>
                <w:szCs w:val="24"/>
              </w:rPr>
              <w:t>部分：脑电图机的基本安全和基本性能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9706.26</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9706.226</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20</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60601-2-27</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2-27</w:t>
            </w:r>
            <w:r>
              <w:rPr>
                <w:rFonts w:ascii="Times New Roman" w:eastAsia="仿宋_GB2312" w:hAnsi="Times New Roman" w:cs="宋体" w:hint="eastAsia"/>
                <w:sz w:val="24"/>
                <w:szCs w:val="24"/>
              </w:rPr>
              <w:t>部分：心电监护设备的基本安全和基本性能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9706.25</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9706.227</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21</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w:t>
            </w:r>
            <w:r>
              <w:rPr>
                <w:rFonts w:ascii="Times New Roman" w:eastAsia="仿宋_GB2312" w:hAnsi="Times New Roman" w:cs="宋体" w:hint="eastAsia"/>
                <w:sz w:val="24"/>
                <w:szCs w:val="24"/>
              </w:rPr>
              <w:t>EC 60601-2-28</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2-28</w:t>
            </w:r>
            <w:r>
              <w:rPr>
                <w:rFonts w:ascii="Times New Roman" w:eastAsia="仿宋_GB2312" w:hAnsi="Times New Roman" w:cs="宋体" w:hint="eastAsia"/>
                <w:sz w:val="24"/>
                <w:szCs w:val="24"/>
              </w:rPr>
              <w:t>部分：医用诊断</w:t>
            </w:r>
            <w:r>
              <w:rPr>
                <w:rFonts w:ascii="Times New Roman" w:eastAsia="仿宋_GB2312" w:hAnsi="Times New Roman" w:cs="宋体" w:hint="eastAsia"/>
                <w:sz w:val="24"/>
                <w:szCs w:val="24"/>
              </w:rPr>
              <w:t>X</w:t>
            </w:r>
            <w:r>
              <w:rPr>
                <w:rFonts w:ascii="Times New Roman" w:eastAsia="仿宋_GB2312" w:hAnsi="Times New Roman" w:cs="宋体" w:hint="eastAsia"/>
                <w:sz w:val="24"/>
                <w:szCs w:val="24"/>
              </w:rPr>
              <w:t>射线管组件的基本安全和基本性能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9706.11</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9706.228</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22</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60601-2-29</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29</w:t>
            </w:r>
            <w:r>
              <w:rPr>
                <w:rFonts w:ascii="Times New Roman" w:eastAsia="仿宋_GB2312" w:hAnsi="Times New Roman" w:cs="宋体" w:hint="eastAsia"/>
                <w:sz w:val="24"/>
                <w:szCs w:val="24"/>
              </w:rPr>
              <w:t>部分：放射治疗模拟机基本安全和基本性能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9706.16</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9706.229</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lastRenderedPageBreak/>
              <w:t>23</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60601-2-36</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2-36</w:t>
            </w:r>
            <w:r>
              <w:rPr>
                <w:rFonts w:ascii="Times New Roman" w:eastAsia="仿宋_GB2312" w:hAnsi="Times New Roman" w:cs="宋体" w:hint="eastAsia"/>
                <w:sz w:val="24"/>
                <w:szCs w:val="24"/>
              </w:rPr>
              <w:t>部分：体外引发碎石设备的基本安全和基本性能</w:t>
            </w:r>
            <w:proofErr w:type="gramStart"/>
            <w:r>
              <w:rPr>
                <w:rFonts w:ascii="Times New Roman" w:eastAsia="仿宋_GB2312" w:hAnsi="Times New Roman" w:cs="宋体" w:hint="eastAsia"/>
                <w:sz w:val="24"/>
                <w:szCs w:val="24"/>
              </w:rPr>
              <w:t>专用要求</w:t>
            </w:r>
            <w:proofErr w:type="gramEnd"/>
            <w:r>
              <w:rPr>
                <w:rFonts w:ascii="Times New Roman" w:eastAsia="仿宋_GB2312" w:hAnsi="Times New Roman" w:cs="宋体" w:hint="eastAsia"/>
                <w:sz w:val="24"/>
                <w:szCs w:val="24"/>
              </w:rPr>
              <w:t xml:space="preserve"> </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9706.22</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9706.236</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24</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60601-2-37</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2-37</w:t>
            </w:r>
            <w:r>
              <w:rPr>
                <w:rFonts w:ascii="Times New Roman" w:eastAsia="仿宋_GB2312" w:hAnsi="Times New Roman" w:cs="宋体" w:hint="eastAsia"/>
                <w:sz w:val="24"/>
                <w:szCs w:val="24"/>
              </w:rPr>
              <w:t>部分：超声诊断和监护设备基本安全和基本性能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9706.9</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9706.237</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25</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w:t>
            </w:r>
            <w:r>
              <w:rPr>
                <w:rFonts w:ascii="Times New Roman" w:eastAsia="仿宋_GB2312" w:hAnsi="Times New Roman" w:cs="宋体" w:hint="eastAsia"/>
                <w:sz w:val="24"/>
                <w:szCs w:val="24"/>
              </w:rPr>
              <w:t xml:space="preserve"> </w:t>
            </w:r>
            <w:r>
              <w:rPr>
                <w:rFonts w:ascii="Times New Roman" w:eastAsia="仿宋_GB2312" w:hAnsi="Times New Roman" w:cs="宋体"/>
                <w:sz w:val="24"/>
                <w:szCs w:val="24"/>
              </w:rPr>
              <w:t>60601-2-39</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2-39</w:t>
            </w:r>
            <w:r>
              <w:rPr>
                <w:rFonts w:ascii="Times New Roman" w:eastAsia="仿宋_GB2312" w:hAnsi="Times New Roman" w:cs="宋体" w:hint="eastAsia"/>
                <w:sz w:val="24"/>
                <w:szCs w:val="24"/>
              </w:rPr>
              <w:t>部分：腹膜透析设备的基本安全和基本性能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9706.39</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9706.239</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26</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w:t>
            </w:r>
            <w:r>
              <w:rPr>
                <w:rFonts w:ascii="Times New Roman" w:eastAsia="仿宋_GB2312" w:hAnsi="Times New Roman" w:cs="宋体" w:hint="eastAsia"/>
                <w:sz w:val="24"/>
                <w:szCs w:val="24"/>
              </w:rPr>
              <w:t>EC 60601-2-43</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2-43</w:t>
            </w:r>
            <w:r>
              <w:rPr>
                <w:rFonts w:ascii="Times New Roman" w:eastAsia="仿宋_GB2312" w:hAnsi="Times New Roman" w:cs="宋体" w:hint="eastAsia"/>
                <w:sz w:val="24"/>
                <w:szCs w:val="24"/>
              </w:rPr>
              <w:t>部分：介入操作</w:t>
            </w:r>
            <w:r>
              <w:rPr>
                <w:rFonts w:ascii="Times New Roman" w:eastAsia="仿宋_GB2312" w:hAnsi="Times New Roman" w:cs="宋体" w:hint="eastAsia"/>
                <w:sz w:val="24"/>
                <w:szCs w:val="24"/>
              </w:rPr>
              <w:t>X</w:t>
            </w:r>
            <w:r>
              <w:rPr>
                <w:rFonts w:ascii="Times New Roman" w:eastAsia="仿宋_GB2312" w:hAnsi="Times New Roman" w:cs="宋体" w:hint="eastAsia"/>
                <w:sz w:val="24"/>
                <w:szCs w:val="24"/>
              </w:rPr>
              <w:t>射线设备基本安全和基本性能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9706.23</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9706.243</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27</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w:t>
            </w:r>
            <w:r>
              <w:rPr>
                <w:rFonts w:ascii="Times New Roman" w:eastAsia="仿宋_GB2312" w:hAnsi="Times New Roman" w:cs="宋体" w:hint="eastAsia"/>
                <w:sz w:val="24"/>
                <w:szCs w:val="24"/>
              </w:rPr>
              <w:t>EC 60601-2-44</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2-44</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t>X</w:t>
            </w:r>
            <w:r>
              <w:rPr>
                <w:rFonts w:ascii="Times New Roman" w:eastAsia="仿宋_GB2312" w:hAnsi="Times New Roman" w:cs="宋体" w:hint="eastAsia"/>
                <w:sz w:val="24"/>
                <w:szCs w:val="24"/>
              </w:rPr>
              <w:t>射线计算机体层摄影设备基本安全和基本性能安全</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9706.18</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9706.244</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28</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w:t>
            </w:r>
            <w:r>
              <w:rPr>
                <w:rFonts w:ascii="Times New Roman" w:eastAsia="仿宋_GB2312" w:hAnsi="Times New Roman" w:cs="宋体" w:hint="eastAsia"/>
                <w:sz w:val="24"/>
                <w:szCs w:val="24"/>
              </w:rPr>
              <w:t>EC 60601-2-45</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2-45</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乳腺</w:t>
            </w:r>
            <w:r>
              <w:rPr>
                <w:rFonts w:ascii="Times New Roman" w:eastAsia="仿宋_GB2312" w:hAnsi="Times New Roman" w:cs="宋体" w:hint="eastAsia"/>
                <w:sz w:val="24"/>
                <w:szCs w:val="24"/>
              </w:rPr>
              <w:t>X</w:t>
            </w:r>
            <w:r>
              <w:rPr>
                <w:rFonts w:ascii="Times New Roman" w:eastAsia="仿宋_GB2312" w:hAnsi="Times New Roman" w:cs="宋体" w:hint="eastAsia"/>
                <w:sz w:val="24"/>
                <w:szCs w:val="24"/>
              </w:rPr>
              <w:t>射线摄影设备和乳腺摄影立体定位装置的基本安全和基本性能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9706.24</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9706.245</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29</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60601-2-54</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2-54</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t>X</w:t>
            </w:r>
            <w:r>
              <w:rPr>
                <w:rFonts w:ascii="Times New Roman" w:eastAsia="仿宋_GB2312" w:hAnsi="Times New Roman" w:cs="宋体" w:hint="eastAsia"/>
                <w:sz w:val="24"/>
                <w:szCs w:val="24"/>
              </w:rPr>
              <w:t>射线摄影和透视设备的基本安全和基本性能的</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w:t>
            </w:r>
            <w:r>
              <w:rPr>
                <w:rFonts w:ascii="Times New Roman" w:eastAsia="仿宋_GB2312" w:hAnsi="Times New Roman" w:cs="宋体" w:hint="eastAsia"/>
                <w:sz w:val="24"/>
                <w:szCs w:val="24"/>
              </w:rPr>
              <w:t xml:space="preserve"> 9706.3</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GB 9706.14</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9706.254</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30</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80601-2-60</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2-60</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br/>
            </w:r>
            <w:r>
              <w:rPr>
                <w:rFonts w:ascii="Times New Roman" w:eastAsia="仿宋_GB2312" w:hAnsi="Times New Roman" w:cs="宋体" w:hint="eastAsia"/>
                <w:sz w:val="24"/>
                <w:szCs w:val="24"/>
              </w:rPr>
              <w:t>牙科设备基本安全和基本性能的</w:t>
            </w:r>
            <w:proofErr w:type="gramStart"/>
            <w:r>
              <w:rPr>
                <w:rFonts w:ascii="Times New Roman" w:eastAsia="仿宋_GB2312" w:hAnsi="Times New Roman" w:cs="宋体" w:hint="eastAsia"/>
                <w:sz w:val="24"/>
                <w:szCs w:val="24"/>
              </w:rPr>
              <w:t>专用要求</w:t>
            </w:r>
            <w:proofErr w:type="gramEnd"/>
            <w:r>
              <w:rPr>
                <w:rFonts w:ascii="Times New Roman" w:eastAsia="仿宋_GB2312" w:hAnsi="Times New Roman" w:cs="宋体" w:hint="eastAsia"/>
                <w:sz w:val="24"/>
                <w:szCs w:val="24"/>
              </w:rPr>
              <w:t xml:space="preserve"> </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9706.260</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31</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60601-2-63</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2-63</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口外成像牙科</w:t>
            </w:r>
            <w:r>
              <w:rPr>
                <w:rFonts w:ascii="Times New Roman" w:eastAsia="仿宋_GB2312" w:hAnsi="Times New Roman" w:cs="宋体" w:hint="eastAsia"/>
                <w:sz w:val="24"/>
                <w:szCs w:val="24"/>
              </w:rPr>
              <w:t>X</w:t>
            </w:r>
            <w:r>
              <w:rPr>
                <w:rFonts w:ascii="Times New Roman" w:eastAsia="仿宋_GB2312" w:hAnsi="Times New Roman" w:cs="宋体" w:hint="eastAsia"/>
                <w:sz w:val="24"/>
                <w:szCs w:val="24"/>
              </w:rPr>
              <w:t>射线机基本安全和基本性能</w:t>
            </w:r>
            <w:proofErr w:type="gramStart"/>
            <w:r>
              <w:rPr>
                <w:rFonts w:ascii="Times New Roman" w:eastAsia="仿宋_GB2312" w:hAnsi="Times New Roman" w:cs="宋体" w:hint="eastAsia"/>
                <w:sz w:val="24"/>
                <w:szCs w:val="24"/>
              </w:rPr>
              <w:t>专用要求</w:t>
            </w:r>
            <w:proofErr w:type="gramEnd"/>
            <w:r>
              <w:rPr>
                <w:rFonts w:ascii="Times New Roman" w:eastAsia="仿宋_GB2312" w:hAnsi="Times New Roman" w:cs="宋体" w:hint="eastAsia"/>
                <w:sz w:val="24"/>
                <w:szCs w:val="24"/>
              </w:rPr>
              <w:t xml:space="preserve"> </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GB 9706.263</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32</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60601-2-65</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2-65</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口内成像牙科</w:t>
            </w:r>
            <w:r>
              <w:rPr>
                <w:rFonts w:ascii="Times New Roman" w:eastAsia="仿宋_GB2312" w:hAnsi="Times New Roman" w:cs="宋体" w:hint="eastAsia"/>
                <w:sz w:val="24"/>
                <w:szCs w:val="24"/>
              </w:rPr>
              <w:t>X</w:t>
            </w:r>
            <w:r>
              <w:rPr>
                <w:rFonts w:ascii="Times New Roman" w:eastAsia="仿宋_GB2312" w:hAnsi="Times New Roman" w:cs="宋体" w:hint="eastAsia"/>
                <w:sz w:val="24"/>
                <w:szCs w:val="24"/>
              </w:rPr>
              <w:t>射线机基本安全和基本性能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国标</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 xml:space="preserve">GB </w:t>
            </w:r>
            <w:r>
              <w:rPr>
                <w:rFonts w:ascii="Times New Roman" w:eastAsia="仿宋_GB2312" w:hAnsi="Times New Roman" w:cs="宋体" w:hint="eastAsia"/>
                <w:sz w:val="24"/>
                <w:szCs w:val="24"/>
              </w:rPr>
              <w:t>9706.265</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33</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60601-1-2</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1-2</w:t>
            </w:r>
            <w:r>
              <w:rPr>
                <w:rFonts w:ascii="Times New Roman" w:eastAsia="仿宋_GB2312" w:hAnsi="Times New Roman" w:cs="宋体" w:hint="eastAsia"/>
                <w:sz w:val="24"/>
                <w:szCs w:val="24"/>
              </w:rPr>
              <w:t>部分：基本安全和基本性能的通用要求</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并列标准：电磁兼容</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要求和试验</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0505</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9706.102</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34</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60601-1-6</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1-6</w:t>
            </w:r>
            <w:r>
              <w:rPr>
                <w:rFonts w:ascii="Times New Roman" w:eastAsia="仿宋_GB2312" w:hAnsi="Times New Roman" w:cs="宋体" w:hint="eastAsia"/>
                <w:sz w:val="24"/>
                <w:szCs w:val="24"/>
              </w:rPr>
              <w:t>部分：基本安全和基本性能的通用要求</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并列标准：可用性</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推荐</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YY/T 9706.106</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lastRenderedPageBreak/>
              <w:t>35</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60601-1-8</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1-8</w:t>
            </w:r>
            <w:r>
              <w:rPr>
                <w:rFonts w:ascii="Times New Roman" w:eastAsia="仿宋_GB2312" w:hAnsi="Times New Roman" w:cs="宋体" w:hint="eastAsia"/>
                <w:sz w:val="24"/>
                <w:szCs w:val="24"/>
              </w:rPr>
              <w:t>部分：基本安全和基本性能的通用要求</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并列标准：通用要求，医用电气设备和医用电气系统中报警系统的测试和指南</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0709</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9706.108</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36</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60601-1-10</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1-10</w:t>
            </w:r>
            <w:r>
              <w:rPr>
                <w:rFonts w:ascii="Times New Roman" w:eastAsia="仿宋_GB2312" w:hAnsi="Times New Roman" w:cs="宋体" w:hint="eastAsia"/>
                <w:sz w:val="24"/>
                <w:szCs w:val="24"/>
              </w:rPr>
              <w:t>部分：基本安全和基本性能的通用要求</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并列标准：生理闭环控制器开发要求</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推荐</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YY/T 9706.110</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37</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60601-1-11</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1-11</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基本安全和基本性能通用要求</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并列标准</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在家庭护理环境中使用的医用电气设备和医用电气系统的要求</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9706.111</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38</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w:t>
            </w:r>
            <w:r>
              <w:rPr>
                <w:rFonts w:ascii="Times New Roman" w:eastAsia="仿宋_GB2312" w:hAnsi="Times New Roman" w:cs="宋体" w:hint="eastAsia"/>
                <w:sz w:val="24"/>
                <w:szCs w:val="24"/>
              </w:rPr>
              <w:t>EC</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60601-1-12</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1-12</w:t>
            </w:r>
            <w:r>
              <w:rPr>
                <w:rFonts w:ascii="Times New Roman" w:eastAsia="仿宋_GB2312" w:hAnsi="Times New Roman" w:cs="宋体" w:hint="eastAsia"/>
                <w:sz w:val="24"/>
                <w:szCs w:val="24"/>
              </w:rPr>
              <w:t>部分：基本安全和基本性能的通用要求</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并列标准：预期在紧急医疗服务环境中使用的医用电气设备和医用电气系统的要求</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9706.112</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39</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60601-2-10</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2-10</w:t>
            </w:r>
            <w:r>
              <w:rPr>
                <w:rFonts w:ascii="Times New Roman" w:eastAsia="仿宋_GB2312" w:hAnsi="Times New Roman" w:cs="宋体" w:hint="eastAsia"/>
                <w:sz w:val="24"/>
                <w:szCs w:val="24"/>
              </w:rPr>
              <w:t>部分：神经和肌肉刺激器的基本安全和基本性能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0607</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9706.210</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40</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60601-2-20</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2-20</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婴儿转运培养箱的基本安全和基本性能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0827</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9706.220</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41</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60601-2-21</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2-21</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婴儿辐射</w:t>
            </w:r>
            <w:proofErr w:type="gramStart"/>
            <w:r>
              <w:rPr>
                <w:rFonts w:ascii="Times New Roman" w:eastAsia="仿宋_GB2312" w:hAnsi="Times New Roman" w:cs="宋体" w:hint="eastAsia"/>
                <w:sz w:val="24"/>
                <w:szCs w:val="24"/>
              </w:rPr>
              <w:t>保暖台</w:t>
            </w:r>
            <w:proofErr w:type="gramEnd"/>
            <w:r>
              <w:rPr>
                <w:rFonts w:ascii="Times New Roman" w:eastAsia="仿宋_GB2312" w:hAnsi="Times New Roman" w:cs="宋体" w:hint="eastAsia"/>
                <w:sz w:val="24"/>
                <w:szCs w:val="24"/>
              </w:rPr>
              <w:t>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0455</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9706.221</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42</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w:t>
            </w:r>
            <w:r>
              <w:rPr>
                <w:rFonts w:ascii="Times New Roman" w:eastAsia="仿宋_GB2312" w:hAnsi="Times New Roman" w:cs="宋体" w:hint="eastAsia"/>
                <w:sz w:val="24"/>
                <w:szCs w:val="24"/>
              </w:rPr>
              <w:t xml:space="preserve"> </w:t>
            </w:r>
            <w:r>
              <w:rPr>
                <w:rFonts w:ascii="Times New Roman" w:eastAsia="仿宋_GB2312" w:hAnsi="Times New Roman" w:cs="宋体"/>
                <w:sz w:val="24"/>
                <w:szCs w:val="24"/>
              </w:rPr>
              <w:t>80601-2-30</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2-30</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自动循环无创血压监护设备的基本安全和基本性能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0667</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9706.230</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43</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60601-2-31</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2-31</w:t>
            </w:r>
            <w:r>
              <w:rPr>
                <w:rFonts w:ascii="Times New Roman" w:eastAsia="仿宋_GB2312" w:hAnsi="Times New Roman" w:cs="宋体" w:hint="eastAsia"/>
                <w:sz w:val="24"/>
                <w:szCs w:val="24"/>
              </w:rPr>
              <w:t>部分：</w:t>
            </w:r>
            <w:proofErr w:type="gramStart"/>
            <w:r>
              <w:rPr>
                <w:rFonts w:ascii="Times New Roman" w:eastAsia="仿宋_GB2312" w:hAnsi="Times New Roman" w:cs="宋体" w:hint="eastAsia"/>
                <w:sz w:val="24"/>
                <w:szCs w:val="24"/>
              </w:rPr>
              <w:t>带内部</w:t>
            </w:r>
            <w:proofErr w:type="gramEnd"/>
            <w:r>
              <w:rPr>
                <w:rFonts w:ascii="Times New Roman" w:eastAsia="仿宋_GB2312" w:hAnsi="Times New Roman" w:cs="宋体" w:hint="eastAsia"/>
                <w:sz w:val="24"/>
                <w:szCs w:val="24"/>
              </w:rPr>
              <w:t>电源的体外心脏起搏器的基本安全和基本性能</w:t>
            </w:r>
            <w:proofErr w:type="gramStart"/>
            <w:r>
              <w:rPr>
                <w:rFonts w:ascii="Times New Roman" w:eastAsia="仿宋_GB2312" w:hAnsi="Times New Roman" w:cs="宋体" w:hint="eastAsia"/>
                <w:sz w:val="24"/>
                <w:szCs w:val="24"/>
              </w:rPr>
              <w:t>专用要求</w:t>
            </w:r>
            <w:proofErr w:type="gramEnd"/>
            <w:r>
              <w:rPr>
                <w:rFonts w:ascii="Times New Roman" w:eastAsia="仿宋_GB2312" w:hAnsi="Times New Roman" w:cs="宋体" w:hint="eastAsia"/>
                <w:sz w:val="24"/>
                <w:szCs w:val="24"/>
              </w:rPr>
              <w:t xml:space="preserve"> </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 xml:space="preserve">YY </w:t>
            </w:r>
            <w:r>
              <w:rPr>
                <w:rFonts w:ascii="Times New Roman" w:eastAsia="仿宋_GB2312" w:hAnsi="Times New Roman" w:cs="宋体" w:hint="eastAsia"/>
                <w:sz w:val="24"/>
                <w:szCs w:val="24"/>
              </w:rPr>
              <w:t>0945.2</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9706.231</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44</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60601-2-33</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2-33</w:t>
            </w:r>
            <w:r>
              <w:rPr>
                <w:rFonts w:ascii="Times New Roman" w:eastAsia="仿宋_GB2312" w:hAnsi="Times New Roman" w:cs="宋体" w:hint="eastAsia"/>
                <w:sz w:val="24"/>
                <w:szCs w:val="24"/>
              </w:rPr>
              <w:t>部分：医疗诊断用磁共振设备的基本安全和基本性能</w:t>
            </w:r>
            <w:proofErr w:type="gramStart"/>
            <w:r>
              <w:rPr>
                <w:rFonts w:ascii="Times New Roman" w:eastAsia="仿宋_GB2312" w:hAnsi="Times New Roman" w:cs="宋体" w:hint="eastAsia"/>
                <w:sz w:val="24"/>
                <w:szCs w:val="24"/>
              </w:rPr>
              <w:t>专用要求</w:t>
            </w:r>
            <w:proofErr w:type="gramEnd"/>
            <w:r>
              <w:rPr>
                <w:rFonts w:ascii="Times New Roman" w:eastAsia="仿宋_GB2312" w:hAnsi="Times New Roman" w:cs="宋体" w:hint="eastAsia"/>
                <w:sz w:val="24"/>
                <w:szCs w:val="24"/>
              </w:rPr>
              <w:t xml:space="preserve"> </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0319</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9706.233</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45</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60601-2-34</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2-34</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有创血压监测设备的基本安全和基本性能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0783</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9706.234</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lastRenderedPageBreak/>
              <w:t>46</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80601-2-35</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2-35</w:t>
            </w:r>
            <w:r>
              <w:rPr>
                <w:rFonts w:ascii="Times New Roman" w:eastAsia="仿宋_GB2312" w:hAnsi="Times New Roman" w:cs="宋体" w:hint="eastAsia"/>
                <w:sz w:val="24"/>
                <w:szCs w:val="24"/>
              </w:rPr>
              <w:t>部分：医用</w:t>
            </w:r>
            <w:proofErr w:type="gramStart"/>
            <w:r>
              <w:rPr>
                <w:rFonts w:ascii="Times New Roman" w:eastAsia="仿宋_GB2312" w:hAnsi="Times New Roman" w:cs="宋体" w:hint="eastAsia"/>
                <w:sz w:val="24"/>
                <w:szCs w:val="24"/>
              </w:rPr>
              <w:t>毯</w:t>
            </w:r>
            <w:proofErr w:type="gramEnd"/>
            <w:r>
              <w:rPr>
                <w:rFonts w:ascii="Times New Roman" w:eastAsia="仿宋_GB2312" w:hAnsi="Times New Roman" w:cs="宋体" w:hint="eastAsia"/>
                <w:sz w:val="24"/>
                <w:szCs w:val="24"/>
              </w:rPr>
              <w:t>、垫或床垫式加热设备的基本安全和基本性能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0834</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9706.235</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47</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60601-2-40</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2-40</w:t>
            </w:r>
            <w:r>
              <w:rPr>
                <w:rFonts w:ascii="Times New Roman" w:eastAsia="仿宋_GB2312" w:hAnsi="Times New Roman" w:cs="宋体" w:hint="eastAsia"/>
                <w:sz w:val="24"/>
                <w:szCs w:val="24"/>
              </w:rPr>
              <w:t>部分：肌电及诱发反应设备的基本安全和基本性能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0896</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9706.240</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48</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60601-2-41</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2-41</w:t>
            </w:r>
            <w:r>
              <w:rPr>
                <w:rFonts w:ascii="Times New Roman" w:eastAsia="仿宋_GB2312" w:hAnsi="Times New Roman" w:cs="宋体" w:hint="eastAsia"/>
                <w:sz w:val="24"/>
                <w:szCs w:val="24"/>
              </w:rPr>
              <w:t>部分：手术无影灯和诊断用照明灯基本安全和基本性能的</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0627</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9706.241</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49</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60601-2-46</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2-46</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手术台的基本安全和基本性能</w:t>
            </w:r>
            <w:proofErr w:type="gramStart"/>
            <w:r>
              <w:rPr>
                <w:rFonts w:ascii="Times New Roman" w:eastAsia="仿宋_GB2312" w:hAnsi="Times New Roman" w:cs="宋体" w:hint="eastAsia"/>
                <w:sz w:val="24"/>
                <w:szCs w:val="24"/>
              </w:rPr>
              <w:t>专用要求</w:t>
            </w:r>
            <w:proofErr w:type="gramEnd"/>
            <w:r>
              <w:rPr>
                <w:rFonts w:ascii="Times New Roman" w:eastAsia="仿宋_GB2312" w:hAnsi="Times New Roman" w:cs="宋体" w:hint="eastAsia"/>
                <w:sz w:val="24"/>
                <w:szCs w:val="24"/>
              </w:rPr>
              <w:t xml:space="preserve"> </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 xml:space="preserve">YY </w:t>
            </w:r>
            <w:r>
              <w:rPr>
                <w:rFonts w:ascii="Times New Roman" w:eastAsia="仿宋_GB2312" w:hAnsi="Times New Roman" w:cs="宋体" w:hint="eastAsia"/>
                <w:sz w:val="24"/>
                <w:szCs w:val="24"/>
              </w:rPr>
              <w:t>0570</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9706.246</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50</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60601-2-47</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2-47</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动态心电图系统的基本安全和基本性能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0885</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9706.247</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51</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w:t>
            </w:r>
            <w:r>
              <w:rPr>
                <w:rFonts w:ascii="Times New Roman" w:eastAsia="仿宋_GB2312" w:hAnsi="Times New Roman" w:cs="宋体" w:hint="eastAsia"/>
                <w:sz w:val="24"/>
                <w:szCs w:val="24"/>
              </w:rPr>
              <w:t xml:space="preserve"> </w:t>
            </w:r>
            <w:r>
              <w:rPr>
                <w:rFonts w:ascii="Times New Roman" w:eastAsia="仿宋_GB2312" w:hAnsi="Times New Roman" w:cs="宋体"/>
                <w:sz w:val="24"/>
                <w:szCs w:val="24"/>
              </w:rPr>
              <w:t>60601-2-49</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2-49</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多参数患者监护设备的基本安全和基本性能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0668</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9706.249</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52</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w:t>
            </w:r>
            <w:r>
              <w:rPr>
                <w:rFonts w:ascii="Times New Roman" w:eastAsia="仿宋_GB2312" w:hAnsi="Times New Roman" w:cs="宋体" w:hint="eastAsia"/>
                <w:sz w:val="24"/>
                <w:szCs w:val="24"/>
              </w:rPr>
              <w:t xml:space="preserve"> </w:t>
            </w:r>
            <w:r>
              <w:rPr>
                <w:rFonts w:ascii="Times New Roman" w:eastAsia="仿宋_GB2312" w:hAnsi="Times New Roman" w:cs="宋体"/>
                <w:sz w:val="24"/>
                <w:szCs w:val="24"/>
              </w:rPr>
              <w:t>60601-2-50</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2-50</w:t>
            </w:r>
            <w:r>
              <w:rPr>
                <w:rFonts w:ascii="Times New Roman" w:eastAsia="仿宋_GB2312" w:hAnsi="Times New Roman" w:cs="宋体" w:hint="eastAsia"/>
                <w:sz w:val="24"/>
                <w:szCs w:val="24"/>
              </w:rPr>
              <w:t>部分：婴儿</w:t>
            </w:r>
            <w:proofErr w:type="gramStart"/>
            <w:r>
              <w:rPr>
                <w:rFonts w:ascii="Times New Roman" w:eastAsia="仿宋_GB2312" w:hAnsi="Times New Roman" w:cs="宋体" w:hint="eastAsia"/>
                <w:sz w:val="24"/>
                <w:szCs w:val="24"/>
              </w:rPr>
              <w:t>光治疗</w:t>
            </w:r>
            <w:proofErr w:type="gramEnd"/>
            <w:r>
              <w:rPr>
                <w:rFonts w:ascii="Times New Roman" w:eastAsia="仿宋_GB2312" w:hAnsi="Times New Roman" w:cs="宋体" w:hint="eastAsia"/>
                <w:sz w:val="24"/>
                <w:szCs w:val="24"/>
              </w:rPr>
              <w:t>设备基本安全和基本性能的</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0669</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 xml:space="preserve">YY </w:t>
            </w:r>
            <w:r>
              <w:rPr>
                <w:rFonts w:ascii="Times New Roman" w:eastAsia="仿宋_GB2312" w:hAnsi="Times New Roman" w:cs="宋体" w:hint="eastAsia"/>
                <w:sz w:val="24"/>
                <w:szCs w:val="24"/>
              </w:rPr>
              <w:t>9706.250</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53</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60601-2-52</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2-52</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医用病床的基本安全和基本性能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0571</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9706.252</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54</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ISO 80601-2-56</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2-56</w:t>
            </w:r>
            <w:r>
              <w:rPr>
                <w:rFonts w:ascii="Times New Roman" w:eastAsia="仿宋_GB2312" w:hAnsi="Times New Roman" w:cs="宋体" w:hint="eastAsia"/>
                <w:sz w:val="24"/>
                <w:szCs w:val="24"/>
              </w:rPr>
              <w:t>部分：用于体温测量的临床体温计的基本安全和基本性能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YY0785</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9706.256</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55</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w:t>
            </w:r>
            <w:r>
              <w:rPr>
                <w:rFonts w:ascii="Times New Roman" w:eastAsia="仿宋_GB2312" w:hAnsi="Times New Roman" w:cs="宋体" w:hint="eastAsia"/>
                <w:sz w:val="24"/>
                <w:szCs w:val="24"/>
              </w:rPr>
              <w:t xml:space="preserve"> </w:t>
            </w:r>
            <w:r>
              <w:rPr>
                <w:rFonts w:ascii="Times New Roman" w:eastAsia="仿宋_GB2312" w:hAnsi="Times New Roman" w:cs="宋体"/>
                <w:sz w:val="24"/>
                <w:szCs w:val="24"/>
              </w:rPr>
              <w:t>60601-2-57</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2-57</w:t>
            </w:r>
            <w:r>
              <w:rPr>
                <w:rFonts w:ascii="Times New Roman" w:eastAsia="仿宋_GB2312" w:hAnsi="Times New Roman" w:cs="宋体" w:hint="eastAsia"/>
                <w:sz w:val="24"/>
                <w:szCs w:val="24"/>
              </w:rPr>
              <w:t>部分：治疗、诊断、监测和整形</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医疗美容使用的非激光光源设备基本安全和基本性能的</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9706.257</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56</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80601-2-58</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2-58</w:t>
            </w:r>
            <w:r>
              <w:rPr>
                <w:rFonts w:ascii="Times New Roman" w:eastAsia="仿宋_GB2312" w:hAnsi="Times New Roman" w:cs="宋体" w:hint="eastAsia"/>
                <w:sz w:val="24"/>
                <w:szCs w:val="24"/>
              </w:rPr>
              <w:t>部分：眼科手术用晶状体摘除及玻璃体切除设备基本安全和主要性能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9706.258</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57</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ISO 80601-2-61</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2-61</w:t>
            </w:r>
            <w:r>
              <w:rPr>
                <w:rFonts w:ascii="Times New Roman" w:eastAsia="仿宋_GB2312" w:hAnsi="Times New Roman" w:cs="宋体" w:hint="eastAsia"/>
                <w:sz w:val="24"/>
                <w:szCs w:val="24"/>
              </w:rPr>
              <w:t>部分</w:t>
            </w:r>
            <w:r>
              <w:rPr>
                <w:rFonts w:ascii="Times New Roman" w:eastAsia="仿宋_GB2312" w:hAnsi="Times New Roman" w:cs="宋体" w:hint="eastAsia"/>
                <w:sz w:val="24"/>
                <w:szCs w:val="24"/>
              </w:rPr>
              <w:t>:</w:t>
            </w:r>
            <w:r>
              <w:rPr>
                <w:rFonts w:ascii="Times New Roman" w:eastAsia="仿宋_GB2312" w:hAnsi="Times New Roman" w:cs="宋体" w:hint="eastAsia"/>
                <w:sz w:val="24"/>
                <w:szCs w:val="24"/>
              </w:rPr>
              <w:t>脉搏血氧设备的基本安全和基本性能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0784</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9706.261</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lastRenderedPageBreak/>
              <w:t>58</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60601-2-62</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2-62</w:t>
            </w:r>
            <w:r>
              <w:rPr>
                <w:rFonts w:ascii="Times New Roman" w:eastAsia="仿宋_GB2312" w:hAnsi="Times New Roman" w:cs="宋体" w:hint="eastAsia"/>
                <w:sz w:val="24"/>
                <w:szCs w:val="24"/>
              </w:rPr>
              <w:t>部分：高强度超声治疗</w:t>
            </w:r>
            <w:r>
              <w:rPr>
                <w:rFonts w:ascii="Times New Roman" w:eastAsia="仿宋_GB2312" w:hAnsi="Times New Roman" w:cs="宋体" w:hint="eastAsia"/>
                <w:sz w:val="24"/>
                <w:szCs w:val="24"/>
              </w:rPr>
              <w:t>(HITU)</w:t>
            </w:r>
            <w:r>
              <w:rPr>
                <w:rFonts w:ascii="Times New Roman" w:eastAsia="仿宋_GB2312" w:hAnsi="Times New Roman" w:cs="宋体" w:hint="eastAsia"/>
                <w:sz w:val="24"/>
                <w:szCs w:val="24"/>
              </w:rPr>
              <w:t>设备基本安全和基本性能的</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 xml:space="preserve">YY </w:t>
            </w:r>
            <w:r>
              <w:rPr>
                <w:rFonts w:ascii="Times New Roman" w:eastAsia="仿宋_GB2312" w:hAnsi="Times New Roman" w:cs="宋体" w:hint="eastAsia"/>
                <w:sz w:val="24"/>
                <w:szCs w:val="24"/>
              </w:rPr>
              <w:t>9706.262</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59</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 xml:space="preserve">IEC 60601-2-64   </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2-64</w:t>
            </w:r>
            <w:r>
              <w:rPr>
                <w:rFonts w:ascii="Times New Roman" w:eastAsia="仿宋_GB2312" w:hAnsi="Times New Roman" w:cs="宋体" w:hint="eastAsia"/>
                <w:sz w:val="24"/>
                <w:szCs w:val="24"/>
              </w:rPr>
              <w:t>部分：轻离子束医用电气设备的基本安全和基本性能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9706.264</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60</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60601-2-68</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2-68</w:t>
            </w:r>
            <w:r>
              <w:rPr>
                <w:rFonts w:ascii="Times New Roman" w:eastAsia="仿宋_GB2312" w:hAnsi="Times New Roman" w:cs="宋体" w:hint="eastAsia"/>
                <w:sz w:val="24"/>
                <w:szCs w:val="24"/>
              </w:rPr>
              <w:t>部分：电子加速器、轻离子束治疗设备和放射性核素射束治疗设备用的</w:t>
            </w:r>
            <w:r>
              <w:rPr>
                <w:rFonts w:ascii="Times New Roman" w:eastAsia="仿宋_GB2312" w:hAnsi="Times New Roman" w:cs="宋体" w:hint="eastAsia"/>
                <w:sz w:val="24"/>
                <w:szCs w:val="24"/>
              </w:rPr>
              <w:t>X</w:t>
            </w:r>
            <w:r>
              <w:rPr>
                <w:rFonts w:ascii="Times New Roman" w:eastAsia="仿宋_GB2312" w:hAnsi="Times New Roman" w:cs="宋体" w:hint="eastAsia"/>
                <w:sz w:val="24"/>
                <w:szCs w:val="24"/>
              </w:rPr>
              <w:t>射线图像引导放射治疗设备的基本安全和基本性能</w:t>
            </w:r>
            <w:proofErr w:type="gramStart"/>
            <w:r>
              <w:rPr>
                <w:rFonts w:ascii="Times New Roman" w:eastAsia="仿宋_GB2312" w:hAnsi="Times New Roman" w:cs="宋体" w:hint="eastAsia"/>
                <w:sz w:val="24"/>
                <w:szCs w:val="24"/>
              </w:rPr>
              <w:t>专用要求</w:t>
            </w:r>
            <w:proofErr w:type="gramEnd"/>
            <w:r>
              <w:rPr>
                <w:rFonts w:ascii="Times New Roman" w:eastAsia="仿宋_GB2312" w:hAnsi="Times New Roman" w:cs="宋体" w:hint="eastAsia"/>
                <w:sz w:val="24"/>
                <w:szCs w:val="24"/>
              </w:rPr>
              <w:t xml:space="preserve"> </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9706.268</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61</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ISO</w:t>
            </w:r>
            <w:r>
              <w:rPr>
                <w:rFonts w:ascii="Times New Roman" w:eastAsia="仿宋_GB2312" w:hAnsi="Times New Roman" w:cs="宋体" w:hint="eastAsia"/>
                <w:sz w:val="24"/>
                <w:szCs w:val="24"/>
              </w:rPr>
              <w:t xml:space="preserve"> </w:t>
            </w:r>
            <w:r>
              <w:rPr>
                <w:rFonts w:ascii="Times New Roman" w:eastAsia="仿宋_GB2312" w:hAnsi="Times New Roman" w:cs="宋体"/>
                <w:sz w:val="24"/>
                <w:szCs w:val="24"/>
              </w:rPr>
              <w:t>80601-2-69</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2-69</w:t>
            </w:r>
            <w:r>
              <w:rPr>
                <w:rFonts w:ascii="Times New Roman" w:eastAsia="仿宋_GB2312" w:hAnsi="Times New Roman" w:cs="宋体" w:hint="eastAsia"/>
                <w:sz w:val="24"/>
                <w:szCs w:val="24"/>
              </w:rPr>
              <w:t>部分：氧气浓缩器的基本安全和基本性能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9706.269</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62</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ISO</w:t>
            </w:r>
            <w:r>
              <w:rPr>
                <w:rFonts w:ascii="Times New Roman" w:eastAsia="仿宋_GB2312" w:hAnsi="Times New Roman" w:cs="宋体" w:hint="eastAsia"/>
                <w:sz w:val="24"/>
                <w:szCs w:val="24"/>
              </w:rPr>
              <w:t xml:space="preserve"> </w:t>
            </w:r>
            <w:r>
              <w:rPr>
                <w:rFonts w:ascii="Times New Roman" w:eastAsia="仿宋_GB2312" w:hAnsi="Times New Roman" w:cs="宋体"/>
                <w:sz w:val="24"/>
                <w:szCs w:val="24"/>
              </w:rPr>
              <w:t>80601-2-70</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2-70</w:t>
            </w:r>
            <w:r>
              <w:rPr>
                <w:rFonts w:ascii="Times New Roman" w:eastAsia="仿宋_GB2312" w:hAnsi="Times New Roman" w:cs="宋体" w:hint="eastAsia"/>
                <w:sz w:val="24"/>
                <w:szCs w:val="24"/>
              </w:rPr>
              <w:t>部分：睡眠呼吸暂停治疗设备的基本安全和基本性能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9706.270</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63</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ISO</w:t>
            </w:r>
            <w:r>
              <w:rPr>
                <w:rFonts w:ascii="Times New Roman" w:eastAsia="仿宋_GB2312" w:hAnsi="Times New Roman" w:cs="宋体" w:hint="eastAsia"/>
                <w:sz w:val="24"/>
                <w:szCs w:val="24"/>
              </w:rPr>
              <w:t xml:space="preserve"> </w:t>
            </w:r>
            <w:r>
              <w:rPr>
                <w:rFonts w:ascii="Times New Roman" w:eastAsia="仿宋_GB2312" w:hAnsi="Times New Roman" w:cs="宋体"/>
                <w:sz w:val="24"/>
                <w:szCs w:val="24"/>
              </w:rPr>
              <w:t>80601-2-72</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2-72</w:t>
            </w:r>
            <w:r>
              <w:rPr>
                <w:rFonts w:ascii="Times New Roman" w:eastAsia="仿宋_GB2312" w:hAnsi="Times New Roman" w:cs="宋体" w:hint="eastAsia"/>
                <w:sz w:val="24"/>
                <w:szCs w:val="24"/>
              </w:rPr>
              <w:t>部分：依赖呼吸机患者使用的家用呼吸机的基本安全和基本性能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9706.272</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64</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ISO</w:t>
            </w:r>
            <w:r>
              <w:rPr>
                <w:rFonts w:ascii="Times New Roman" w:eastAsia="仿宋_GB2312" w:hAnsi="Times New Roman" w:cs="宋体" w:hint="eastAsia"/>
                <w:sz w:val="24"/>
                <w:szCs w:val="24"/>
              </w:rPr>
              <w:t xml:space="preserve"> </w:t>
            </w:r>
            <w:r>
              <w:rPr>
                <w:rFonts w:ascii="Times New Roman" w:eastAsia="仿宋_GB2312" w:hAnsi="Times New Roman" w:cs="宋体"/>
                <w:sz w:val="24"/>
                <w:szCs w:val="24"/>
              </w:rPr>
              <w:t>80601-2-74</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2-74</w:t>
            </w:r>
            <w:r>
              <w:rPr>
                <w:rFonts w:ascii="Times New Roman" w:eastAsia="仿宋_GB2312" w:hAnsi="Times New Roman" w:cs="宋体" w:hint="eastAsia"/>
                <w:sz w:val="24"/>
                <w:szCs w:val="24"/>
              </w:rPr>
              <w:t>部分：呼吸湿化设备的基本安全和基本性能</w:t>
            </w:r>
            <w:proofErr w:type="gramStart"/>
            <w:r>
              <w:rPr>
                <w:rFonts w:ascii="Times New Roman" w:eastAsia="仿宋_GB2312" w:hAnsi="Times New Roman" w:cs="宋体" w:hint="eastAsia"/>
                <w:sz w:val="24"/>
                <w:szCs w:val="24"/>
              </w:rPr>
              <w:t>专用要求</w:t>
            </w:r>
            <w:proofErr w:type="gramEnd"/>
            <w:r>
              <w:rPr>
                <w:rFonts w:ascii="Times New Roman" w:eastAsia="仿宋_GB2312" w:hAnsi="Times New Roman" w:cs="宋体" w:hint="eastAsia"/>
                <w:sz w:val="24"/>
                <w:szCs w:val="24"/>
              </w:rPr>
              <w:t xml:space="preserve"> </w:t>
            </w:r>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 xml:space="preserve">YY </w:t>
            </w:r>
            <w:r>
              <w:rPr>
                <w:rFonts w:ascii="Times New Roman" w:eastAsia="仿宋_GB2312" w:hAnsi="Times New Roman" w:cs="宋体" w:hint="eastAsia"/>
                <w:sz w:val="24"/>
                <w:szCs w:val="24"/>
              </w:rPr>
              <w:t>9706.274</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65</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80601-2-77</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sz w:val="24"/>
                <w:szCs w:val="24"/>
              </w:rPr>
              <w:t>2-77</w:t>
            </w:r>
            <w:r>
              <w:rPr>
                <w:rFonts w:ascii="Times New Roman" w:eastAsia="仿宋_GB2312" w:hAnsi="Times New Roman" w:cs="宋体" w:hint="eastAsia"/>
                <w:sz w:val="24"/>
                <w:szCs w:val="24"/>
              </w:rPr>
              <w:t>部分：机器人辅助手术设备基本安全和基本性能的</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9706.277</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66</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 80601-2-78</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pacing w:val="-6"/>
                <w:sz w:val="24"/>
                <w:szCs w:val="24"/>
              </w:rPr>
              <w:t>医用电气设备</w:t>
            </w:r>
            <w:r>
              <w:rPr>
                <w:rFonts w:ascii="Times New Roman" w:eastAsia="仿宋_GB2312" w:hAnsi="Times New Roman" w:cs="宋体"/>
                <w:spacing w:val="-6"/>
                <w:sz w:val="24"/>
                <w:szCs w:val="24"/>
              </w:rPr>
              <w:t xml:space="preserve"> </w:t>
            </w:r>
            <w:r>
              <w:rPr>
                <w:rFonts w:ascii="Times New Roman" w:eastAsia="仿宋_GB2312" w:hAnsi="Times New Roman" w:cs="宋体" w:hint="eastAsia"/>
                <w:spacing w:val="-6"/>
                <w:sz w:val="24"/>
                <w:szCs w:val="24"/>
              </w:rPr>
              <w:t>第</w:t>
            </w:r>
            <w:r>
              <w:rPr>
                <w:rFonts w:ascii="Times New Roman" w:eastAsia="仿宋_GB2312" w:hAnsi="Times New Roman" w:cs="宋体"/>
                <w:spacing w:val="-6"/>
                <w:sz w:val="24"/>
                <w:szCs w:val="24"/>
              </w:rPr>
              <w:t>2-78</w:t>
            </w:r>
            <w:r>
              <w:rPr>
                <w:rFonts w:ascii="Times New Roman" w:eastAsia="仿宋_GB2312" w:hAnsi="Times New Roman" w:cs="宋体" w:hint="eastAsia"/>
                <w:spacing w:val="-6"/>
                <w:sz w:val="24"/>
                <w:szCs w:val="24"/>
              </w:rPr>
              <w:t>部分：康复、评估、补偿或缓解医用机器人基本安全和基本性能的</w:t>
            </w:r>
            <w:proofErr w:type="gramStart"/>
            <w:r>
              <w:rPr>
                <w:rFonts w:ascii="Times New Roman" w:eastAsia="仿宋_GB2312" w:hAnsi="Times New Roman" w:cs="宋体" w:hint="eastAsia"/>
                <w:spacing w:val="-6"/>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9706.278</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67</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ISO 80601-2-79</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sz w:val="24"/>
                <w:szCs w:val="24"/>
              </w:rPr>
              <w:t>2-79</w:t>
            </w:r>
            <w:r>
              <w:rPr>
                <w:rFonts w:ascii="Times New Roman" w:eastAsia="仿宋_GB2312" w:hAnsi="Times New Roman" w:cs="宋体" w:hint="eastAsia"/>
                <w:sz w:val="24"/>
                <w:szCs w:val="24"/>
              </w:rPr>
              <w:t>部分：用于呼吸功能障碍的呼吸支持设备的基本安全和基本性能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9706.279</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68</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ISO 80601-2-80</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sz w:val="24"/>
                <w:szCs w:val="24"/>
              </w:rPr>
              <w:t>2-80</w:t>
            </w:r>
            <w:r>
              <w:rPr>
                <w:rFonts w:ascii="Times New Roman" w:eastAsia="仿宋_GB2312" w:hAnsi="Times New Roman" w:cs="宋体" w:hint="eastAsia"/>
                <w:sz w:val="24"/>
                <w:szCs w:val="24"/>
              </w:rPr>
              <w:t>部分：用于呼吸功能不全的呼吸支持设备的基本安全和基本性能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9706.280</w:t>
            </w:r>
          </w:p>
        </w:tc>
      </w:tr>
      <w:tr w:rsidR="0020761B">
        <w:trPr>
          <w:cantSplit/>
          <w:trHeight w:val="510"/>
        </w:trPr>
        <w:tc>
          <w:tcPr>
            <w:tcW w:w="264"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69</w:t>
            </w:r>
          </w:p>
        </w:tc>
        <w:tc>
          <w:tcPr>
            <w:tcW w:w="66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sz w:val="24"/>
                <w:szCs w:val="24"/>
              </w:rPr>
              <w:t>IEC</w:t>
            </w:r>
            <w:r>
              <w:rPr>
                <w:rFonts w:ascii="Times New Roman" w:eastAsia="仿宋_GB2312" w:hAnsi="Times New Roman" w:cs="宋体" w:hint="eastAsia"/>
                <w:sz w:val="24"/>
                <w:szCs w:val="24"/>
              </w:rPr>
              <w:t xml:space="preserve"> </w:t>
            </w:r>
            <w:r>
              <w:rPr>
                <w:rFonts w:ascii="Times New Roman" w:eastAsia="仿宋_GB2312" w:hAnsi="Times New Roman" w:cs="宋体"/>
                <w:sz w:val="24"/>
                <w:szCs w:val="24"/>
              </w:rPr>
              <w:t>60601-2-84</w:t>
            </w:r>
          </w:p>
        </w:tc>
        <w:tc>
          <w:tcPr>
            <w:tcW w:w="1849"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医用电气设备</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第</w:t>
            </w:r>
            <w:r>
              <w:rPr>
                <w:rFonts w:ascii="Times New Roman" w:eastAsia="仿宋_GB2312" w:hAnsi="Times New Roman" w:cs="宋体" w:hint="eastAsia"/>
                <w:sz w:val="24"/>
                <w:szCs w:val="24"/>
              </w:rPr>
              <w:t>2-84</w:t>
            </w:r>
            <w:r>
              <w:rPr>
                <w:rFonts w:ascii="Times New Roman" w:eastAsia="仿宋_GB2312" w:hAnsi="Times New Roman" w:cs="宋体" w:hint="eastAsia"/>
                <w:sz w:val="24"/>
                <w:szCs w:val="24"/>
              </w:rPr>
              <w:t>部分：急救呼吸机的基本安全和基本性能</w:t>
            </w:r>
            <w:proofErr w:type="gramStart"/>
            <w:r>
              <w:rPr>
                <w:rFonts w:ascii="Times New Roman" w:eastAsia="仿宋_GB2312" w:hAnsi="Times New Roman" w:cs="宋体" w:hint="eastAsia"/>
                <w:sz w:val="24"/>
                <w:szCs w:val="24"/>
              </w:rPr>
              <w:t>专用要求</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proofErr w:type="gramStart"/>
            <w:r>
              <w:rPr>
                <w:rFonts w:ascii="Times New Roman" w:eastAsia="仿宋_GB2312" w:hAnsi="Times New Roman" w:cs="宋体" w:hint="eastAsia"/>
                <w:sz w:val="24"/>
                <w:szCs w:val="24"/>
              </w:rPr>
              <w:t>行标</w:t>
            </w:r>
            <w:proofErr w:type="gramEnd"/>
          </w:p>
        </w:tc>
        <w:tc>
          <w:tcPr>
            <w:tcW w:w="447"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强制</w:t>
            </w:r>
          </w:p>
        </w:tc>
        <w:tc>
          <w:tcPr>
            <w:tcW w:w="598"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无</w:t>
            </w:r>
          </w:p>
        </w:tc>
        <w:tc>
          <w:tcPr>
            <w:tcW w:w="725" w:type="pct"/>
            <w:shd w:val="clear" w:color="auto" w:fill="auto"/>
            <w:vAlign w:val="center"/>
          </w:tcPr>
          <w:p w:rsidR="0020761B" w:rsidRDefault="00EB6E6F">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YY 9706.284</w:t>
            </w:r>
          </w:p>
        </w:tc>
      </w:tr>
    </w:tbl>
    <w:p w:rsidR="0020761B" w:rsidRDefault="0020761B" w:rsidP="00EB6E6F">
      <w:pPr>
        <w:spacing w:line="360" w:lineRule="auto"/>
        <w:outlineLvl w:val="0"/>
        <w:rPr>
          <w:rFonts w:ascii="Times New Roman" w:eastAsia="仿宋_GB2312" w:hAnsi="Times New Roman"/>
          <w:sz w:val="32"/>
          <w:szCs w:val="32"/>
        </w:rPr>
      </w:pPr>
      <w:bookmarkStart w:id="5" w:name="_GoBack"/>
      <w:bookmarkEnd w:id="5"/>
    </w:p>
    <w:sectPr w:rsidR="0020761B">
      <w:footerReference w:type="even" r:id="rId12"/>
      <w:footnotePr>
        <w:numRestart w:val="eachPage"/>
      </w:footnotePr>
      <w:pgSz w:w="16838" w:h="11906" w:orient="landscape"/>
      <w:pgMar w:top="1361" w:right="1474" w:bottom="1361" w:left="1361" w:header="851" w:footer="992" w:gutter="0"/>
      <w:cols w:space="0"/>
      <w:docGrid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6E6F">
      <w:r>
        <w:separator/>
      </w:r>
    </w:p>
  </w:endnote>
  <w:endnote w:type="continuationSeparator" w:id="0">
    <w:p w:rsidR="00000000" w:rsidRDefault="00EB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06663"/>
    </w:sdtPr>
    <w:sdtEndPr>
      <w:rPr>
        <w:rFonts w:asciiTheme="minorEastAsia" w:eastAsiaTheme="minorEastAsia" w:hAnsiTheme="minorEastAsia"/>
        <w:sz w:val="28"/>
        <w:szCs w:val="28"/>
      </w:rPr>
    </w:sdtEndPr>
    <w:sdtContent>
      <w:p w:rsidR="0020761B" w:rsidRDefault="00EB6E6F">
        <w:pPr>
          <w:pStyle w:val="a9"/>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54 -</w:t>
        </w:r>
        <w:r>
          <w:rPr>
            <w:rFonts w:asciiTheme="minorEastAsia" w:eastAsiaTheme="minorEastAsia" w:hAnsiTheme="minorEastAsia"/>
            <w:sz w:val="28"/>
            <w:szCs w:val="28"/>
          </w:rPr>
          <w:fldChar w:fldCharType="end"/>
        </w:r>
      </w:p>
    </w:sdtContent>
  </w:sdt>
  <w:p w:rsidR="0020761B" w:rsidRDefault="0020761B">
    <w:pPr>
      <w:pStyle w:val="a9"/>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6E6F">
      <w:r>
        <w:separator/>
      </w:r>
    </w:p>
  </w:footnote>
  <w:footnote w:type="continuationSeparator" w:id="0">
    <w:p w:rsidR="00000000" w:rsidRDefault="00EB6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chineseCountingThousand"/>
      <w:pStyle w:val="a"/>
      <w:lvlText w:val="(%1)"/>
      <w:lvlJc w:val="left"/>
      <w:pPr>
        <w:ind w:left="1047" w:hanging="420"/>
      </w:p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1">
    <w:nsid w:val="00000005"/>
    <w:multiLevelType w:val="multilevel"/>
    <w:tmpl w:val="00000005"/>
    <w:lvl w:ilvl="0">
      <w:start w:val="1"/>
      <w:numFmt w:val="decimal"/>
      <w:pStyle w:val="a0"/>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nsid w:val="02EE0E3D"/>
    <w:multiLevelType w:val="multilevel"/>
    <w:tmpl w:val="02EE0E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420"/>
  <w:drawingGridHorizontalSpacing w:val="97"/>
  <w:drawingGridVerticalSpacing w:val="287"/>
  <w:noPunctuationKerning/>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57"/>
    <w:rsid w:val="00012C23"/>
    <w:rsid w:val="00054775"/>
    <w:rsid w:val="00070B40"/>
    <w:rsid w:val="00081D42"/>
    <w:rsid w:val="000C057E"/>
    <w:rsid w:val="00114BA0"/>
    <w:rsid w:val="00191EA8"/>
    <w:rsid w:val="001966F4"/>
    <w:rsid w:val="001C5F85"/>
    <w:rsid w:val="001D797B"/>
    <w:rsid w:val="0020761B"/>
    <w:rsid w:val="00286C8A"/>
    <w:rsid w:val="002A1505"/>
    <w:rsid w:val="002A35B0"/>
    <w:rsid w:val="002C6921"/>
    <w:rsid w:val="002E199C"/>
    <w:rsid w:val="003C2957"/>
    <w:rsid w:val="003D0AC5"/>
    <w:rsid w:val="003E6AE0"/>
    <w:rsid w:val="004F1F08"/>
    <w:rsid w:val="00597AB8"/>
    <w:rsid w:val="006058E7"/>
    <w:rsid w:val="006222E6"/>
    <w:rsid w:val="0068230C"/>
    <w:rsid w:val="006B1179"/>
    <w:rsid w:val="006F2694"/>
    <w:rsid w:val="00700A2E"/>
    <w:rsid w:val="0070697D"/>
    <w:rsid w:val="007159A9"/>
    <w:rsid w:val="007437D6"/>
    <w:rsid w:val="00752A12"/>
    <w:rsid w:val="00772916"/>
    <w:rsid w:val="0078217A"/>
    <w:rsid w:val="007B7DCC"/>
    <w:rsid w:val="007D4AB7"/>
    <w:rsid w:val="0080711A"/>
    <w:rsid w:val="00851E9C"/>
    <w:rsid w:val="00863876"/>
    <w:rsid w:val="008F031A"/>
    <w:rsid w:val="008F6DBC"/>
    <w:rsid w:val="009471AA"/>
    <w:rsid w:val="00970C00"/>
    <w:rsid w:val="009C7F38"/>
    <w:rsid w:val="00A1176D"/>
    <w:rsid w:val="00A367D8"/>
    <w:rsid w:val="00A704ED"/>
    <w:rsid w:val="00AC0710"/>
    <w:rsid w:val="00AC2683"/>
    <w:rsid w:val="00B5008F"/>
    <w:rsid w:val="00B50595"/>
    <w:rsid w:val="00C17180"/>
    <w:rsid w:val="00C54B74"/>
    <w:rsid w:val="00CE0AF1"/>
    <w:rsid w:val="00D04C96"/>
    <w:rsid w:val="00D76DEA"/>
    <w:rsid w:val="00D83FC5"/>
    <w:rsid w:val="00D84B22"/>
    <w:rsid w:val="00D94307"/>
    <w:rsid w:val="00EA000E"/>
    <w:rsid w:val="00EB6E6F"/>
    <w:rsid w:val="00ED77F9"/>
    <w:rsid w:val="00F06AC5"/>
    <w:rsid w:val="00F84066"/>
    <w:rsid w:val="00F96266"/>
    <w:rsid w:val="00FB002B"/>
    <w:rsid w:val="00FD3CDC"/>
    <w:rsid w:val="00FF6CE7"/>
    <w:rsid w:val="00FF75F8"/>
    <w:rsid w:val="03E074C5"/>
    <w:rsid w:val="07593DF7"/>
    <w:rsid w:val="0F5357E6"/>
    <w:rsid w:val="13EA1747"/>
    <w:rsid w:val="25FE5A6E"/>
    <w:rsid w:val="264855B4"/>
    <w:rsid w:val="28147589"/>
    <w:rsid w:val="34197737"/>
    <w:rsid w:val="35155921"/>
    <w:rsid w:val="3B4715A0"/>
    <w:rsid w:val="418B1817"/>
    <w:rsid w:val="43B9413D"/>
    <w:rsid w:val="488310F9"/>
    <w:rsid w:val="48B107A4"/>
    <w:rsid w:val="4C545A6C"/>
    <w:rsid w:val="4FF16BA9"/>
    <w:rsid w:val="537F3A9B"/>
    <w:rsid w:val="5BAE0E5F"/>
    <w:rsid w:val="5E393B73"/>
    <w:rsid w:val="5F1B3BA5"/>
    <w:rsid w:val="62835017"/>
    <w:rsid w:val="64C5344F"/>
    <w:rsid w:val="660C5D7E"/>
    <w:rsid w:val="69193630"/>
    <w:rsid w:val="6AEC4AC6"/>
    <w:rsid w:val="7AFA7B5B"/>
    <w:rsid w:val="7EFA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Calibri" w:hAnsi="Calibri"/>
    </w:rPr>
  </w:style>
  <w:style w:type="paragraph" w:styleId="1">
    <w:name w:val="heading 1"/>
    <w:basedOn w:val="a1"/>
    <w:next w:val="a1"/>
    <w:link w:val="1Char"/>
    <w:uiPriority w:val="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1"/>
    <w:next w:val="a1"/>
    <w:link w:val="2Char"/>
    <w:uiPriority w:val="9"/>
    <w:qFormat/>
    <w:pPr>
      <w:keepNext/>
      <w:keepLines/>
      <w:spacing w:before="260" w:after="260" w:line="416" w:lineRule="auto"/>
      <w:outlineLvl w:val="1"/>
    </w:pPr>
    <w:rPr>
      <w:rFonts w:ascii="Cambria" w:hAnsi="Cambria"/>
      <w:b/>
      <w:bCs/>
      <w:kern w:val="2"/>
      <w:sz w:val="32"/>
      <w:szCs w:val="32"/>
    </w:rPr>
  </w:style>
  <w:style w:type="paragraph" w:styleId="3">
    <w:name w:val="heading 3"/>
    <w:basedOn w:val="a1"/>
    <w:next w:val="a1"/>
    <w:link w:val="3Char"/>
    <w:uiPriority w:val="9"/>
    <w:qFormat/>
    <w:pPr>
      <w:keepNext/>
      <w:keepLines/>
      <w:spacing w:before="260" w:after="260" w:line="416" w:lineRule="auto"/>
      <w:outlineLvl w:val="2"/>
    </w:pPr>
    <w:rPr>
      <w:rFonts w:ascii="Times New Roman" w:hAnsi="Times New Roman"/>
      <w:b/>
      <w:bCs/>
      <w:kern w:val="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39"/>
    <w:qFormat/>
    <w:pPr>
      <w:ind w:left="1200"/>
      <w:jc w:val="left"/>
    </w:pPr>
    <w:rPr>
      <w:rFonts w:cs="Calibri"/>
      <w:sz w:val="18"/>
      <w:szCs w:val="18"/>
    </w:rPr>
  </w:style>
  <w:style w:type="paragraph" w:styleId="a5">
    <w:name w:val="caption"/>
    <w:basedOn w:val="a1"/>
    <w:next w:val="a1"/>
    <w:uiPriority w:val="35"/>
    <w:qFormat/>
    <w:rPr>
      <w:rFonts w:ascii="Cambria" w:eastAsia="黑体" w:hAnsi="Cambria"/>
    </w:rPr>
  </w:style>
  <w:style w:type="paragraph" w:styleId="a6">
    <w:name w:val="annotation text"/>
    <w:basedOn w:val="a1"/>
    <w:link w:val="Char"/>
    <w:uiPriority w:val="99"/>
    <w:semiHidden/>
    <w:unhideWhenUsed/>
    <w:qFormat/>
    <w:pPr>
      <w:jc w:val="left"/>
    </w:pPr>
  </w:style>
  <w:style w:type="paragraph" w:styleId="5">
    <w:name w:val="toc 5"/>
    <w:basedOn w:val="a1"/>
    <w:next w:val="a1"/>
    <w:uiPriority w:val="39"/>
    <w:qFormat/>
    <w:pPr>
      <w:ind w:left="800"/>
      <w:jc w:val="left"/>
    </w:pPr>
    <w:rPr>
      <w:rFonts w:cs="Calibri"/>
      <w:sz w:val="18"/>
      <w:szCs w:val="18"/>
    </w:rPr>
  </w:style>
  <w:style w:type="paragraph" w:styleId="30">
    <w:name w:val="toc 3"/>
    <w:basedOn w:val="a1"/>
    <w:next w:val="a1"/>
    <w:uiPriority w:val="39"/>
    <w:qFormat/>
    <w:pPr>
      <w:ind w:left="400"/>
      <w:jc w:val="left"/>
    </w:pPr>
    <w:rPr>
      <w:rFonts w:cs="Calibri"/>
      <w:i/>
      <w:iCs/>
    </w:rPr>
  </w:style>
  <w:style w:type="paragraph" w:styleId="8">
    <w:name w:val="toc 8"/>
    <w:basedOn w:val="a1"/>
    <w:next w:val="a1"/>
    <w:uiPriority w:val="39"/>
    <w:qFormat/>
    <w:pPr>
      <w:ind w:left="1400"/>
      <w:jc w:val="left"/>
    </w:pPr>
    <w:rPr>
      <w:rFonts w:cs="Calibri"/>
      <w:sz w:val="18"/>
      <w:szCs w:val="18"/>
    </w:rPr>
  </w:style>
  <w:style w:type="paragraph" w:styleId="a7">
    <w:name w:val="Date"/>
    <w:basedOn w:val="a1"/>
    <w:next w:val="a1"/>
    <w:link w:val="Char0"/>
    <w:uiPriority w:val="99"/>
    <w:qFormat/>
    <w:pPr>
      <w:ind w:leftChars="2500" w:left="100"/>
    </w:pPr>
    <w:rPr>
      <w:rFonts w:ascii="Times New Roman" w:hAnsi="Times New Roman"/>
      <w:kern w:val="2"/>
      <w:sz w:val="21"/>
      <w:szCs w:val="24"/>
    </w:rPr>
  </w:style>
  <w:style w:type="paragraph" w:styleId="a8">
    <w:name w:val="Balloon Text"/>
    <w:basedOn w:val="a1"/>
    <w:link w:val="Char1"/>
    <w:uiPriority w:val="99"/>
    <w:qFormat/>
    <w:rPr>
      <w:rFonts w:ascii="Times New Roman" w:hAnsi="Times New Roman"/>
      <w:sz w:val="18"/>
      <w:szCs w:val="18"/>
    </w:rPr>
  </w:style>
  <w:style w:type="paragraph" w:styleId="a9">
    <w:name w:val="footer"/>
    <w:basedOn w:val="a1"/>
    <w:link w:val="Char2"/>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1"/>
    <w:link w:val="Char3"/>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1"/>
    <w:next w:val="a1"/>
    <w:uiPriority w:val="39"/>
    <w:qFormat/>
    <w:pPr>
      <w:spacing w:before="120" w:after="120"/>
      <w:jc w:val="left"/>
    </w:pPr>
    <w:rPr>
      <w:rFonts w:cs="Calibri"/>
      <w:b/>
      <w:bCs/>
      <w:caps/>
    </w:rPr>
  </w:style>
  <w:style w:type="paragraph" w:styleId="4">
    <w:name w:val="toc 4"/>
    <w:basedOn w:val="a1"/>
    <w:next w:val="a1"/>
    <w:uiPriority w:val="39"/>
    <w:qFormat/>
    <w:pPr>
      <w:ind w:left="600"/>
      <w:jc w:val="left"/>
    </w:pPr>
    <w:rPr>
      <w:rFonts w:cs="Calibri"/>
      <w:sz w:val="18"/>
      <w:szCs w:val="18"/>
    </w:rPr>
  </w:style>
  <w:style w:type="paragraph" w:styleId="ab">
    <w:name w:val="footnote text"/>
    <w:basedOn w:val="a1"/>
    <w:link w:val="Char4"/>
    <w:uiPriority w:val="99"/>
    <w:qFormat/>
    <w:pPr>
      <w:snapToGrid w:val="0"/>
      <w:jc w:val="left"/>
    </w:pPr>
    <w:rPr>
      <w:kern w:val="2"/>
      <w:sz w:val="18"/>
      <w:szCs w:val="18"/>
    </w:rPr>
  </w:style>
  <w:style w:type="paragraph" w:styleId="6">
    <w:name w:val="toc 6"/>
    <w:basedOn w:val="a1"/>
    <w:next w:val="a1"/>
    <w:uiPriority w:val="39"/>
    <w:qFormat/>
    <w:pPr>
      <w:ind w:left="1000"/>
      <w:jc w:val="left"/>
    </w:pPr>
    <w:rPr>
      <w:rFonts w:cs="Calibri"/>
      <w:sz w:val="18"/>
      <w:szCs w:val="18"/>
    </w:rPr>
  </w:style>
  <w:style w:type="paragraph" w:styleId="ac">
    <w:name w:val="table of figures"/>
    <w:basedOn w:val="a1"/>
    <w:next w:val="a1"/>
    <w:uiPriority w:val="99"/>
    <w:qFormat/>
    <w:pPr>
      <w:ind w:leftChars="200" w:left="200" w:hangingChars="200" w:hanging="200"/>
    </w:pPr>
  </w:style>
  <w:style w:type="paragraph" w:styleId="20">
    <w:name w:val="toc 2"/>
    <w:basedOn w:val="a1"/>
    <w:next w:val="a1"/>
    <w:uiPriority w:val="39"/>
    <w:qFormat/>
    <w:pPr>
      <w:ind w:left="200"/>
      <w:jc w:val="left"/>
    </w:pPr>
    <w:rPr>
      <w:rFonts w:cs="Calibri"/>
      <w:smallCaps/>
    </w:rPr>
  </w:style>
  <w:style w:type="paragraph" w:styleId="9">
    <w:name w:val="toc 9"/>
    <w:basedOn w:val="a1"/>
    <w:next w:val="a1"/>
    <w:uiPriority w:val="39"/>
    <w:qFormat/>
    <w:pPr>
      <w:ind w:left="1600"/>
      <w:jc w:val="left"/>
    </w:pPr>
    <w:rPr>
      <w:rFonts w:cs="Calibri"/>
      <w:sz w:val="18"/>
      <w:szCs w:val="18"/>
    </w:rPr>
  </w:style>
  <w:style w:type="paragraph" w:styleId="ad">
    <w:name w:val="Normal (Web)"/>
    <w:basedOn w:val="a1"/>
    <w:uiPriority w:val="99"/>
    <w:qFormat/>
    <w:pPr>
      <w:widowControl/>
      <w:spacing w:before="100" w:beforeAutospacing="1" w:after="100" w:afterAutospacing="1"/>
      <w:jc w:val="left"/>
    </w:pPr>
    <w:rPr>
      <w:rFonts w:ascii="宋体" w:hAnsi="宋体" w:cs="宋体"/>
      <w:sz w:val="24"/>
      <w:szCs w:val="24"/>
    </w:rPr>
  </w:style>
  <w:style w:type="table" w:styleId="ae">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basedOn w:val="a2"/>
    <w:qFormat/>
  </w:style>
  <w:style w:type="character" w:styleId="af1">
    <w:name w:val="FollowedHyperlink"/>
    <w:uiPriority w:val="99"/>
    <w:qFormat/>
    <w:rPr>
      <w:color w:val="800080"/>
      <w:u w:val="single"/>
    </w:rPr>
  </w:style>
  <w:style w:type="character" w:styleId="af2">
    <w:name w:val="Hyperlink"/>
    <w:uiPriority w:val="99"/>
    <w:qFormat/>
    <w:rPr>
      <w:color w:val="0000FF"/>
      <w:u w:val="single"/>
    </w:rPr>
  </w:style>
  <w:style w:type="character" w:styleId="af3">
    <w:name w:val="annotation reference"/>
    <w:basedOn w:val="a2"/>
    <w:uiPriority w:val="99"/>
    <w:semiHidden/>
    <w:unhideWhenUsed/>
    <w:qFormat/>
    <w:rPr>
      <w:sz w:val="21"/>
      <w:szCs w:val="21"/>
    </w:rPr>
  </w:style>
  <w:style w:type="character" w:styleId="af4">
    <w:name w:val="footnote reference"/>
    <w:uiPriority w:val="99"/>
    <w:qFormat/>
    <w:rPr>
      <w:vertAlign w:val="superscript"/>
    </w:rPr>
  </w:style>
  <w:style w:type="character" w:customStyle="1" w:styleId="Char5">
    <w:name w:val="新二级标题 Char"/>
    <w:link w:val="a"/>
    <w:qFormat/>
    <w:rPr>
      <w:rFonts w:ascii="楷体" w:eastAsia="楷体" w:hAnsi="楷体"/>
      <w:sz w:val="32"/>
    </w:rPr>
  </w:style>
  <w:style w:type="paragraph" w:customStyle="1" w:styleId="a">
    <w:name w:val="新二级标题"/>
    <w:basedOn w:val="a1"/>
    <w:link w:val="Char5"/>
    <w:qFormat/>
    <w:pPr>
      <w:numPr>
        <w:numId w:val="1"/>
      </w:numPr>
    </w:pPr>
    <w:rPr>
      <w:rFonts w:ascii="楷体" w:eastAsia="楷体" w:hAnsi="楷体"/>
      <w:sz w:val="32"/>
    </w:rPr>
  </w:style>
  <w:style w:type="character" w:customStyle="1" w:styleId="3Char">
    <w:name w:val="标题 3 Char"/>
    <w:link w:val="3"/>
    <w:uiPriority w:val="9"/>
    <w:qFormat/>
    <w:rPr>
      <w:rFonts w:ascii="Times New Roman" w:hAnsi="Times New Roman"/>
      <w:b/>
      <w:bCs/>
      <w:kern w:val="2"/>
      <w:sz w:val="32"/>
      <w:szCs w:val="32"/>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Char1">
    <w:name w:val="批注框文本 Char"/>
    <w:link w:val="a8"/>
    <w:uiPriority w:val="99"/>
    <w:qFormat/>
    <w:rPr>
      <w:rFonts w:ascii="Times New Roman" w:eastAsia="宋体" w:hAnsi="Times New Roman" w:cs="Times New Roman"/>
      <w:sz w:val="18"/>
      <w:szCs w:val="18"/>
    </w:rPr>
  </w:style>
  <w:style w:type="character" w:customStyle="1" w:styleId="Char6">
    <w:name w:val="段 Char"/>
    <w:link w:val="af5"/>
    <w:qFormat/>
    <w:rPr>
      <w:rFonts w:ascii="宋体" w:hAnsi="Times New Roman"/>
      <w:kern w:val="2"/>
      <w:sz w:val="22"/>
      <w:szCs w:val="22"/>
      <w:lang w:val="en-US" w:eastAsia="zh-CN" w:bidi="ar-SA"/>
    </w:rPr>
  </w:style>
  <w:style w:type="paragraph" w:customStyle="1" w:styleId="af5">
    <w:name w:val="段"/>
    <w:link w:val="Char6"/>
    <w:qFormat/>
    <w:pPr>
      <w:tabs>
        <w:tab w:val="center" w:pos="4201"/>
        <w:tab w:val="right" w:leader="dot" w:pos="9298"/>
      </w:tabs>
      <w:autoSpaceDE w:val="0"/>
      <w:autoSpaceDN w:val="0"/>
      <w:ind w:firstLineChars="200" w:firstLine="420"/>
      <w:jc w:val="both"/>
    </w:pPr>
    <w:rPr>
      <w:rFonts w:ascii="宋体"/>
      <w:kern w:val="2"/>
      <w:sz w:val="22"/>
      <w:szCs w:val="22"/>
    </w:rPr>
  </w:style>
  <w:style w:type="character" w:customStyle="1" w:styleId="Char3">
    <w:name w:val="页眉 Char"/>
    <w:link w:val="aa"/>
    <w:uiPriority w:val="99"/>
    <w:qFormat/>
    <w:rPr>
      <w:rFonts w:ascii="Times New Roman" w:eastAsia="宋体" w:hAnsi="Times New Roman" w:cs="Times New Roman"/>
      <w:sz w:val="18"/>
      <w:szCs w:val="18"/>
    </w:rPr>
  </w:style>
  <w:style w:type="character" w:customStyle="1" w:styleId="Char4">
    <w:name w:val="脚注文本 Char"/>
    <w:link w:val="ab"/>
    <w:uiPriority w:val="99"/>
    <w:qFormat/>
    <w:rPr>
      <w:kern w:val="2"/>
      <w:sz w:val="18"/>
      <w:szCs w:val="18"/>
    </w:rPr>
  </w:style>
  <w:style w:type="character" w:customStyle="1" w:styleId="Char7">
    <w:name w:val="二级标题 Char"/>
    <w:qFormat/>
    <w:rPr>
      <w:rFonts w:ascii="楷体" w:eastAsia="楷体" w:hAnsi="楷体"/>
      <w:color w:val="000000"/>
      <w:kern w:val="2"/>
      <w:sz w:val="32"/>
      <w:szCs w:val="32"/>
    </w:rPr>
  </w:style>
  <w:style w:type="character" w:customStyle="1" w:styleId="Char2">
    <w:name w:val="页脚 Char"/>
    <w:link w:val="a9"/>
    <w:uiPriority w:val="99"/>
    <w:qFormat/>
    <w:rPr>
      <w:rFonts w:ascii="Times New Roman" w:eastAsia="宋体" w:hAnsi="Times New Roman" w:cs="Times New Roman"/>
      <w:sz w:val="18"/>
      <w:szCs w:val="18"/>
    </w:rPr>
  </w:style>
  <w:style w:type="character" w:customStyle="1" w:styleId="Char8">
    <w:name w:val="列出段落 Char"/>
    <w:link w:val="af6"/>
    <w:uiPriority w:val="34"/>
    <w:qFormat/>
    <w:rPr>
      <w:rFonts w:ascii="Times New Roman" w:eastAsia="仿宋" w:hAnsi="Times New Roman"/>
      <w:kern w:val="2"/>
      <w:sz w:val="32"/>
      <w:szCs w:val="24"/>
    </w:rPr>
  </w:style>
  <w:style w:type="paragraph" w:styleId="af6">
    <w:name w:val="List Paragraph"/>
    <w:basedOn w:val="a1"/>
    <w:link w:val="Char8"/>
    <w:uiPriority w:val="34"/>
    <w:qFormat/>
    <w:pPr>
      <w:ind w:firstLineChars="200" w:firstLine="420"/>
    </w:pPr>
    <w:rPr>
      <w:rFonts w:ascii="Times New Roman" w:eastAsia="仿宋" w:hAnsi="Times New Roman"/>
      <w:kern w:val="2"/>
      <w:sz w:val="32"/>
      <w:szCs w:val="24"/>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Char9">
    <w:name w:val="无间隔 Char"/>
    <w:uiPriority w:val="1"/>
    <w:qFormat/>
    <w:rPr>
      <w:rFonts w:eastAsia="仿宋"/>
      <w:sz w:val="32"/>
    </w:rPr>
  </w:style>
  <w:style w:type="character" w:customStyle="1" w:styleId="Char0">
    <w:name w:val="日期 Char"/>
    <w:link w:val="a7"/>
    <w:uiPriority w:val="99"/>
    <w:qFormat/>
    <w:rPr>
      <w:rFonts w:ascii="Times New Roman" w:hAnsi="Times New Roman"/>
      <w:kern w:val="2"/>
      <w:sz w:val="21"/>
      <w:szCs w:val="24"/>
    </w:rPr>
  </w:style>
  <w:style w:type="paragraph" w:customStyle="1" w:styleId="xl92">
    <w:name w:val="xl92"/>
    <w:basedOn w:val="a1"/>
    <w:qFormat/>
    <w:pPr>
      <w:widowControl/>
      <w:spacing w:before="100" w:beforeAutospacing="1" w:after="100" w:afterAutospacing="1"/>
      <w:jc w:val="left"/>
    </w:pPr>
    <w:rPr>
      <w:rFonts w:ascii="宋体" w:hAnsi="宋体" w:cs="宋体"/>
      <w:sz w:val="18"/>
      <w:szCs w:val="18"/>
    </w:rPr>
  </w:style>
  <w:style w:type="paragraph" w:customStyle="1" w:styleId="xl72">
    <w:name w:val="xl72"/>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sz w:val="18"/>
      <w:szCs w:val="18"/>
    </w:rPr>
  </w:style>
  <w:style w:type="paragraph" w:customStyle="1" w:styleId="TOC1">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6">
    <w:name w:val="xl76"/>
    <w:basedOn w:val="a1"/>
    <w:qFormat/>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CharCharCharChar">
    <w:name w:val="Char Char Char Char"/>
    <w:basedOn w:val="a1"/>
    <w:qFormat/>
    <w:pPr>
      <w:widowControl/>
      <w:spacing w:after="160" w:line="240" w:lineRule="exact"/>
      <w:jc w:val="left"/>
    </w:pPr>
  </w:style>
  <w:style w:type="paragraph" w:customStyle="1" w:styleId="xl83">
    <w:name w:val="xl83"/>
    <w:basedOn w:val="a1"/>
    <w:qFormat/>
    <w:pPr>
      <w:widowControl/>
      <w:pBdr>
        <w:top w:val="single" w:sz="4" w:space="0" w:color="000000"/>
        <w:lef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91">
    <w:name w:val="xl91"/>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8">
    <w:name w:val="xl78"/>
    <w:basedOn w:val="a1"/>
    <w:qFormat/>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0">
    <w:name w:val="xl80"/>
    <w:basedOn w:val="a1"/>
    <w:qFormat/>
    <w:pPr>
      <w:widowControl/>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jc w:val="left"/>
    </w:pPr>
    <w:rPr>
      <w:rFonts w:ascii="宋体" w:hAnsi="宋体" w:cs="宋体"/>
      <w:color w:val="000000"/>
      <w:sz w:val="18"/>
      <w:szCs w:val="18"/>
    </w:rPr>
  </w:style>
  <w:style w:type="paragraph" w:customStyle="1" w:styleId="xl77">
    <w:name w:val="xl77"/>
    <w:basedOn w:val="a1"/>
    <w:qFormat/>
    <w:pPr>
      <w:widowControl/>
      <w:pBdr>
        <w:top w:val="single" w:sz="4" w:space="0" w:color="auto"/>
        <w:left w:val="single" w:sz="4" w:space="0" w:color="auto"/>
        <w:right w:val="single" w:sz="4" w:space="0" w:color="auto"/>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pPr>
    <w:rPr>
      <w:rFonts w:ascii="宋体" w:hAnsi="宋体" w:cs="宋体"/>
      <w:color w:val="000000"/>
      <w:sz w:val="18"/>
      <w:szCs w:val="18"/>
    </w:rPr>
  </w:style>
  <w:style w:type="paragraph" w:customStyle="1" w:styleId="xl90">
    <w:name w:val="xl90"/>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4">
    <w:name w:val="xl74"/>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2">
    <w:name w:val="xl82"/>
    <w:basedOn w:val="a1"/>
    <w:qFormat/>
    <w:pPr>
      <w:widowControl/>
      <w:pBdr>
        <w:top w:val="single" w:sz="4" w:space="0" w:color="000000"/>
        <w:left w:val="single" w:sz="4" w:space="0" w:color="000000"/>
        <w:bottom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84">
    <w:name w:val="xl84"/>
    <w:basedOn w:val="a1"/>
    <w:qFormat/>
    <w:pPr>
      <w:widowControl/>
      <w:pBdr>
        <w:top w:val="single" w:sz="4" w:space="0" w:color="000000"/>
        <w:left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7">
    <w:name w:val="xl87"/>
    <w:basedOn w:val="a1"/>
    <w:qFormat/>
    <w:pPr>
      <w:widowControl/>
      <w:pBdr>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79">
    <w:name w:val="xl79"/>
    <w:basedOn w:val="a1"/>
    <w:qFormat/>
    <w:pPr>
      <w:widowControl/>
      <w:pBdr>
        <w:top w:val="single" w:sz="4" w:space="0" w:color="000000"/>
        <w:left w:val="single" w:sz="4" w:space="0" w:color="000000"/>
        <w:bottom w:val="single" w:sz="4" w:space="0" w:color="000000"/>
        <w:right w:val="single" w:sz="4" w:space="0" w:color="000000"/>
      </w:pBdr>
      <w:shd w:val="clear" w:color="000000" w:fill="DDD9C3"/>
      <w:spacing w:before="100" w:beforeAutospacing="1" w:after="100" w:afterAutospacing="1"/>
      <w:jc w:val="left"/>
    </w:pPr>
    <w:rPr>
      <w:rFonts w:ascii="宋体" w:hAnsi="宋体" w:cs="宋体"/>
      <w:color w:val="000000"/>
      <w:sz w:val="18"/>
      <w:szCs w:val="18"/>
    </w:rPr>
  </w:style>
  <w:style w:type="paragraph" w:customStyle="1" w:styleId="xl85">
    <w:name w:val="xl85"/>
    <w:basedOn w:val="a1"/>
    <w:qFormat/>
    <w:pPr>
      <w:widowControl/>
      <w:pBdr>
        <w:top w:val="single" w:sz="4" w:space="0" w:color="auto"/>
        <w:left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8">
    <w:name w:val="xl88"/>
    <w:basedOn w:val="a1"/>
    <w:qFormat/>
    <w:pPr>
      <w:widowControl/>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73">
    <w:name w:val="xl73"/>
    <w:basedOn w:val="a1"/>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p0">
    <w:name w:val="p0"/>
    <w:basedOn w:val="a1"/>
    <w:qFormat/>
    <w:pPr>
      <w:widowControl/>
    </w:pPr>
    <w:rPr>
      <w:rFonts w:cs="宋体"/>
      <w:sz w:val="21"/>
      <w:szCs w:val="21"/>
    </w:rPr>
  </w:style>
  <w:style w:type="paragraph" w:customStyle="1" w:styleId="xl70">
    <w:name w:val="xl70"/>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69">
    <w:name w:val="xl69"/>
    <w:basedOn w:val="a1"/>
    <w:qFormat/>
    <w:pPr>
      <w:widowControl/>
      <w:spacing w:before="100" w:beforeAutospacing="1" w:after="100" w:afterAutospacing="1"/>
      <w:jc w:val="left"/>
    </w:pPr>
    <w:rPr>
      <w:rFonts w:ascii="宋体" w:hAnsi="宋体" w:cs="宋体"/>
      <w:sz w:val="18"/>
      <w:szCs w:val="18"/>
    </w:rPr>
  </w:style>
  <w:style w:type="paragraph" w:customStyle="1" w:styleId="xl71">
    <w:name w:val="xl71"/>
    <w:basedOn w:val="a1"/>
    <w:qFormat/>
    <w:pPr>
      <w:widowControl/>
      <w:pBdr>
        <w:top w:val="single" w:sz="4" w:space="0" w:color="000000"/>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a0">
    <w:name w:val="章标题"/>
    <w:next w:val="af5"/>
    <w:uiPriority w:val="99"/>
    <w:qFormat/>
    <w:pPr>
      <w:numPr>
        <w:numId w:val="2"/>
      </w:numPr>
      <w:spacing w:beforeLines="100" w:afterLines="100"/>
      <w:jc w:val="both"/>
      <w:outlineLvl w:val="1"/>
    </w:pPr>
    <w:rPr>
      <w:rFonts w:ascii="黑体" w:eastAsia="黑体"/>
      <w:sz w:val="21"/>
    </w:rPr>
  </w:style>
  <w:style w:type="character" w:customStyle="1" w:styleId="bjh-p">
    <w:name w:val="bjh-p"/>
    <w:basedOn w:val="a2"/>
  </w:style>
  <w:style w:type="character" w:customStyle="1" w:styleId="font11">
    <w:name w:val="font11"/>
    <w:basedOn w:val="a2"/>
    <w:rPr>
      <w:rFonts w:ascii="宋体" w:eastAsia="宋体" w:hAnsi="宋体" w:cs="宋体" w:hint="eastAsia"/>
      <w:color w:val="000000"/>
      <w:sz w:val="22"/>
      <w:szCs w:val="22"/>
      <w:u w:val="none"/>
    </w:rPr>
  </w:style>
  <w:style w:type="paragraph" w:customStyle="1" w:styleId="TOC11">
    <w:name w:val="TOC 标题11"/>
    <w:basedOn w:val="1"/>
    <w:next w:val="a1"/>
    <w:uiPriority w:val="39"/>
    <w:qFormat/>
    <w:pPr>
      <w:widowControl/>
      <w:spacing w:before="480" w:after="0" w:line="276" w:lineRule="auto"/>
      <w:jc w:val="left"/>
      <w:outlineLvl w:val="9"/>
    </w:pPr>
    <w:rPr>
      <w:rFonts w:ascii="Cambria" w:hAnsi="Cambria"/>
      <w:color w:val="365F91"/>
      <w:kern w:val="0"/>
      <w:sz w:val="28"/>
      <w:szCs w:val="28"/>
      <w:lang w:val="zh-CN"/>
    </w:rPr>
  </w:style>
  <w:style w:type="character" w:customStyle="1" w:styleId="Char">
    <w:name w:val="批注文字 Char"/>
    <w:basedOn w:val="a2"/>
    <w:link w:val="a6"/>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Calibri" w:hAnsi="Calibri"/>
    </w:rPr>
  </w:style>
  <w:style w:type="paragraph" w:styleId="1">
    <w:name w:val="heading 1"/>
    <w:basedOn w:val="a1"/>
    <w:next w:val="a1"/>
    <w:link w:val="1Char"/>
    <w:uiPriority w:val="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1"/>
    <w:next w:val="a1"/>
    <w:link w:val="2Char"/>
    <w:uiPriority w:val="9"/>
    <w:qFormat/>
    <w:pPr>
      <w:keepNext/>
      <w:keepLines/>
      <w:spacing w:before="260" w:after="260" w:line="416" w:lineRule="auto"/>
      <w:outlineLvl w:val="1"/>
    </w:pPr>
    <w:rPr>
      <w:rFonts w:ascii="Cambria" w:hAnsi="Cambria"/>
      <w:b/>
      <w:bCs/>
      <w:kern w:val="2"/>
      <w:sz w:val="32"/>
      <w:szCs w:val="32"/>
    </w:rPr>
  </w:style>
  <w:style w:type="paragraph" w:styleId="3">
    <w:name w:val="heading 3"/>
    <w:basedOn w:val="a1"/>
    <w:next w:val="a1"/>
    <w:link w:val="3Char"/>
    <w:uiPriority w:val="9"/>
    <w:qFormat/>
    <w:pPr>
      <w:keepNext/>
      <w:keepLines/>
      <w:spacing w:before="260" w:after="260" w:line="416" w:lineRule="auto"/>
      <w:outlineLvl w:val="2"/>
    </w:pPr>
    <w:rPr>
      <w:rFonts w:ascii="Times New Roman" w:hAnsi="Times New Roman"/>
      <w:b/>
      <w:bCs/>
      <w:kern w:val="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39"/>
    <w:qFormat/>
    <w:pPr>
      <w:ind w:left="1200"/>
      <w:jc w:val="left"/>
    </w:pPr>
    <w:rPr>
      <w:rFonts w:cs="Calibri"/>
      <w:sz w:val="18"/>
      <w:szCs w:val="18"/>
    </w:rPr>
  </w:style>
  <w:style w:type="paragraph" w:styleId="a5">
    <w:name w:val="caption"/>
    <w:basedOn w:val="a1"/>
    <w:next w:val="a1"/>
    <w:uiPriority w:val="35"/>
    <w:qFormat/>
    <w:rPr>
      <w:rFonts w:ascii="Cambria" w:eastAsia="黑体" w:hAnsi="Cambria"/>
    </w:rPr>
  </w:style>
  <w:style w:type="paragraph" w:styleId="a6">
    <w:name w:val="annotation text"/>
    <w:basedOn w:val="a1"/>
    <w:link w:val="Char"/>
    <w:uiPriority w:val="99"/>
    <w:semiHidden/>
    <w:unhideWhenUsed/>
    <w:qFormat/>
    <w:pPr>
      <w:jc w:val="left"/>
    </w:pPr>
  </w:style>
  <w:style w:type="paragraph" w:styleId="5">
    <w:name w:val="toc 5"/>
    <w:basedOn w:val="a1"/>
    <w:next w:val="a1"/>
    <w:uiPriority w:val="39"/>
    <w:qFormat/>
    <w:pPr>
      <w:ind w:left="800"/>
      <w:jc w:val="left"/>
    </w:pPr>
    <w:rPr>
      <w:rFonts w:cs="Calibri"/>
      <w:sz w:val="18"/>
      <w:szCs w:val="18"/>
    </w:rPr>
  </w:style>
  <w:style w:type="paragraph" w:styleId="30">
    <w:name w:val="toc 3"/>
    <w:basedOn w:val="a1"/>
    <w:next w:val="a1"/>
    <w:uiPriority w:val="39"/>
    <w:qFormat/>
    <w:pPr>
      <w:ind w:left="400"/>
      <w:jc w:val="left"/>
    </w:pPr>
    <w:rPr>
      <w:rFonts w:cs="Calibri"/>
      <w:i/>
      <w:iCs/>
    </w:rPr>
  </w:style>
  <w:style w:type="paragraph" w:styleId="8">
    <w:name w:val="toc 8"/>
    <w:basedOn w:val="a1"/>
    <w:next w:val="a1"/>
    <w:uiPriority w:val="39"/>
    <w:qFormat/>
    <w:pPr>
      <w:ind w:left="1400"/>
      <w:jc w:val="left"/>
    </w:pPr>
    <w:rPr>
      <w:rFonts w:cs="Calibri"/>
      <w:sz w:val="18"/>
      <w:szCs w:val="18"/>
    </w:rPr>
  </w:style>
  <w:style w:type="paragraph" w:styleId="a7">
    <w:name w:val="Date"/>
    <w:basedOn w:val="a1"/>
    <w:next w:val="a1"/>
    <w:link w:val="Char0"/>
    <w:uiPriority w:val="99"/>
    <w:qFormat/>
    <w:pPr>
      <w:ind w:leftChars="2500" w:left="100"/>
    </w:pPr>
    <w:rPr>
      <w:rFonts w:ascii="Times New Roman" w:hAnsi="Times New Roman"/>
      <w:kern w:val="2"/>
      <w:sz w:val="21"/>
      <w:szCs w:val="24"/>
    </w:rPr>
  </w:style>
  <w:style w:type="paragraph" w:styleId="a8">
    <w:name w:val="Balloon Text"/>
    <w:basedOn w:val="a1"/>
    <w:link w:val="Char1"/>
    <w:uiPriority w:val="99"/>
    <w:qFormat/>
    <w:rPr>
      <w:rFonts w:ascii="Times New Roman" w:hAnsi="Times New Roman"/>
      <w:sz w:val="18"/>
      <w:szCs w:val="18"/>
    </w:rPr>
  </w:style>
  <w:style w:type="paragraph" w:styleId="a9">
    <w:name w:val="footer"/>
    <w:basedOn w:val="a1"/>
    <w:link w:val="Char2"/>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1"/>
    <w:link w:val="Char3"/>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1"/>
    <w:next w:val="a1"/>
    <w:uiPriority w:val="39"/>
    <w:qFormat/>
    <w:pPr>
      <w:spacing w:before="120" w:after="120"/>
      <w:jc w:val="left"/>
    </w:pPr>
    <w:rPr>
      <w:rFonts w:cs="Calibri"/>
      <w:b/>
      <w:bCs/>
      <w:caps/>
    </w:rPr>
  </w:style>
  <w:style w:type="paragraph" w:styleId="4">
    <w:name w:val="toc 4"/>
    <w:basedOn w:val="a1"/>
    <w:next w:val="a1"/>
    <w:uiPriority w:val="39"/>
    <w:qFormat/>
    <w:pPr>
      <w:ind w:left="600"/>
      <w:jc w:val="left"/>
    </w:pPr>
    <w:rPr>
      <w:rFonts w:cs="Calibri"/>
      <w:sz w:val="18"/>
      <w:szCs w:val="18"/>
    </w:rPr>
  </w:style>
  <w:style w:type="paragraph" w:styleId="ab">
    <w:name w:val="footnote text"/>
    <w:basedOn w:val="a1"/>
    <w:link w:val="Char4"/>
    <w:uiPriority w:val="99"/>
    <w:qFormat/>
    <w:pPr>
      <w:snapToGrid w:val="0"/>
      <w:jc w:val="left"/>
    </w:pPr>
    <w:rPr>
      <w:kern w:val="2"/>
      <w:sz w:val="18"/>
      <w:szCs w:val="18"/>
    </w:rPr>
  </w:style>
  <w:style w:type="paragraph" w:styleId="6">
    <w:name w:val="toc 6"/>
    <w:basedOn w:val="a1"/>
    <w:next w:val="a1"/>
    <w:uiPriority w:val="39"/>
    <w:qFormat/>
    <w:pPr>
      <w:ind w:left="1000"/>
      <w:jc w:val="left"/>
    </w:pPr>
    <w:rPr>
      <w:rFonts w:cs="Calibri"/>
      <w:sz w:val="18"/>
      <w:szCs w:val="18"/>
    </w:rPr>
  </w:style>
  <w:style w:type="paragraph" w:styleId="ac">
    <w:name w:val="table of figures"/>
    <w:basedOn w:val="a1"/>
    <w:next w:val="a1"/>
    <w:uiPriority w:val="99"/>
    <w:qFormat/>
    <w:pPr>
      <w:ind w:leftChars="200" w:left="200" w:hangingChars="200" w:hanging="200"/>
    </w:pPr>
  </w:style>
  <w:style w:type="paragraph" w:styleId="20">
    <w:name w:val="toc 2"/>
    <w:basedOn w:val="a1"/>
    <w:next w:val="a1"/>
    <w:uiPriority w:val="39"/>
    <w:qFormat/>
    <w:pPr>
      <w:ind w:left="200"/>
      <w:jc w:val="left"/>
    </w:pPr>
    <w:rPr>
      <w:rFonts w:cs="Calibri"/>
      <w:smallCaps/>
    </w:rPr>
  </w:style>
  <w:style w:type="paragraph" w:styleId="9">
    <w:name w:val="toc 9"/>
    <w:basedOn w:val="a1"/>
    <w:next w:val="a1"/>
    <w:uiPriority w:val="39"/>
    <w:qFormat/>
    <w:pPr>
      <w:ind w:left="1600"/>
      <w:jc w:val="left"/>
    </w:pPr>
    <w:rPr>
      <w:rFonts w:cs="Calibri"/>
      <w:sz w:val="18"/>
      <w:szCs w:val="18"/>
    </w:rPr>
  </w:style>
  <w:style w:type="paragraph" w:styleId="ad">
    <w:name w:val="Normal (Web)"/>
    <w:basedOn w:val="a1"/>
    <w:uiPriority w:val="99"/>
    <w:qFormat/>
    <w:pPr>
      <w:widowControl/>
      <w:spacing w:before="100" w:beforeAutospacing="1" w:after="100" w:afterAutospacing="1"/>
      <w:jc w:val="left"/>
    </w:pPr>
    <w:rPr>
      <w:rFonts w:ascii="宋体" w:hAnsi="宋体" w:cs="宋体"/>
      <w:sz w:val="24"/>
      <w:szCs w:val="24"/>
    </w:rPr>
  </w:style>
  <w:style w:type="table" w:styleId="ae">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basedOn w:val="a2"/>
    <w:qFormat/>
  </w:style>
  <w:style w:type="character" w:styleId="af1">
    <w:name w:val="FollowedHyperlink"/>
    <w:uiPriority w:val="99"/>
    <w:qFormat/>
    <w:rPr>
      <w:color w:val="800080"/>
      <w:u w:val="single"/>
    </w:rPr>
  </w:style>
  <w:style w:type="character" w:styleId="af2">
    <w:name w:val="Hyperlink"/>
    <w:uiPriority w:val="99"/>
    <w:qFormat/>
    <w:rPr>
      <w:color w:val="0000FF"/>
      <w:u w:val="single"/>
    </w:rPr>
  </w:style>
  <w:style w:type="character" w:styleId="af3">
    <w:name w:val="annotation reference"/>
    <w:basedOn w:val="a2"/>
    <w:uiPriority w:val="99"/>
    <w:semiHidden/>
    <w:unhideWhenUsed/>
    <w:qFormat/>
    <w:rPr>
      <w:sz w:val="21"/>
      <w:szCs w:val="21"/>
    </w:rPr>
  </w:style>
  <w:style w:type="character" w:styleId="af4">
    <w:name w:val="footnote reference"/>
    <w:uiPriority w:val="99"/>
    <w:qFormat/>
    <w:rPr>
      <w:vertAlign w:val="superscript"/>
    </w:rPr>
  </w:style>
  <w:style w:type="character" w:customStyle="1" w:styleId="Char5">
    <w:name w:val="新二级标题 Char"/>
    <w:link w:val="a"/>
    <w:qFormat/>
    <w:rPr>
      <w:rFonts w:ascii="楷体" w:eastAsia="楷体" w:hAnsi="楷体"/>
      <w:sz w:val="32"/>
    </w:rPr>
  </w:style>
  <w:style w:type="paragraph" w:customStyle="1" w:styleId="a">
    <w:name w:val="新二级标题"/>
    <w:basedOn w:val="a1"/>
    <w:link w:val="Char5"/>
    <w:qFormat/>
    <w:pPr>
      <w:numPr>
        <w:numId w:val="1"/>
      </w:numPr>
    </w:pPr>
    <w:rPr>
      <w:rFonts w:ascii="楷体" w:eastAsia="楷体" w:hAnsi="楷体"/>
      <w:sz w:val="32"/>
    </w:rPr>
  </w:style>
  <w:style w:type="character" w:customStyle="1" w:styleId="3Char">
    <w:name w:val="标题 3 Char"/>
    <w:link w:val="3"/>
    <w:uiPriority w:val="9"/>
    <w:qFormat/>
    <w:rPr>
      <w:rFonts w:ascii="Times New Roman" w:hAnsi="Times New Roman"/>
      <w:b/>
      <w:bCs/>
      <w:kern w:val="2"/>
      <w:sz w:val="32"/>
      <w:szCs w:val="32"/>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Char1">
    <w:name w:val="批注框文本 Char"/>
    <w:link w:val="a8"/>
    <w:uiPriority w:val="99"/>
    <w:qFormat/>
    <w:rPr>
      <w:rFonts w:ascii="Times New Roman" w:eastAsia="宋体" w:hAnsi="Times New Roman" w:cs="Times New Roman"/>
      <w:sz w:val="18"/>
      <w:szCs w:val="18"/>
    </w:rPr>
  </w:style>
  <w:style w:type="character" w:customStyle="1" w:styleId="Char6">
    <w:name w:val="段 Char"/>
    <w:link w:val="af5"/>
    <w:qFormat/>
    <w:rPr>
      <w:rFonts w:ascii="宋体" w:hAnsi="Times New Roman"/>
      <w:kern w:val="2"/>
      <w:sz w:val="22"/>
      <w:szCs w:val="22"/>
      <w:lang w:val="en-US" w:eastAsia="zh-CN" w:bidi="ar-SA"/>
    </w:rPr>
  </w:style>
  <w:style w:type="paragraph" w:customStyle="1" w:styleId="af5">
    <w:name w:val="段"/>
    <w:link w:val="Char6"/>
    <w:qFormat/>
    <w:pPr>
      <w:tabs>
        <w:tab w:val="center" w:pos="4201"/>
        <w:tab w:val="right" w:leader="dot" w:pos="9298"/>
      </w:tabs>
      <w:autoSpaceDE w:val="0"/>
      <w:autoSpaceDN w:val="0"/>
      <w:ind w:firstLineChars="200" w:firstLine="420"/>
      <w:jc w:val="both"/>
    </w:pPr>
    <w:rPr>
      <w:rFonts w:ascii="宋体"/>
      <w:kern w:val="2"/>
      <w:sz w:val="22"/>
      <w:szCs w:val="22"/>
    </w:rPr>
  </w:style>
  <w:style w:type="character" w:customStyle="1" w:styleId="Char3">
    <w:name w:val="页眉 Char"/>
    <w:link w:val="aa"/>
    <w:uiPriority w:val="99"/>
    <w:qFormat/>
    <w:rPr>
      <w:rFonts w:ascii="Times New Roman" w:eastAsia="宋体" w:hAnsi="Times New Roman" w:cs="Times New Roman"/>
      <w:sz w:val="18"/>
      <w:szCs w:val="18"/>
    </w:rPr>
  </w:style>
  <w:style w:type="character" w:customStyle="1" w:styleId="Char4">
    <w:name w:val="脚注文本 Char"/>
    <w:link w:val="ab"/>
    <w:uiPriority w:val="99"/>
    <w:qFormat/>
    <w:rPr>
      <w:kern w:val="2"/>
      <w:sz w:val="18"/>
      <w:szCs w:val="18"/>
    </w:rPr>
  </w:style>
  <w:style w:type="character" w:customStyle="1" w:styleId="Char7">
    <w:name w:val="二级标题 Char"/>
    <w:qFormat/>
    <w:rPr>
      <w:rFonts w:ascii="楷体" w:eastAsia="楷体" w:hAnsi="楷体"/>
      <w:color w:val="000000"/>
      <w:kern w:val="2"/>
      <w:sz w:val="32"/>
      <w:szCs w:val="32"/>
    </w:rPr>
  </w:style>
  <w:style w:type="character" w:customStyle="1" w:styleId="Char2">
    <w:name w:val="页脚 Char"/>
    <w:link w:val="a9"/>
    <w:uiPriority w:val="99"/>
    <w:qFormat/>
    <w:rPr>
      <w:rFonts w:ascii="Times New Roman" w:eastAsia="宋体" w:hAnsi="Times New Roman" w:cs="Times New Roman"/>
      <w:sz w:val="18"/>
      <w:szCs w:val="18"/>
    </w:rPr>
  </w:style>
  <w:style w:type="character" w:customStyle="1" w:styleId="Char8">
    <w:name w:val="列出段落 Char"/>
    <w:link w:val="af6"/>
    <w:uiPriority w:val="34"/>
    <w:qFormat/>
    <w:rPr>
      <w:rFonts w:ascii="Times New Roman" w:eastAsia="仿宋" w:hAnsi="Times New Roman"/>
      <w:kern w:val="2"/>
      <w:sz w:val="32"/>
      <w:szCs w:val="24"/>
    </w:rPr>
  </w:style>
  <w:style w:type="paragraph" w:styleId="af6">
    <w:name w:val="List Paragraph"/>
    <w:basedOn w:val="a1"/>
    <w:link w:val="Char8"/>
    <w:uiPriority w:val="34"/>
    <w:qFormat/>
    <w:pPr>
      <w:ind w:firstLineChars="200" w:firstLine="420"/>
    </w:pPr>
    <w:rPr>
      <w:rFonts w:ascii="Times New Roman" w:eastAsia="仿宋" w:hAnsi="Times New Roman"/>
      <w:kern w:val="2"/>
      <w:sz w:val="32"/>
      <w:szCs w:val="24"/>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Char9">
    <w:name w:val="无间隔 Char"/>
    <w:uiPriority w:val="1"/>
    <w:qFormat/>
    <w:rPr>
      <w:rFonts w:eastAsia="仿宋"/>
      <w:sz w:val="32"/>
    </w:rPr>
  </w:style>
  <w:style w:type="character" w:customStyle="1" w:styleId="Char0">
    <w:name w:val="日期 Char"/>
    <w:link w:val="a7"/>
    <w:uiPriority w:val="99"/>
    <w:qFormat/>
    <w:rPr>
      <w:rFonts w:ascii="Times New Roman" w:hAnsi="Times New Roman"/>
      <w:kern w:val="2"/>
      <w:sz w:val="21"/>
      <w:szCs w:val="24"/>
    </w:rPr>
  </w:style>
  <w:style w:type="paragraph" w:customStyle="1" w:styleId="xl92">
    <w:name w:val="xl92"/>
    <w:basedOn w:val="a1"/>
    <w:qFormat/>
    <w:pPr>
      <w:widowControl/>
      <w:spacing w:before="100" w:beforeAutospacing="1" w:after="100" w:afterAutospacing="1"/>
      <w:jc w:val="left"/>
    </w:pPr>
    <w:rPr>
      <w:rFonts w:ascii="宋体" w:hAnsi="宋体" w:cs="宋体"/>
      <w:sz w:val="18"/>
      <w:szCs w:val="18"/>
    </w:rPr>
  </w:style>
  <w:style w:type="paragraph" w:customStyle="1" w:styleId="xl72">
    <w:name w:val="xl72"/>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sz w:val="18"/>
      <w:szCs w:val="18"/>
    </w:rPr>
  </w:style>
  <w:style w:type="paragraph" w:customStyle="1" w:styleId="TOC1">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6">
    <w:name w:val="xl76"/>
    <w:basedOn w:val="a1"/>
    <w:qFormat/>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CharCharCharChar">
    <w:name w:val="Char Char Char Char"/>
    <w:basedOn w:val="a1"/>
    <w:qFormat/>
    <w:pPr>
      <w:widowControl/>
      <w:spacing w:after="160" w:line="240" w:lineRule="exact"/>
      <w:jc w:val="left"/>
    </w:pPr>
  </w:style>
  <w:style w:type="paragraph" w:customStyle="1" w:styleId="xl83">
    <w:name w:val="xl83"/>
    <w:basedOn w:val="a1"/>
    <w:qFormat/>
    <w:pPr>
      <w:widowControl/>
      <w:pBdr>
        <w:top w:val="single" w:sz="4" w:space="0" w:color="000000"/>
        <w:lef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91">
    <w:name w:val="xl91"/>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8">
    <w:name w:val="xl78"/>
    <w:basedOn w:val="a1"/>
    <w:qFormat/>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0">
    <w:name w:val="xl80"/>
    <w:basedOn w:val="a1"/>
    <w:qFormat/>
    <w:pPr>
      <w:widowControl/>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jc w:val="left"/>
    </w:pPr>
    <w:rPr>
      <w:rFonts w:ascii="宋体" w:hAnsi="宋体" w:cs="宋体"/>
      <w:color w:val="000000"/>
      <w:sz w:val="18"/>
      <w:szCs w:val="18"/>
    </w:rPr>
  </w:style>
  <w:style w:type="paragraph" w:customStyle="1" w:styleId="xl77">
    <w:name w:val="xl77"/>
    <w:basedOn w:val="a1"/>
    <w:qFormat/>
    <w:pPr>
      <w:widowControl/>
      <w:pBdr>
        <w:top w:val="single" w:sz="4" w:space="0" w:color="auto"/>
        <w:left w:val="single" w:sz="4" w:space="0" w:color="auto"/>
        <w:right w:val="single" w:sz="4" w:space="0" w:color="auto"/>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pPr>
    <w:rPr>
      <w:rFonts w:ascii="宋体" w:hAnsi="宋体" w:cs="宋体"/>
      <w:color w:val="000000"/>
      <w:sz w:val="18"/>
      <w:szCs w:val="18"/>
    </w:rPr>
  </w:style>
  <w:style w:type="paragraph" w:customStyle="1" w:styleId="xl90">
    <w:name w:val="xl90"/>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4">
    <w:name w:val="xl74"/>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2">
    <w:name w:val="xl82"/>
    <w:basedOn w:val="a1"/>
    <w:qFormat/>
    <w:pPr>
      <w:widowControl/>
      <w:pBdr>
        <w:top w:val="single" w:sz="4" w:space="0" w:color="000000"/>
        <w:left w:val="single" w:sz="4" w:space="0" w:color="000000"/>
        <w:bottom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84">
    <w:name w:val="xl84"/>
    <w:basedOn w:val="a1"/>
    <w:qFormat/>
    <w:pPr>
      <w:widowControl/>
      <w:pBdr>
        <w:top w:val="single" w:sz="4" w:space="0" w:color="000000"/>
        <w:left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7">
    <w:name w:val="xl87"/>
    <w:basedOn w:val="a1"/>
    <w:qFormat/>
    <w:pPr>
      <w:widowControl/>
      <w:pBdr>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79">
    <w:name w:val="xl79"/>
    <w:basedOn w:val="a1"/>
    <w:qFormat/>
    <w:pPr>
      <w:widowControl/>
      <w:pBdr>
        <w:top w:val="single" w:sz="4" w:space="0" w:color="000000"/>
        <w:left w:val="single" w:sz="4" w:space="0" w:color="000000"/>
        <w:bottom w:val="single" w:sz="4" w:space="0" w:color="000000"/>
        <w:right w:val="single" w:sz="4" w:space="0" w:color="000000"/>
      </w:pBdr>
      <w:shd w:val="clear" w:color="000000" w:fill="DDD9C3"/>
      <w:spacing w:before="100" w:beforeAutospacing="1" w:after="100" w:afterAutospacing="1"/>
      <w:jc w:val="left"/>
    </w:pPr>
    <w:rPr>
      <w:rFonts w:ascii="宋体" w:hAnsi="宋体" w:cs="宋体"/>
      <w:color w:val="000000"/>
      <w:sz w:val="18"/>
      <w:szCs w:val="18"/>
    </w:rPr>
  </w:style>
  <w:style w:type="paragraph" w:customStyle="1" w:styleId="xl85">
    <w:name w:val="xl85"/>
    <w:basedOn w:val="a1"/>
    <w:qFormat/>
    <w:pPr>
      <w:widowControl/>
      <w:pBdr>
        <w:top w:val="single" w:sz="4" w:space="0" w:color="auto"/>
        <w:left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8">
    <w:name w:val="xl88"/>
    <w:basedOn w:val="a1"/>
    <w:qFormat/>
    <w:pPr>
      <w:widowControl/>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73">
    <w:name w:val="xl73"/>
    <w:basedOn w:val="a1"/>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p0">
    <w:name w:val="p0"/>
    <w:basedOn w:val="a1"/>
    <w:qFormat/>
    <w:pPr>
      <w:widowControl/>
    </w:pPr>
    <w:rPr>
      <w:rFonts w:cs="宋体"/>
      <w:sz w:val="21"/>
      <w:szCs w:val="21"/>
    </w:rPr>
  </w:style>
  <w:style w:type="paragraph" w:customStyle="1" w:styleId="xl70">
    <w:name w:val="xl70"/>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69">
    <w:name w:val="xl69"/>
    <w:basedOn w:val="a1"/>
    <w:qFormat/>
    <w:pPr>
      <w:widowControl/>
      <w:spacing w:before="100" w:beforeAutospacing="1" w:after="100" w:afterAutospacing="1"/>
      <w:jc w:val="left"/>
    </w:pPr>
    <w:rPr>
      <w:rFonts w:ascii="宋体" w:hAnsi="宋体" w:cs="宋体"/>
      <w:sz w:val="18"/>
      <w:szCs w:val="18"/>
    </w:rPr>
  </w:style>
  <w:style w:type="paragraph" w:customStyle="1" w:styleId="xl71">
    <w:name w:val="xl71"/>
    <w:basedOn w:val="a1"/>
    <w:qFormat/>
    <w:pPr>
      <w:widowControl/>
      <w:pBdr>
        <w:top w:val="single" w:sz="4" w:space="0" w:color="000000"/>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a0">
    <w:name w:val="章标题"/>
    <w:next w:val="af5"/>
    <w:uiPriority w:val="99"/>
    <w:qFormat/>
    <w:pPr>
      <w:numPr>
        <w:numId w:val="2"/>
      </w:numPr>
      <w:spacing w:beforeLines="100" w:afterLines="100"/>
      <w:jc w:val="both"/>
      <w:outlineLvl w:val="1"/>
    </w:pPr>
    <w:rPr>
      <w:rFonts w:ascii="黑体" w:eastAsia="黑体"/>
      <w:sz w:val="21"/>
    </w:rPr>
  </w:style>
  <w:style w:type="character" w:customStyle="1" w:styleId="bjh-p">
    <w:name w:val="bjh-p"/>
    <w:basedOn w:val="a2"/>
  </w:style>
  <w:style w:type="character" w:customStyle="1" w:styleId="font11">
    <w:name w:val="font11"/>
    <w:basedOn w:val="a2"/>
    <w:rPr>
      <w:rFonts w:ascii="宋体" w:eastAsia="宋体" w:hAnsi="宋体" w:cs="宋体" w:hint="eastAsia"/>
      <w:color w:val="000000"/>
      <w:sz w:val="22"/>
      <w:szCs w:val="22"/>
      <w:u w:val="none"/>
    </w:rPr>
  </w:style>
  <w:style w:type="paragraph" w:customStyle="1" w:styleId="TOC11">
    <w:name w:val="TOC 标题11"/>
    <w:basedOn w:val="1"/>
    <w:next w:val="a1"/>
    <w:uiPriority w:val="39"/>
    <w:qFormat/>
    <w:pPr>
      <w:widowControl/>
      <w:spacing w:before="480" w:after="0" w:line="276" w:lineRule="auto"/>
      <w:jc w:val="left"/>
      <w:outlineLvl w:val="9"/>
    </w:pPr>
    <w:rPr>
      <w:rFonts w:ascii="Cambria" w:hAnsi="Cambria"/>
      <w:color w:val="365F91"/>
      <w:kern w:val="0"/>
      <w:sz w:val="28"/>
      <w:szCs w:val="28"/>
      <w:lang w:val="zh-CN"/>
    </w:rPr>
  </w:style>
  <w:style w:type="character" w:customStyle="1" w:styleId="Char">
    <w:name w:val="批注文字 Char"/>
    <w:basedOn w:val="a2"/>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store.iec.ch/webstore/webstore.nsf/artnum/045404!opendocument" TargetMode="External"/><Relationship Id="rId5" Type="http://schemas.microsoft.com/office/2007/relationships/stylesWithEffects" Target="stylesWithEffects.xml"/><Relationship Id="rId10" Type="http://schemas.openxmlformats.org/officeDocument/2006/relationships/hyperlink" Target="http://www.iso.org/iso/en/CatalogueDetailPage.CatalogueDetail?CSNUMBER=23914&amp;scopelis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05BD5B-3B3F-42EA-A563-F16E1A4E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3297</Words>
  <Characters>2915</Characters>
  <Application>Microsoft Office Word</Application>
  <DocSecurity>0</DocSecurity>
  <Lines>24</Lines>
  <Paragraphs>12</Paragraphs>
  <ScaleCrop>false</ScaleCrop>
  <Company>Hewlett-Packard Company</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芦菁</dc:creator>
  <cp:lastModifiedBy>许慧雯</cp:lastModifiedBy>
  <cp:revision>3</cp:revision>
  <cp:lastPrinted>2021-02-01T08:51:00Z</cp:lastPrinted>
  <dcterms:created xsi:type="dcterms:W3CDTF">2021-02-05T02:19:00Z</dcterms:created>
  <dcterms:modified xsi:type="dcterms:W3CDTF">2021-02-05T02:20:00Z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