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5E5" w:rsidRPr="00EC75E5" w:rsidRDefault="00EC75E5" w:rsidP="00EC75E5">
      <w:pPr>
        <w:widowControl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r w:rsidRPr="00EC75E5">
        <w:rPr>
          <w:rFonts w:ascii="Times New Roman" w:hAnsi="Times New Roman" w:cs="Times New Roman"/>
          <w:b/>
          <w:color w:val="000000"/>
          <w:kern w:val="0"/>
          <w:sz w:val="24"/>
          <w:szCs w:val="28"/>
        </w:rPr>
        <w:t>二羟丙茶碱注射液有关物质检验方法</w:t>
      </w:r>
    </w:p>
    <w:bookmarkEnd w:id="0"/>
    <w:p w:rsidR="00EC75E5" w:rsidRDefault="00EC75E5" w:rsidP="00EC75E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C75E5" w:rsidRDefault="00EC75E5" w:rsidP="00EC75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有关物质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照高效液相色谱法（通则</w:t>
      </w:r>
      <w:r>
        <w:rPr>
          <w:rFonts w:ascii="Times New Roman" w:hAnsi="Times New Roman" w:cs="Times New Roman"/>
          <w:sz w:val="24"/>
          <w:szCs w:val="24"/>
        </w:rPr>
        <w:t>0512</w:t>
      </w:r>
      <w:r>
        <w:rPr>
          <w:rFonts w:ascii="Times New Roman" w:hAnsi="Times New Roman" w:cs="Times New Roman"/>
          <w:sz w:val="24"/>
          <w:szCs w:val="24"/>
        </w:rPr>
        <w:t>）测定。</w:t>
      </w:r>
    </w:p>
    <w:p w:rsidR="00EC75E5" w:rsidRDefault="00EC75E5" w:rsidP="00EC75E5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供试品溶液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精密量取本品适量，用水稀释制成每</w:t>
      </w:r>
      <w:r>
        <w:rPr>
          <w:rFonts w:ascii="Times New Roman" w:hAnsi="Times New Roman" w:cs="Times New Roman"/>
          <w:sz w:val="24"/>
        </w:rPr>
        <w:t>1ml</w:t>
      </w:r>
      <w:r>
        <w:rPr>
          <w:rFonts w:ascii="Times New Roman" w:hAnsi="Times New Roman" w:cs="Times New Roman"/>
          <w:sz w:val="24"/>
        </w:rPr>
        <w:t>中约含二羟丙茶碱</w:t>
      </w:r>
      <w:r>
        <w:rPr>
          <w:rFonts w:ascii="Times New Roman" w:hAnsi="Times New Roman" w:cs="Times New Roman"/>
          <w:sz w:val="24"/>
        </w:rPr>
        <w:t>1mg</w:t>
      </w:r>
      <w:r>
        <w:rPr>
          <w:rFonts w:ascii="Times New Roman" w:hAnsi="Times New Roman" w:cs="Times New Roman"/>
          <w:sz w:val="24"/>
        </w:rPr>
        <w:t>的溶液。</w:t>
      </w:r>
    </w:p>
    <w:p w:rsidR="00EC75E5" w:rsidRDefault="00EC75E5" w:rsidP="00EC75E5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对照品溶液：</w:t>
      </w:r>
      <w:r>
        <w:rPr>
          <w:rFonts w:ascii="Times New Roman" w:hAnsi="Times New Roman" w:cs="Times New Roman"/>
          <w:sz w:val="24"/>
        </w:rPr>
        <w:t>精密称取茶碱对照品适量，用水溶解并定量稀释制成每</w:t>
      </w:r>
      <w:r>
        <w:rPr>
          <w:rFonts w:ascii="Times New Roman" w:hAnsi="Times New Roman" w:cs="Times New Roman"/>
          <w:sz w:val="24"/>
        </w:rPr>
        <w:t>1ml</w:t>
      </w:r>
      <w:r>
        <w:rPr>
          <w:rFonts w:ascii="Times New Roman" w:hAnsi="Times New Roman" w:cs="Times New Roman"/>
          <w:sz w:val="24"/>
        </w:rPr>
        <w:t>含茶碱</w:t>
      </w:r>
      <w:r>
        <w:rPr>
          <w:rFonts w:ascii="Times New Roman" w:hAnsi="Times New Roman" w:cs="Times New Roman"/>
          <w:sz w:val="24"/>
        </w:rPr>
        <w:t>5μg</w:t>
      </w:r>
      <w:r>
        <w:rPr>
          <w:rFonts w:ascii="Times New Roman" w:hAnsi="Times New Roman" w:cs="Times New Roman"/>
          <w:sz w:val="24"/>
        </w:rPr>
        <w:t>的溶液。</w:t>
      </w:r>
    </w:p>
    <w:p w:rsidR="00EC75E5" w:rsidRDefault="00EC75E5" w:rsidP="00EC75E5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对照溶液</w:t>
      </w:r>
      <w:r>
        <w:rPr>
          <w:rFonts w:ascii="Times New Roman" w:hAnsi="Times New Roman" w:cs="Times New Roman"/>
          <w:sz w:val="24"/>
        </w:rPr>
        <w:t>：精密量</w:t>
      </w:r>
      <w:proofErr w:type="gramStart"/>
      <w:r>
        <w:rPr>
          <w:rFonts w:ascii="Times New Roman" w:hAnsi="Times New Roman" w:cs="Times New Roman"/>
          <w:sz w:val="24"/>
        </w:rPr>
        <w:t>取供试品</w:t>
      </w:r>
      <w:proofErr w:type="gramEnd"/>
      <w:r>
        <w:rPr>
          <w:rFonts w:ascii="Times New Roman" w:hAnsi="Times New Roman" w:cs="Times New Roman"/>
          <w:sz w:val="24"/>
        </w:rPr>
        <w:t>溶液</w:t>
      </w:r>
      <w:r>
        <w:rPr>
          <w:rFonts w:ascii="Times New Roman" w:hAnsi="Times New Roman" w:cs="Times New Roman"/>
          <w:sz w:val="24"/>
        </w:rPr>
        <w:t>1ml</w:t>
      </w:r>
      <w:r>
        <w:rPr>
          <w:rFonts w:ascii="Times New Roman" w:hAnsi="Times New Roman" w:cs="Times New Roman"/>
          <w:sz w:val="24"/>
        </w:rPr>
        <w:t>，置</w:t>
      </w:r>
      <w:r>
        <w:rPr>
          <w:rFonts w:ascii="Times New Roman" w:hAnsi="Times New Roman" w:cs="Times New Roman"/>
          <w:sz w:val="24"/>
        </w:rPr>
        <w:t>100ml</w:t>
      </w:r>
      <w:r>
        <w:rPr>
          <w:rFonts w:ascii="Times New Roman" w:hAnsi="Times New Roman" w:cs="Times New Roman"/>
          <w:sz w:val="24"/>
        </w:rPr>
        <w:t>量瓶中，用水稀释至刻度，摇匀，精密量取</w:t>
      </w:r>
      <w:r>
        <w:rPr>
          <w:rFonts w:ascii="Times New Roman" w:hAnsi="Times New Roman" w:cs="Times New Roman"/>
          <w:sz w:val="24"/>
        </w:rPr>
        <w:t>1ml</w:t>
      </w:r>
      <w:r>
        <w:rPr>
          <w:rFonts w:ascii="Times New Roman" w:hAnsi="Times New Roman" w:cs="Times New Roman"/>
          <w:sz w:val="24"/>
        </w:rPr>
        <w:t>，置</w:t>
      </w:r>
      <w:r>
        <w:rPr>
          <w:rFonts w:ascii="Times New Roman" w:hAnsi="Times New Roman" w:cs="Times New Roman"/>
          <w:sz w:val="24"/>
        </w:rPr>
        <w:t>10ml</w:t>
      </w:r>
      <w:r>
        <w:rPr>
          <w:rFonts w:ascii="Times New Roman" w:hAnsi="Times New Roman" w:cs="Times New Roman"/>
          <w:sz w:val="24"/>
        </w:rPr>
        <w:t>量瓶中，用水稀释至刻度，摇匀。</w:t>
      </w:r>
    </w:p>
    <w:p w:rsidR="00EC75E5" w:rsidRDefault="00EC75E5" w:rsidP="00EC75E5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系统适用性溶液：</w:t>
      </w:r>
      <w:r>
        <w:rPr>
          <w:rFonts w:ascii="Times New Roman" w:hAnsi="Times New Roman" w:cs="Times New Roman"/>
          <w:sz w:val="24"/>
        </w:rPr>
        <w:t>精密称取杂质</w:t>
      </w: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</w:rPr>
        <w:t>（乙羟茶碱）对照品约</w:t>
      </w:r>
      <w:r>
        <w:rPr>
          <w:rFonts w:ascii="Times New Roman" w:hAnsi="Times New Roman" w:cs="Times New Roman"/>
          <w:sz w:val="24"/>
        </w:rPr>
        <w:t>5mg</w:t>
      </w:r>
      <w:r>
        <w:rPr>
          <w:rFonts w:ascii="Times New Roman" w:hAnsi="Times New Roman" w:cs="Times New Roman"/>
          <w:sz w:val="24"/>
        </w:rPr>
        <w:t>，置</w:t>
      </w:r>
      <w:r>
        <w:rPr>
          <w:rFonts w:ascii="Times New Roman" w:hAnsi="Times New Roman" w:cs="Times New Roman"/>
          <w:sz w:val="24"/>
        </w:rPr>
        <w:t>50ml</w:t>
      </w:r>
      <w:r>
        <w:rPr>
          <w:rFonts w:ascii="Times New Roman" w:hAnsi="Times New Roman" w:cs="Times New Roman"/>
          <w:sz w:val="24"/>
        </w:rPr>
        <w:t>容量瓶中，加水溶解并稀释至刻度，摇匀，取</w:t>
      </w:r>
      <w:r>
        <w:rPr>
          <w:rFonts w:ascii="Times New Roman" w:hAnsi="Times New Roman" w:cs="Times New Roman"/>
          <w:sz w:val="24"/>
        </w:rPr>
        <w:t>0.5ml</w:t>
      </w:r>
      <w:proofErr w:type="gramStart"/>
      <w:r>
        <w:rPr>
          <w:rFonts w:ascii="Times New Roman" w:hAnsi="Times New Roman" w:cs="Times New Roman"/>
          <w:sz w:val="24"/>
        </w:rPr>
        <w:t>用供试品</w:t>
      </w:r>
      <w:proofErr w:type="gramEnd"/>
      <w:r>
        <w:rPr>
          <w:rFonts w:ascii="Times New Roman" w:hAnsi="Times New Roman" w:cs="Times New Roman"/>
          <w:sz w:val="24"/>
        </w:rPr>
        <w:t>溶液稀释至</w:t>
      </w:r>
      <w:r>
        <w:rPr>
          <w:rFonts w:ascii="Times New Roman" w:hAnsi="Times New Roman" w:cs="Times New Roman"/>
          <w:sz w:val="24"/>
        </w:rPr>
        <w:t>20ml</w:t>
      </w:r>
      <w:r>
        <w:rPr>
          <w:rFonts w:ascii="Times New Roman" w:hAnsi="Times New Roman" w:cs="Times New Roman"/>
          <w:sz w:val="24"/>
        </w:rPr>
        <w:t>。</w:t>
      </w:r>
    </w:p>
    <w:p w:rsidR="00EC75E5" w:rsidRDefault="00EC75E5" w:rsidP="00EC75E5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色谱条件：</w:t>
      </w:r>
      <w:r>
        <w:rPr>
          <w:rFonts w:ascii="Times New Roman" w:hAnsi="Times New Roman" w:cs="Times New Roman"/>
          <w:sz w:val="24"/>
        </w:rPr>
        <w:t>用十八烷基硅烷键合硅胶为填充剂（</w:t>
      </w:r>
      <w:r>
        <w:rPr>
          <w:rFonts w:ascii="Times New Roman" w:hAnsi="Times New Roman" w:cs="Times New Roman"/>
          <w:sz w:val="24"/>
        </w:rPr>
        <w:t>4.6mm×150mm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3um</w:t>
      </w:r>
      <w:r>
        <w:rPr>
          <w:rFonts w:ascii="Times New Roman" w:hAnsi="Times New Roman" w:cs="Times New Roman"/>
          <w:sz w:val="24"/>
        </w:rPr>
        <w:t>或效能相当的色谱柱）；以甲醇</w:t>
      </w: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水（</w:t>
      </w:r>
      <w:r>
        <w:rPr>
          <w:rFonts w:ascii="Times New Roman" w:hAnsi="Times New Roman" w:cs="Times New Roman"/>
          <w:sz w:val="24"/>
        </w:rPr>
        <w:t>10:90</w:t>
      </w:r>
      <w:r>
        <w:rPr>
          <w:rFonts w:ascii="Times New Roman" w:hAnsi="Times New Roman" w:cs="Times New Roman"/>
          <w:sz w:val="24"/>
        </w:rPr>
        <w:t>）为流动相；流速为</w:t>
      </w:r>
      <w:r>
        <w:rPr>
          <w:rFonts w:ascii="Times New Roman" w:hAnsi="Times New Roman" w:cs="Times New Roman"/>
          <w:sz w:val="24"/>
        </w:rPr>
        <w:t>0.9mL/min</w:t>
      </w:r>
      <w:r>
        <w:rPr>
          <w:rFonts w:ascii="Times New Roman" w:hAnsi="Times New Roman" w:cs="Times New Roman"/>
          <w:sz w:val="24"/>
        </w:rPr>
        <w:t>；检测波长为</w:t>
      </w:r>
      <w:r>
        <w:rPr>
          <w:rFonts w:ascii="Times New Roman" w:hAnsi="Times New Roman" w:cs="Times New Roman"/>
          <w:sz w:val="24"/>
        </w:rPr>
        <w:t>272nm</w:t>
      </w:r>
      <w:r>
        <w:rPr>
          <w:rFonts w:ascii="Times New Roman" w:hAnsi="Times New Roman" w:cs="Times New Roman"/>
          <w:sz w:val="24"/>
        </w:rPr>
        <w:t>；进样体积</w:t>
      </w:r>
      <w:r>
        <w:rPr>
          <w:rFonts w:ascii="Times New Roman" w:hAnsi="Times New Roman" w:cs="Times New Roman"/>
          <w:sz w:val="24"/>
        </w:rPr>
        <w:t>10μl</w:t>
      </w:r>
      <w:r>
        <w:rPr>
          <w:rFonts w:ascii="Times New Roman" w:hAnsi="Times New Roman" w:cs="Times New Roman"/>
          <w:sz w:val="24"/>
        </w:rPr>
        <w:t>。</w:t>
      </w:r>
    </w:p>
    <w:p w:rsidR="00EC75E5" w:rsidRDefault="00EC75E5" w:rsidP="00EC75E5">
      <w:pPr>
        <w:spacing w:line="360" w:lineRule="auto"/>
        <w:ind w:firstLine="42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系统适用性要求：</w:t>
      </w:r>
      <w:r>
        <w:rPr>
          <w:rFonts w:ascii="Times New Roman" w:hAnsi="Times New Roman" w:cs="Times New Roman"/>
          <w:sz w:val="24"/>
        </w:rPr>
        <w:t>二羟丙茶碱与杂质</w:t>
      </w: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</w:rPr>
        <w:t>峰的峰谷比为应大于</w:t>
      </w:r>
      <w:r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（</w:t>
      </w:r>
      <w:proofErr w:type="spellStart"/>
      <w:r>
        <w:rPr>
          <w:rFonts w:ascii="Times New Roman" w:hAnsi="Times New Roman" w:cs="Times New Roman"/>
          <w:sz w:val="24"/>
        </w:rPr>
        <w:t>Hp</w:t>
      </w:r>
      <w:proofErr w:type="spellEnd"/>
      <w:r>
        <w:rPr>
          <w:rFonts w:ascii="Times New Roman" w:hAnsi="Times New Roman" w:cs="Times New Roman"/>
          <w:sz w:val="24"/>
        </w:rPr>
        <w:t>/Hv≥5</w:t>
      </w:r>
      <w:r>
        <w:rPr>
          <w:rFonts w:ascii="Times New Roman" w:hAnsi="Times New Roman" w:cs="Times New Roman"/>
          <w:sz w:val="24"/>
        </w:rPr>
        <w:t>）。</w:t>
      </w:r>
    </w:p>
    <w:p w:rsidR="00EC75E5" w:rsidRDefault="00EC75E5" w:rsidP="00EC75E5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测定法：</w:t>
      </w:r>
      <w:r>
        <w:rPr>
          <w:rFonts w:ascii="Times New Roman" w:hAnsi="Times New Roman" w:cs="Times New Roman"/>
          <w:sz w:val="24"/>
          <w:szCs w:val="24"/>
        </w:rPr>
        <w:t>精密量</w:t>
      </w:r>
      <w:proofErr w:type="gramStart"/>
      <w:r>
        <w:rPr>
          <w:rFonts w:ascii="Times New Roman" w:hAnsi="Times New Roman" w:cs="Times New Roman"/>
          <w:sz w:val="24"/>
          <w:szCs w:val="24"/>
        </w:rPr>
        <w:t>取供试品</w:t>
      </w:r>
      <w:proofErr w:type="gramEnd"/>
      <w:r>
        <w:rPr>
          <w:rFonts w:ascii="Times New Roman" w:hAnsi="Times New Roman" w:cs="Times New Roman"/>
          <w:sz w:val="24"/>
          <w:szCs w:val="24"/>
        </w:rPr>
        <w:t>溶液、对照品溶液、对照溶液和系统适用性溶液各</w:t>
      </w:r>
      <w:r>
        <w:rPr>
          <w:rFonts w:ascii="Times New Roman" w:hAnsi="Times New Roman" w:cs="Times New Roman"/>
          <w:sz w:val="24"/>
          <w:szCs w:val="24"/>
        </w:rPr>
        <w:t>10μl</w:t>
      </w:r>
      <w:r>
        <w:rPr>
          <w:rFonts w:ascii="Times New Roman" w:hAnsi="Times New Roman" w:cs="Times New Roman"/>
          <w:sz w:val="24"/>
          <w:szCs w:val="24"/>
        </w:rPr>
        <w:t>，分别注入液相色谱仪，记录色谱图至主成分峰保留时间的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倍。</w:t>
      </w:r>
    </w:p>
    <w:p w:rsidR="00EC75E5" w:rsidRDefault="00EC75E5" w:rsidP="00EC75E5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限度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供试品溶液</w:t>
      </w:r>
      <w:proofErr w:type="gramEnd"/>
      <w:r>
        <w:rPr>
          <w:rFonts w:ascii="Times New Roman" w:hAnsi="Times New Roman" w:cs="Times New Roman"/>
          <w:sz w:val="24"/>
          <w:szCs w:val="24"/>
        </w:rPr>
        <w:t>的色谱图中如有与茶碱保留时间一致的色谱峰，按外标法以峰面积计算，不得过</w:t>
      </w:r>
      <w:r>
        <w:rPr>
          <w:rFonts w:ascii="Times New Roman" w:hAnsi="Times New Roman" w:cs="Times New Roman"/>
          <w:sz w:val="24"/>
          <w:szCs w:val="24"/>
        </w:rPr>
        <w:t>0.10%</w:t>
      </w:r>
      <w:r>
        <w:rPr>
          <w:rFonts w:ascii="Times New Roman" w:hAnsi="Times New Roman" w:cs="Times New Roman"/>
          <w:sz w:val="24"/>
          <w:szCs w:val="24"/>
        </w:rPr>
        <w:t>；其他杂质按对照溶液主成分峰面积乘以校正因子计算，均应符合表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中的限度要求。</w:t>
      </w:r>
    </w:p>
    <w:p w:rsidR="00EC75E5" w:rsidRDefault="00EC75E5" w:rsidP="00EC75E5">
      <w:pPr>
        <w:pStyle w:val="a5"/>
      </w:pPr>
      <w:r>
        <w:t>表</w:t>
      </w:r>
      <w:r>
        <w:t>1</w:t>
      </w:r>
      <w:r>
        <w:t>杂质相对校正因子与限度</w:t>
      </w:r>
    </w:p>
    <w:tbl>
      <w:tblPr>
        <w:tblW w:w="5000" w:type="pct"/>
        <w:jc w:val="center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2661"/>
        <w:gridCol w:w="1603"/>
        <w:gridCol w:w="2132"/>
        <w:gridCol w:w="2132"/>
      </w:tblGrid>
      <w:tr w:rsidR="00EC75E5" w:rsidTr="001331E4">
        <w:trPr>
          <w:jc w:val="center"/>
        </w:trPr>
        <w:tc>
          <w:tcPr>
            <w:tcW w:w="15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杂质名称</w:t>
            </w:r>
          </w:p>
        </w:tc>
        <w:tc>
          <w:tcPr>
            <w:tcW w:w="94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相对保留时间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校正因子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C75E5" w:rsidRDefault="00EC75E5" w:rsidP="001331E4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限度（</w:t>
            </w:r>
            <w:r>
              <w:rPr>
                <w:b/>
                <w:bCs/>
              </w:rPr>
              <w:t>%</w:t>
            </w:r>
            <w:r>
              <w:rPr>
                <w:b/>
                <w:bCs/>
              </w:rPr>
              <w:t>）</w:t>
            </w:r>
          </w:p>
        </w:tc>
      </w:tr>
      <w:tr w:rsidR="00EC75E5" w:rsidTr="001331E4">
        <w:trPr>
          <w:jc w:val="center"/>
        </w:trPr>
        <w:tc>
          <w:tcPr>
            <w:tcW w:w="156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杂质</w:t>
            </w:r>
            <w:r>
              <w:rPr>
                <w:b/>
                <w:bCs/>
              </w:rPr>
              <w:t>A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</w:pPr>
            <w:r>
              <w:t>0.33</w:t>
            </w:r>
          </w:p>
        </w:tc>
        <w:tc>
          <w:tcPr>
            <w:tcW w:w="125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</w:pPr>
            <w:r>
              <w:rPr>
                <w:color w:val="000000"/>
                <w:szCs w:val="21"/>
              </w:rPr>
              <w:t>0.82</w:t>
            </w:r>
          </w:p>
        </w:tc>
        <w:tc>
          <w:tcPr>
            <w:tcW w:w="1250" w:type="pct"/>
            <w:tcBorders>
              <w:left w:val="nil"/>
              <w:right w:val="nil"/>
            </w:tcBorders>
          </w:tcPr>
          <w:p w:rsidR="00EC75E5" w:rsidRDefault="00EC75E5" w:rsidP="001331E4">
            <w:pPr>
              <w:pStyle w:val="a5"/>
            </w:pPr>
            <w:r>
              <w:t>0.10</w:t>
            </w:r>
          </w:p>
        </w:tc>
      </w:tr>
      <w:tr w:rsidR="00EC75E5" w:rsidTr="001331E4">
        <w:trPr>
          <w:jc w:val="center"/>
        </w:trPr>
        <w:tc>
          <w:tcPr>
            <w:tcW w:w="156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杂质</w:t>
            </w:r>
            <w:r>
              <w:rPr>
                <w:b/>
                <w:bCs/>
              </w:rPr>
              <w:t>C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</w:pPr>
            <w:r>
              <w:t>1.13</w:t>
            </w:r>
          </w:p>
        </w:tc>
        <w:tc>
          <w:tcPr>
            <w:tcW w:w="125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</w:pPr>
            <w:r>
              <w:rPr>
                <w:rFonts w:hint="eastAsia"/>
                <w:color w:val="000000"/>
                <w:szCs w:val="21"/>
              </w:rPr>
              <w:t>1.27</w:t>
            </w:r>
          </w:p>
        </w:tc>
        <w:tc>
          <w:tcPr>
            <w:tcW w:w="1250" w:type="pct"/>
            <w:tcBorders>
              <w:left w:val="nil"/>
              <w:right w:val="nil"/>
            </w:tcBorders>
          </w:tcPr>
          <w:p w:rsidR="00EC75E5" w:rsidRDefault="00EC75E5" w:rsidP="001331E4">
            <w:pPr>
              <w:pStyle w:val="a5"/>
            </w:pPr>
            <w:r>
              <w:t>0.10</w:t>
            </w:r>
          </w:p>
        </w:tc>
      </w:tr>
      <w:tr w:rsidR="00EC75E5" w:rsidTr="001331E4">
        <w:trPr>
          <w:jc w:val="center"/>
        </w:trPr>
        <w:tc>
          <w:tcPr>
            <w:tcW w:w="156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杂质</w:t>
            </w:r>
            <w:r>
              <w:rPr>
                <w:b/>
                <w:bCs/>
              </w:rPr>
              <w:t>D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</w:pPr>
            <w:r>
              <w:t>2.34</w:t>
            </w:r>
          </w:p>
        </w:tc>
        <w:tc>
          <w:tcPr>
            <w:tcW w:w="125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</w:pPr>
            <w:r>
              <w:rPr>
                <w:color w:val="000000"/>
                <w:szCs w:val="21"/>
              </w:rPr>
              <w:t>1.25</w:t>
            </w:r>
          </w:p>
        </w:tc>
        <w:tc>
          <w:tcPr>
            <w:tcW w:w="1250" w:type="pct"/>
            <w:tcBorders>
              <w:left w:val="nil"/>
              <w:right w:val="nil"/>
            </w:tcBorders>
          </w:tcPr>
          <w:p w:rsidR="00EC75E5" w:rsidRDefault="00EC75E5" w:rsidP="001331E4">
            <w:pPr>
              <w:pStyle w:val="a5"/>
            </w:pPr>
            <w:r>
              <w:t>0.10</w:t>
            </w:r>
          </w:p>
        </w:tc>
      </w:tr>
      <w:tr w:rsidR="00EC75E5" w:rsidTr="001331E4">
        <w:trPr>
          <w:jc w:val="center"/>
        </w:trPr>
        <w:tc>
          <w:tcPr>
            <w:tcW w:w="156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其他单个杂质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</w:pPr>
            <w:r>
              <w:t>/</w:t>
            </w:r>
          </w:p>
        </w:tc>
        <w:tc>
          <w:tcPr>
            <w:tcW w:w="125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</w:pPr>
            <w:r>
              <w:t>/</w:t>
            </w:r>
          </w:p>
        </w:tc>
        <w:tc>
          <w:tcPr>
            <w:tcW w:w="1250" w:type="pct"/>
            <w:tcBorders>
              <w:left w:val="nil"/>
              <w:right w:val="nil"/>
            </w:tcBorders>
          </w:tcPr>
          <w:p w:rsidR="00EC75E5" w:rsidRDefault="00EC75E5" w:rsidP="001331E4">
            <w:pPr>
              <w:pStyle w:val="a5"/>
            </w:pPr>
            <w:r>
              <w:t>0.10</w:t>
            </w:r>
          </w:p>
        </w:tc>
      </w:tr>
      <w:tr w:rsidR="00EC75E5" w:rsidTr="001331E4">
        <w:trPr>
          <w:jc w:val="center"/>
        </w:trPr>
        <w:tc>
          <w:tcPr>
            <w:tcW w:w="156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其他杂质总和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</w:rPr>
              <w:t>除茶碱外</w:t>
            </w:r>
            <w:r>
              <w:rPr>
                <w:b/>
                <w:bCs/>
              </w:rPr>
              <w:t>)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</w:pPr>
            <w:r>
              <w:t>/</w:t>
            </w:r>
          </w:p>
        </w:tc>
        <w:tc>
          <w:tcPr>
            <w:tcW w:w="125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C75E5" w:rsidRDefault="00EC75E5" w:rsidP="001331E4">
            <w:pPr>
              <w:pStyle w:val="a5"/>
            </w:pPr>
            <w:r>
              <w:t>/</w:t>
            </w:r>
          </w:p>
        </w:tc>
        <w:tc>
          <w:tcPr>
            <w:tcW w:w="1250" w:type="pct"/>
            <w:tcBorders>
              <w:left w:val="nil"/>
              <w:right w:val="nil"/>
            </w:tcBorders>
          </w:tcPr>
          <w:p w:rsidR="00EC75E5" w:rsidRDefault="00EC75E5" w:rsidP="001331E4">
            <w:pPr>
              <w:pStyle w:val="a5"/>
            </w:pPr>
            <w:r>
              <w:t>0.3</w:t>
            </w:r>
          </w:p>
        </w:tc>
      </w:tr>
    </w:tbl>
    <w:p w:rsidR="00EC75E5" w:rsidRDefault="00EC75E5" w:rsidP="00EC75E5">
      <w:pPr>
        <w:rPr>
          <w:rFonts w:ascii="Times New Roman" w:hAnsi="Times New Roman" w:cs="Times New Roman"/>
          <w:b/>
          <w:szCs w:val="24"/>
        </w:rPr>
      </w:pPr>
    </w:p>
    <w:p w:rsidR="00EC75E5" w:rsidRDefault="00EC75E5" w:rsidP="00EC75E5">
      <w:pPr>
        <w:rPr>
          <w:rFonts w:ascii="Times New Roman" w:hAnsi="Times New Roman" w:cs="Times New Roman"/>
          <w:b/>
          <w:sz w:val="24"/>
          <w:szCs w:val="24"/>
        </w:rPr>
      </w:pPr>
    </w:p>
    <w:p w:rsidR="00EC75E5" w:rsidRDefault="00EC75E5" w:rsidP="00EC75E5">
      <w:pPr>
        <w:rPr>
          <w:rFonts w:ascii="Times New Roman" w:hAnsi="Times New Roman" w:cs="Times New Roman"/>
          <w:sz w:val="24"/>
          <w:szCs w:val="24"/>
        </w:rPr>
      </w:pPr>
    </w:p>
    <w:p w:rsidR="000215F8" w:rsidRDefault="000215F8"/>
    <w:sectPr w:rsidR="000215F8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955" w:rsidRDefault="005B4955" w:rsidP="00EC75E5">
      <w:r>
        <w:separator/>
      </w:r>
    </w:p>
  </w:endnote>
  <w:endnote w:type="continuationSeparator" w:id="0">
    <w:p w:rsidR="005B4955" w:rsidRDefault="005B4955" w:rsidP="00EC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955" w:rsidRDefault="005B4955" w:rsidP="00EC75E5">
      <w:r>
        <w:separator/>
      </w:r>
    </w:p>
  </w:footnote>
  <w:footnote w:type="continuationSeparator" w:id="0">
    <w:p w:rsidR="005B4955" w:rsidRDefault="005B4955" w:rsidP="00EC7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F8D"/>
    <w:rsid w:val="000215F8"/>
    <w:rsid w:val="000B3422"/>
    <w:rsid w:val="00105599"/>
    <w:rsid w:val="005B4955"/>
    <w:rsid w:val="00A17F8D"/>
    <w:rsid w:val="00EC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75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75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75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75E5"/>
    <w:rPr>
      <w:sz w:val="18"/>
      <w:szCs w:val="18"/>
    </w:rPr>
  </w:style>
  <w:style w:type="paragraph" w:styleId="a5">
    <w:name w:val="No Spacing"/>
    <w:link w:val="Char1"/>
    <w:uiPriority w:val="1"/>
    <w:qFormat/>
    <w:rsid w:val="00EC75E5"/>
    <w:pPr>
      <w:spacing w:line="360" w:lineRule="auto"/>
      <w:jc w:val="center"/>
    </w:pPr>
    <w:rPr>
      <w:rFonts w:ascii="Times New Roman" w:eastAsia="宋体" w:hAnsi="Times New Roman" w:cs="Times New Roman"/>
      <w:szCs w:val="20"/>
    </w:rPr>
  </w:style>
  <w:style w:type="character" w:customStyle="1" w:styleId="Char1">
    <w:name w:val="无间隔 Char"/>
    <w:link w:val="a5"/>
    <w:uiPriority w:val="1"/>
    <w:qFormat/>
    <w:rsid w:val="00EC75E5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75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75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75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75E5"/>
    <w:rPr>
      <w:sz w:val="18"/>
      <w:szCs w:val="18"/>
    </w:rPr>
  </w:style>
  <w:style w:type="paragraph" w:styleId="a5">
    <w:name w:val="No Spacing"/>
    <w:link w:val="Char1"/>
    <w:uiPriority w:val="1"/>
    <w:qFormat/>
    <w:rsid w:val="00EC75E5"/>
    <w:pPr>
      <w:spacing w:line="360" w:lineRule="auto"/>
      <w:jc w:val="center"/>
    </w:pPr>
    <w:rPr>
      <w:rFonts w:ascii="Times New Roman" w:eastAsia="宋体" w:hAnsi="Times New Roman" w:cs="Times New Roman"/>
      <w:szCs w:val="20"/>
    </w:rPr>
  </w:style>
  <w:style w:type="character" w:customStyle="1" w:styleId="Char1">
    <w:name w:val="无间隔 Char"/>
    <w:link w:val="a5"/>
    <w:uiPriority w:val="1"/>
    <w:qFormat/>
    <w:rsid w:val="00EC75E5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>P R C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2022-11-21T03:44:00Z</dcterms:created>
  <dcterms:modified xsi:type="dcterms:W3CDTF">2022-11-21T03:44:00Z</dcterms:modified>
</cp:coreProperties>
</file>