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4E2" w:rsidRPr="003C44E2" w:rsidRDefault="003C44E2" w:rsidP="003C44E2">
      <w:pPr>
        <w:spacing w:line="360" w:lineRule="auto"/>
        <w:ind w:left="120" w:hangingChars="50" w:hanging="120"/>
        <w:jc w:val="center"/>
        <w:rPr>
          <w:b/>
          <w:color w:val="000000"/>
          <w:sz w:val="24"/>
          <w:szCs w:val="28"/>
        </w:rPr>
      </w:pPr>
      <w:bookmarkStart w:id="0" w:name="_GoBack"/>
      <w:r w:rsidRPr="003C44E2">
        <w:rPr>
          <w:rFonts w:hAnsi="宋体"/>
          <w:b/>
          <w:color w:val="000000"/>
          <w:sz w:val="24"/>
          <w:szCs w:val="28"/>
        </w:rPr>
        <w:t>布</w:t>
      </w:r>
      <w:proofErr w:type="gramStart"/>
      <w:r w:rsidRPr="003C44E2">
        <w:rPr>
          <w:rFonts w:hAnsi="宋体"/>
          <w:b/>
          <w:color w:val="000000"/>
          <w:sz w:val="24"/>
          <w:szCs w:val="28"/>
        </w:rPr>
        <w:t>地奈德粉</w:t>
      </w:r>
      <w:proofErr w:type="gramEnd"/>
      <w:r w:rsidRPr="003C44E2">
        <w:rPr>
          <w:rFonts w:hAnsi="宋体"/>
          <w:b/>
          <w:color w:val="000000"/>
          <w:sz w:val="24"/>
          <w:szCs w:val="28"/>
        </w:rPr>
        <w:t>雾剂中有关物质的检验方法</w:t>
      </w:r>
    </w:p>
    <w:bookmarkEnd w:id="0"/>
    <w:p w:rsidR="003C44E2" w:rsidRDefault="003C44E2" w:rsidP="003C44E2">
      <w:pPr>
        <w:snapToGrid w:val="0"/>
        <w:spacing w:line="360" w:lineRule="auto"/>
        <w:ind w:right="28" w:firstLineChars="212" w:firstLine="511"/>
        <w:rPr>
          <w:rFonts w:hint="eastAsia"/>
          <w:b/>
          <w:kern w:val="0"/>
          <w:sz w:val="24"/>
        </w:rPr>
      </w:pPr>
    </w:p>
    <w:p w:rsidR="003C44E2" w:rsidRPr="003A2610" w:rsidRDefault="003C44E2" w:rsidP="003C44E2">
      <w:pPr>
        <w:snapToGrid w:val="0"/>
        <w:spacing w:line="360" w:lineRule="auto"/>
        <w:ind w:right="28" w:firstLineChars="212" w:firstLine="511"/>
        <w:rPr>
          <w:sz w:val="24"/>
        </w:rPr>
      </w:pPr>
      <w:r w:rsidRPr="003A2610">
        <w:rPr>
          <w:b/>
          <w:kern w:val="0"/>
          <w:sz w:val="24"/>
        </w:rPr>
        <w:t>【检査】</w:t>
      </w:r>
      <w:r w:rsidRPr="003A2610">
        <w:rPr>
          <w:b/>
          <w:bCs/>
          <w:sz w:val="24"/>
        </w:rPr>
        <w:t>有关物质</w:t>
      </w:r>
      <w:r w:rsidRPr="003A2610">
        <w:rPr>
          <w:sz w:val="24"/>
        </w:rPr>
        <w:t xml:space="preserve">  </w:t>
      </w:r>
      <w:r w:rsidRPr="003A2610">
        <w:rPr>
          <w:sz w:val="24"/>
        </w:rPr>
        <w:t>照高效液相色谱法（通则</w:t>
      </w:r>
      <w:r w:rsidRPr="003A2610">
        <w:rPr>
          <w:sz w:val="24"/>
        </w:rPr>
        <w:t>0512</w:t>
      </w:r>
      <w:r w:rsidRPr="003A2610">
        <w:rPr>
          <w:sz w:val="24"/>
        </w:rPr>
        <w:t>）测定。</w:t>
      </w:r>
    </w:p>
    <w:p w:rsidR="003C44E2" w:rsidRPr="003A2610" w:rsidRDefault="003C44E2" w:rsidP="003C44E2">
      <w:pPr>
        <w:snapToGrid w:val="0"/>
        <w:spacing w:line="360" w:lineRule="auto"/>
        <w:ind w:right="28" w:firstLineChars="212" w:firstLine="509"/>
        <w:rPr>
          <w:sz w:val="24"/>
        </w:rPr>
      </w:pPr>
      <w:proofErr w:type="gramStart"/>
      <w:r w:rsidRPr="003A2610">
        <w:rPr>
          <w:sz w:val="24"/>
        </w:rPr>
        <w:t>供试品溶液</w:t>
      </w:r>
      <w:proofErr w:type="gramEnd"/>
      <w:r w:rsidRPr="003A2610">
        <w:rPr>
          <w:sz w:val="24"/>
        </w:rPr>
        <w:t xml:space="preserve">  </w:t>
      </w:r>
      <w:r w:rsidRPr="003A2610">
        <w:rPr>
          <w:sz w:val="24"/>
        </w:rPr>
        <w:t>取本品</w:t>
      </w:r>
      <w:r w:rsidRPr="003A2610">
        <w:rPr>
          <w:sz w:val="24"/>
        </w:rPr>
        <w:t>10</w:t>
      </w:r>
      <w:r w:rsidRPr="003A2610">
        <w:rPr>
          <w:sz w:val="24"/>
        </w:rPr>
        <w:t>粒，将内容物倾入</w:t>
      </w:r>
      <w:r w:rsidRPr="003A2610">
        <w:rPr>
          <w:sz w:val="24"/>
        </w:rPr>
        <w:t>20ml</w:t>
      </w:r>
      <w:r w:rsidRPr="003A2610">
        <w:rPr>
          <w:sz w:val="24"/>
        </w:rPr>
        <w:t>量瓶中，用乙腈</w:t>
      </w:r>
      <w:r w:rsidRPr="003A2610">
        <w:rPr>
          <w:sz w:val="24"/>
        </w:rPr>
        <w:t>6.8ml</w:t>
      </w:r>
      <w:r w:rsidRPr="003A2610">
        <w:rPr>
          <w:sz w:val="24"/>
        </w:rPr>
        <w:t>洗涤胶囊内壁，洗液并入量瓶中，超声使溶解，用</w:t>
      </w:r>
      <w:r w:rsidRPr="003A2610">
        <w:rPr>
          <w:sz w:val="24"/>
        </w:rPr>
        <w:t>0.023mol/L</w:t>
      </w:r>
      <w:r w:rsidRPr="003A2610">
        <w:rPr>
          <w:sz w:val="24"/>
        </w:rPr>
        <w:t>磷酸二氢钠缓冲液（</w:t>
      </w:r>
      <w:r w:rsidRPr="003A2610">
        <w:rPr>
          <w:sz w:val="24"/>
        </w:rPr>
        <w:t>pH3.2</w:t>
      </w:r>
      <w:r w:rsidRPr="003A2610">
        <w:rPr>
          <w:sz w:val="24"/>
        </w:rPr>
        <w:t>）稀释至刻度，摇匀，滤过，</w:t>
      </w:r>
      <w:proofErr w:type="gramStart"/>
      <w:r w:rsidRPr="003A2610">
        <w:rPr>
          <w:sz w:val="24"/>
        </w:rPr>
        <w:t>取续滤液</w:t>
      </w:r>
      <w:proofErr w:type="gramEnd"/>
      <w:r w:rsidRPr="003A2610">
        <w:rPr>
          <w:sz w:val="24"/>
        </w:rPr>
        <w:t>作为</w:t>
      </w:r>
      <w:proofErr w:type="gramStart"/>
      <w:r w:rsidRPr="003A2610">
        <w:rPr>
          <w:sz w:val="24"/>
        </w:rPr>
        <w:t>供试品溶液</w:t>
      </w:r>
      <w:proofErr w:type="gramEnd"/>
      <w:r w:rsidRPr="003A2610">
        <w:rPr>
          <w:sz w:val="24"/>
        </w:rPr>
        <w:t>。</w:t>
      </w:r>
    </w:p>
    <w:p w:rsidR="003C44E2" w:rsidRPr="003A2610" w:rsidRDefault="003C44E2" w:rsidP="003C44E2">
      <w:pPr>
        <w:snapToGrid w:val="0"/>
        <w:spacing w:line="360" w:lineRule="auto"/>
        <w:ind w:right="28" w:firstLineChars="212" w:firstLine="509"/>
        <w:rPr>
          <w:sz w:val="24"/>
        </w:rPr>
      </w:pPr>
      <w:r w:rsidRPr="003A2610">
        <w:rPr>
          <w:sz w:val="24"/>
        </w:rPr>
        <w:t>对照溶液</w:t>
      </w:r>
      <w:r w:rsidRPr="003A2610">
        <w:rPr>
          <w:sz w:val="24"/>
        </w:rPr>
        <w:t xml:space="preserve">  </w:t>
      </w:r>
      <w:r w:rsidRPr="003A2610">
        <w:rPr>
          <w:sz w:val="24"/>
        </w:rPr>
        <w:t>精密量</w:t>
      </w:r>
      <w:proofErr w:type="gramStart"/>
      <w:r w:rsidRPr="003A2610">
        <w:rPr>
          <w:sz w:val="24"/>
        </w:rPr>
        <w:t>取供试品</w:t>
      </w:r>
      <w:proofErr w:type="gramEnd"/>
      <w:r w:rsidRPr="003A2610">
        <w:rPr>
          <w:sz w:val="24"/>
        </w:rPr>
        <w:t>溶液</w:t>
      </w:r>
      <w:r w:rsidRPr="003A2610">
        <w:rPr>
          <w:sz w:val="24"/>
        </w:rPr>
        <w:t>5ml</w:t>
      </w:r>
      <w:r w:rsidRPr="003A2610">
        <w:rPr>
          <w:sz w:val="24"/>
        </w:rPr>
        <w:t>，置</w:t>
      </w:r>
      <w:r w:rsidRPr="003A2610">
        <w:rPr>
          <w:sz w:val="24"/>
        </w:rPr>
        <w:t>50ml</w:t>
      </w:r>
      <w:r w:rsidRPr="003A2610">
        <w:rPr>
          <w:sz w:val="24"/>
        </w:rPr>
        <w:t>量瓶中，</w:t>
      </w:r>
      <w:proofErr w:type="gramStart"/>
      <w:r w:rsidRPr="003A2610">
        <w:rPr>
          <w:sz w:val="24"/>
        </w:rPr>
        <w:t>用布地奈德</w:t>
      </w:r>
      <w:proofErr w:type="gramEnd"/>
      <w:r w:rsidRPr="003A2610">
        <w:rPr>
          <w:sz w:val="24"/>
        </w:rPr>
        <w:t>有关物质（</w:t>
      </w:r>
      <w:r w:rsidRPr="003A2610">
        <w:rPr>
          <w:sz w:val="24"/>
        </w:rPr>
        <w:t>2</w:t>
      </w:r>
      <w:r w:rsidRPr="003A2610">
        <w:rPr>
          <w:sz w:val="24"/>
        </w:rPr>
        <w:t>）项下稀释剂</w:t>
      </w:r>
      <w:r w:rsidRPr="003A2610">
        <w:rPr>
          <w:sz w:val="24"/>
        </w:rPr>
        <w:t>2</w:t>
      </w:r>
      <w:r w:rsidRPr="003A2610">
        <w:rPr>
          <w:sz w:val="24"/>
        </w:rPr>
        <w:t>稀释至刻度，摇匀；精密量取</w:t>
      </w:r>
      <w:r w:rsidRPr="003A2610">
        <w:rPr>
          <w:sz w:val="24"/>
        </w:rPr>
        <w:t>5ml</w:t>
      </w:r>
      <w:r w:rsidRPr="003A2610">
        <w:rPr>
          <w:sz w:val="24"/>
        </w:rPr>
        <w:t>，置</w:t>
      </w:r>
      <w:r w:rsidRPr="003A2610">
        <w:rPr>
          <w:sz w:val="24"/>
        </w:rPr>
        <w:t>100ml</w:t>
      </w:r>
      <w:r w:rsidRPr="003A2610">
        <w:rPr>
          <w:sz w:val="24"/>
        </w:rPr>
        <w:t>量瓶中，用稀释剂</w:t>
      </w:r>
      <w:r w:rsidRPr="003A2610">
        <w:rPr>
          <w:sz w:val="24"/>
        </w:rPr>
        <w:t>2</w:t>
      </w:r>
      <w:r w:rsidRPr="003A2610">
        <w:rPr>
          <w:sz w:val="24"/>
        </w:rPr>
        <w:t>稀释至刻度。</w:t>
      </w:r>
    </w:p>
    <w:p w:rsidR="003C44E2" w:rsidRPr="003A2610" w:rsidRDefault="003C44E2" w:rsidP="003C44E2">
      <w:pPr>
        <w:snapToGrid w:val="0"/>
        <w:spacing w:line="360" w:lineRule="auto"/>
        <w:ind w:right="28" w:firstLineChars="212" w:firstLine="509"/>
        <w:rPr>
          <w:sz w:val="24"/>
        </w:rPr>
      </w:pPr>
      <w:r w:rsidRPr="003A2610">
        <w:rPr>
          <w:sz w:val="24"/>
        </w:rPr>
        <w:t>空白辅料溶液</w:t>
      </w:r>
      <w:r w:rsidRPr="003A2610">
        <w:rPr>
          <w:sz w:val="24"/>
        </w:rPr>
        <w:t xml:space="preserve">  </w:t>
      </w:r>
      <w:r w:rsidRPr="003A2610">
        <w:rPr>
          <w:sz w:val="24"/>
        </w:rPr>
        <w:t>取乳糖适量，加稀释剂</w:t>
      </w:r>
      <w:r w:rsidRPr="003A2610">
        <w:rPr>
          <w:sz w:val="24"/>
        </w:rPr>
        <w:t>2</w:t>
      </w:r>
      <w:r w:rsidRPr="003A2610">
        <w:rPr>
          <w:sz w:val="24"/>
        </w:rPr>
        <w:t>溶解并稀释制成每</w:t>
      </w:r>
      <w:r w:rsidRPr="003A2610">
        <w:rPr>
          <w:sz w:val="24"/>
        </w:rPr>
        <w:t>1ml</w:t>
      </w:r>
      <w:r w:rsidRPr="003A2610">
        <w:rPr>
          <w:sz w:val="24"/>
        </w:rPr>
        <w:t>中约含</w:t>
      </w:r>
      <w:r w:rsidRPr="003A2610">
        <w:rPr>
          <w:sz w:val="24"/>
        </w:rPr>
        <w:t>12.5mg</w:t>
      </w:r>
      <w:r w:rsidRPr="003A2610">
        <w:rPr>
          <w:sz w:val="24"/>
        </w:rPr>
        <w:t>的溶液，滤过，</w:t>
      </w:r>
      <w:proofErr w:type="gramStart"/>
      <w:r w:rsidRPr="003A2610">
        <w:rPr>
          <w:sz w:val="24"/>
        </w:rPr>
        <w:t>取续滤液</w:t>
      </w:r>
      <w:proofErr w:type="gramEnd"/>
      <w:r w:rsidRPr="003A2610">
        <w:rPr>
          <w:sz w:val="24"/>
        </w:rPr>
        <w:t>作为空白辅料溶液。</w:t>
      </w:r>
    </w:p>
    <w:p w:rsidR="003C44E2" w:rsidRPr="003A2610" w:rsidRDefault="003C44E2" w:rsidP="003C44E2">
      <w:pPr>
        <w:snapToGrid w:val="0"/>
        <w:spacing w:line="360" w:lineRule="auto"/>
        <w:ind w:right="28" w:firstLineChars="212" w:firstLine="509"/>
        <w:rPr>
          <w:sz w:val="24"/>
        </w:rPr>
      </w:pPr>
      <w:r w:rsidRPr="003A2610">
        <w:rPr>
          <w:sz w:val="24"/>
        </w:rPr>
        <w:t>灵敏度溶液</w:t>
      </w:r>
      <w:r w:rsidRPr="003A2610">
        <w:rPr>
          <w:sz w:val="24"/>
        </w:rPr>
        <w:t xml:space="preserve">  </w:t>
      </w:r>
      <w:r w:rsidRPr="003A2610">
        <w:rPr>
          <w:sz w:val="24"/>
        </w:rPr>
        <w:t>取对照溶液</w:t>
      </w:r>
      <w:r w:rsidRPr="003A2610">
        <w:rPr>
          <w:sz w:val="24"/>
        </w:rPr>
        <w:t>1ml</w:t>
      </w:r>
      <w:r w:rsidRPr="003A2610">
        <w:rPr>
          <w:sz w:val="24"/>
        </w:rPr>
        <w:t>，置</w:t>
      </w:r>
      <w:r w:rsidRPr="003A2610">
        <w:rPr>
          <w:sz w:val="24"/>
        </w:rPr>
        <w:t>10ml</w:t>
      </w:r>
      <w:r w:rsidRPr="003A2610">
        <w:rPr>
          <w:sz w:val="24"/>
        </w:rPr>
        <w:t>量瓶中，用稀释剂</w:t>
      </w:r>
      <w:r w:rsidRPr="003A2610">
        <w:rPr>
          <w:sz w:val="24"/>
        </w:rPr>
        <w:t>2</w:t>
      </w:r>
      <w:r w:rsidRPr="003A2610">
        <w:rPr>
          <w:sz w:val="24"/>
        </w:rPr>
        <w:t>稀释至刻度。</w:t>
      </w:r>
    </w:p>
    <w:p w:rsidR="003C44E2" w:rsidRPr="003A2610" w:rsidRDefault="003C44E2" w:rsidP="003C44E2">
      <w:pPr>
        <w:snapToGrid w:val="0"/>
        <w:spacing w:line="360" w:lineRule="auto"/>
        <w:ind w:right="28" w:firstLineChars="212" w:firstLine="509"/>
        <w:rPr>
          <w:sz w:val="24"/>
        </w:rPr>
      </w:pPr>
      <w:r w:rsidRPr="003A2610">
        <w:rPr>
          <w:sz w:val="24"/>
        </w:rPr>
        <w:t>系统适用性溶液</w:t>
      </w:r>
      <w:r w:rsidRPr="003A2610">
        <w:rPr>
          <w:sz w:val="24"/>
        </w:rPr>
        <w:t xml:space="preserve">  </w:t>
      </w:r>
      <w:r w:rsidRPr="003A2610">
        <w:rPr>
          <w:sz w:val="24"/>
        </w:rPr>
        <w:t>分别取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杂质</w:t>
      </w:r>
      <w:r w:rsidRPr="003A2610">
        <w:rPr>
          <w:sz w:val="24"/>
        </w:rPr>
        <w:t>I</w:t>
      </w:r>
      <w:r w:rsidRPr="003A2610">
        <w:rPr>
          <w:sz w:val="24"/>
        </w:rPr>
        <w:t>、杂质</w:t>
      </w:r>
      <w:r w:rsidRPr="003A2610">
        <w:rPr>
          <w:sz w:val="24"/>
        </w:rPr>
        <w:t>II</w:t>
      </w:r>
      <w:r w:rsidRPr="003A2610">
        <w:rPr>
          <w:sz w:val="24"/>
        </w:rPr>
        <w:t>、杂质</w:t>
      </w:r>
      <w:r w:rsidRPr="003A2610">
        <w:rPr>
          <w:sz w:val="24"/>
        </w:rPr>
        <w:t>A</w:t>
      </w:r>
      <w:r w:rsidRPr="003A2610">
        <w:rPr>
          <w:sz w:val="24"/>
        </w:rPr>
        <w:t>、杂质</w:t>
      </w:r>
      <w:r w:rsidRPr="003A2610">
        <w:rPr>
          <w:sz w:val="24"/>
        </w:rPr>
        <w:t>D</w:t>
      </w:r>
      <w:r w:rsidRPr="003A2610">
        <w:rPr>
          <w:sz w:val="24"/>
        </w:rPr>
        <w:t>、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-17-</w:t>
      </w:r>
      <w:r w:rsidRPr="003A2610">
        <w:rPr>
          <w:sz w:val="24"/>
        </w:rPr>
        <w:t>羧酸、杂质</w:t>
      </w:r>
      <w:r w:rsidRPr="003A2610">
        <w:rPr>
          <w:sz w:val="24"/>
        </w:rPr>
        <w:t>E</w:t>
      </w:r>
      <w:r w:rsidRPr="003A2610">
        <w:rPr>
          <w:sz w:val="24"/>
        </w:rPr>
        <w:t>、杂质</w:t>
      </w:r>
      <w:r w:rsidRPr="003A2610">
        <w:rPr>
          <w:sz w:val="24"/>
        </w:rPr>
        <w:t>F</w:t>
      </w:r>
      <w:r w:rsidRPr="003A2610">
        <w:rPr>
          <w:sz w:val="24"/>
        </w:rPr>
        <w:t>、杂质</w:t>
      </w:r>
      <w:r w:rsidRPr="003A2610">
        <w:rPr>
          <w:sz w:val="24"/>
        </w:rPr>
        <w:t>L</w:t>
      </w:r>
      <w:r w:rsidRPr="003A2610">
        <w:rPr>
          <w:sz w:val="24"/>
        </w:rPr>
        <w:t>各</w:t>
      </w:r>
      <w:r w:rsidRPr="003A2610">
        <w:rPr>
          <w:sz w:val="24"/>
        </w:rPr>
        <w:t>2mg</w:t>
      </w:r>
      <w:r w:rsidRPr="003A2610">
        <w:rPr>
          <w:sz w:val="24"/>
        </w:rPr>
        <w:t>，置</w:t>
      </w:r>
      <w:r w:rsidRPr="003A2610">
        <w:rPr>
          <w:sz w:val="24"/>
        </w:rPr>
        <w:t>100ml</w:t>
      </w:r>
      <w:r w:rsidRPr="003A2610">
        <w:rPr>
          <w:sz w:val="24"/>
        </w:rPr>
        <w:t>量瓶中，加乙腈</w:t>
      </w:r>
      <w:r w:rsidRPr="003A2610">
        <w:rPr>
          <w:sz w:val="24"/>
        </w:rPr>
        <w:t>34ml</w:t>
      </w:r>
      <w:r w:rsidRPr="003A2610">
        <w:rPr>
          <w:sz w:val="24"/>
        </w:rPr>
        <w:t>使溶解，用</w:t>
      </w:r>
      <w:r w:rsidRPr="003A2610">
        <w:rPr>
          <w:sz w:val="24"/>
        </w:rPr>
        <w:t>0.023mol/L</w:t>
      </w:r>
      <w:r w:rsidRPr="003A2610">
        <w:rPr>
          <w:sz w:val="24"/>
        </w:rPr>
        <w:t>磷酸二氢钠缓冲液（</w:t>
      </w:r>
      <w:r w:rsidRPr="003A2610">
        <w:rPr>
          <w:sz w:val="24"/>
        </w:rPr>
        <w:t>pH3.2</w:t>
      </w:r>
      <w:r w:rsidRPr="003A2610">
        <w:rPr>
          <w:sz w:val="24"/>
        </w:rPr>
        <w:t>）稀释至刻度，摇匀。取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对照品</w:t>
      </w:r>
      <w:r w:rsidRPr="003A2610">
        <w:rPr>
          <w:sz w:val="24"/>
        </w:rPr>
        <w:t>10ml</w:t>
      </w:r>
      <w:r w:rsidRPr="003A2610">
        <w:rPr>
          <w:sz w:val="24"/>
        </w:rPr>
        <w:t>，置</w:t>
      </w:r>
      <w:r w:rsidRPr="003A2610">
        <w:rPr>
          <w:sz w:val="24"/>
        </w:rPr>
        <w:t>10ml</w:t>
      </w:r>
      <w:r w:rsidRPr="003A2610">
        <w:rPr>
          <w:sz w:val="24"/>
        </w:rPr>
        <w:t>量瓶中，加乙腈</w:t>
      </w:r>
      <w:r w:rsidRPr="003A2610">
        <w:rPr>
          <w:sz w:val="24"/>
        </w:rPr>
        <w:t>3.4ml</w:t>
      </w:r>
      <w:r w:rsidRPr="003A2610">
        <w:rPr>
          <w:sz w:val="24"/>
        </w:rPr>
        <w:t>使溶解，加入上述溶液</w:t>
      </w:r>
      <w:r w:rsidRPr="003A2610">
        <w:rPr>
          <w:sz w:val="24"/>
        </w:rPr>
        <w:t>1ml</w:t>
      </w:r>
      <w:r w:rsidRPr="003A2610">
        <w:rPr>
          <w:sz w:val="24"/>
        </w:rPr>
        <w:t>，用</w:t>
      </w:r>
      <w:r w:rsidRPr="003A2610">
        <w:rPr>
          <w:sz w:val="24"/>
        </w:rPr>
        <w:t>0.023mol/L</w:t>
      </w:r>
      <w:r w:rsidRPr="003A2610">
        <w:rPr>
          <w:sz w:val="24"/>
        </w:rPr>
        <w:t>磷酸二氢钠缓冲液（</w:t>
      </w:r>
      <w:r w:rsidRPr="003A2610">
        <w:rPr>
          <w:sz w:val="24"/>
        </w:rPr>
        <w:t>pH3.2</w:t>
      </w:r>
      <w:r w:rsidRPr="003A2610">
        <w:rPr>
          <w:sz w:val="24"/>
        </w:rPr>
        <w:t>）稀释至刻度，摇匀。取上述溶液</w:t>
      </w:r>
      <w:r w:rsidRPr="003A2610">
        <w:rPr>
          <w:sz w:val="24"/>
        </w:rPr>
        <w:t>5ml</w:t>
      </w:r>
      <w:r w:rsidRPr="003A2610">
        <w:rPr>
          <w:sz w:val="24"/>
        </w:rPr>
        <w:t>，置</w:t>
      </w:r>
      <w:r w:rsidRPr="003A2610">
        <w:rPr>
          <w:sz w:val="24"/>
        </w:rPr>
        <w:t>50ml</w:t>
      </w:r>
      <w:r w:rsidRPr="003A2610">
        <w:rPr>
          <w:sz w:val="24"/>
        </w:rPr>
        <w:t>量瓶中，用稀释剂</w:t>
      </w:r>
      <w:r w:rsidRPr="003A2610">
        <w:rPr>
          <w:sz w:val="24"/>
        </w:rPr>
        <w:t>2</w:t>
      </w:r>
      <w:r w:rsidRPr="003A2610">
        <w:rPr>
          <w:sz w:val="24"/>
        </w:rPr>
        <w:t>稀释至刻度，摇匀。</w:t>
      </w:r>
    </w:p>
    <w:p w:rsidR="003C44E2" w:rsidRPr="003A2610" w:rsidRDefault="003C44E2" w:rsidP="003C44E2">
      <w:pPr>
        <w:snapToGrid w:val="0"/>
        <w:spacing w:line="360" w:lineRule="auto"/>
        <w:ind w:right="28" w:firstLineChars="212" w:firstLine="509"/>
        <w:rPr>
          <w:sz w:val="24"/>
        </w:rPr>
      </w:pPr>
      <w:r w:rsidRPr="003A2610">
        <w:rPr>
          <w:sz w:val="24"/>
        </w:rPr>
        <w:t>色谱条件</w:t>
      </w:r>
      <w:r w:rsidRPr="003A2610">
        <w:rPr>
          <w:sz w:val="24"/>
        </w:rPr>
        <w:t xml:space="preserve">  </w:t>
      </w:r>
      <w:r w:rsidRPr="003A2610">
        <w:rPr>
          <w:sz w:val="24"/>
        </w:rPr>
        <w:t>以十八烷基硅烷键和硅胶为填充剂（</w:t>
      </w:r>
      <w:r w:rsidRPr="003A2610">
        <w:rPr>
          <w:sz w:val="24"/>
        </w:rPr>
        <w:t>150mm×4.6mm</w:t>
      </w:r>
      <w:r w:rsidRPr="003A2610">
        <w:rPr>
          <w:sz w:val="24"/>
        </w:rPr>
        <w:t>，</w:t>
      </w:r>
      <w:r w:rsidRPr="003A2610">
        <w:rPr>
          <w:sz w:val="24"/>
        </w:rPr>
        <w:t>3μm</w:t>
      </w:r>
      <w:r w:rsidRPr="003A2610">
        <w:rPr>
          <w:sz w:val="24"/>
        </w:rPr>
        <w:t>或效能相当的色谱柱）；以无水乙醇</w:t>
      </w:r>
      <w:r w:rsidRPr="003A2610">
        <w:rPr>
          <w:sz w:val="24"/>
        </w:rPr>
        <w:t>-</w:t>
      </w:r>
      <w:r w:rsidRPr="003A2610">
        <w:rPr>
          <w:sz w:val="24"/>
        </w:rPr>
        <w:t>乙腈</w:t>
      </w:r>
      <w:r w:rsidRPr="003A2610">
        <w:rPr>
          <w:sz w:val="24"/>
        </w:rPr>
        <w:t>-</w:t>
      </w:r>
      <w:r w:rsidRPr="003A2610">
        <w:rPr>
          <w:sz w:val="24"/>
        </w:rPr>
        <w:t>磷酸二氢钠缓冲液（</w:t>
      </w:r>
      <w:r w:rsidRPr="003A2610">
        <w:rPr>
          <w:sz w:val="24"/>
        </w:rPr>
        <w:t>pH3.2</w:t>
      </w:r>
      <w:r w:rsidRPr="003A2610">
        <w:rPr>
          <w:sz w:val="24"/>
        </w:rPr>
        <w:t>）（</w:t>
      </w:r>
      <w:r w:rsidRPr="003A2610">
        <w:rPr>
          <w:sz w:val="24"/>
        </w:rPr>
        <w:t>2</w:t>
      </w:r>
      <w:r w:rsidRPr="003A2610">
        <w:rPr>
          <w:sz w:val="24"/>
        </w:rPr>
        <w:t>：</w:t>
      </w:r>
      <w:r w:rsidRPr="003A2610">
        <w:rPr>
          <w:sz w:val="24"/>
        </w:rPr>
        <w:t>34</w:t>
      </w:r>
      <w:r w:rsidRPr="003A2610">
        <w:rPr>
          <w:sz w:val="24"/>
        </w:rPr>
        <w:t>：</w:t>
      </w:r>
      <w:r w:rsidRPr="003A2610">
        <w:rPr>
          <w:sz w:val="24"/>
        </w:rPr>
        <w:t>66</w:t>
      </w:r>
      <w:r w:rsidRPr="003A2610">
        <w:rPr>
          <w:sz w:val="24"/>
        </w:rPr>
        <w:t>）为流动相</w:t>
      </w:r>
      <w:r w:rsidRPr="003A2610">
        <w:rPr>
          <w:sz w:val="24"/>
        </w:rPr>
        <w:t>A</w:t>
      </w:r>
      <w:r w:rsidRPr="003A2610">
        <w:rPr>
          <w:sz w:val="24"/>
        </w:rPr>
        <w:t>，以乙腈</w:t>
      </w:r>
      <w:r w:rsidRPr="003A2610">
        <w:rPr>
          <w:sz w:val="24"/>
        </w:rPr>
        <w:t>-</w:t>
      </w:r>
      <w:r w:rsidRPr="003A2610">
        <w:rPr>
          <w:sz w:val="24"/>
        </w:rPr>
        <w:t>磷酸二氢钠缓冲液（</w:t>
      </w:r>
      <w:r w:rsidRPr="003A2610">
        <w:rPr>
          <w:sz w:val="24"/>
        </w:rPr>
        <w:t>pH3.2</w:t>
      </w:r>
      <w:r w:rsidRPr="003A2610">
        <w:rPr>
          <w:sz w:val="24"/>
        </w:rPr>
        <w:t>）（</w:t>
      </w:r>
      <w:r w:rsidRPr="003A2610">
        <w:rPr>
          <w:sz w:val="24"/>
        </w:rPr>
        <w:t>50</w:t>
      </w:r>
      <w:r w:rsidRPr="003A2610">
        <w:rPr>
          <w:sz w:val="24"/>
        </w:rPr>
        <w:t>：</w:t>
      </w:r>
      <w:r w:rsidRPr="003A2610">
        <w:rPr>
          <w:sz w:val="24"/>
        </w:rPr>
        <w:t>50</w:t>
      </w:r>
      <w:r w:rsidRPr="003A2610">
        <w:rPr>
          <w:sz w:val="24"/>
        </w:rPr>
        <w:t>）为流动相</w:t>
      </w:r>
      <w:r w:rsidRPr="003A2610">
        <w:rPr>
          <w:sz w:val="24"/>
        </w:rPr>
        <w:t>B</w:t>
      </w:r>
      <w:r w:rsidRPr="003A2610">
        <w:rPr>
          <w:sz w:val="24"/>
        </w:rPr>
        <w:t>，</w:t>
      </w:r>
      <w:proofErr w:type="gramStart"/>
      <w:r w:rsidRPr="003A2610">
        <w:rPr>
          <w:sz w:val="24"/>
        </w:rPr>
        <w:t>柱温为</w:t>
      </w:r>
      <w:proofErr w:type="gramEnd"/>
      <w:r w:rsidRPr="003A2610">
        <w:rPr>
          <w:sz w:val="24"/>
        </w:rPr>
        <w:t>50</w:t>
      </w:r>
      <w:r w:rsidRPr="003A2610">
        <w:rPr>
          <w:rFonts w:hAnsi="宋体"/>
          <w:sz w:val="24"/>
        </w:rPr>
        <w:t>℃</w:t>
      </w:r>
      <w:r w:rsidRPr="003A2610">
        <w:rPr>
          <w:sz w:val="24"/>
        </w:rPr>
        <w:t>；按下表进行线性梯度洗脱；流速为每分钟</w:t>
      </w:r>
      <w:r w:rsidRPr="003A2610">
        <w:rPr>
          <w:sz w:val="24"/>
        </w:rPr>
        <w:t>1.0ml</w:t>
      </w:r>
      <w:r w:rsidRPr="003A2610">
        <w:rPr>
          <w:sz w:val="24"/>
        </w:rPr>
        <w:t>，检测波长为</w:t>
      </w:r>
      <w:r w:rsidRPr="003A2610">
        <w:rPr>
          <w:sz w:val="24"/>
        </w:rPr>
        <w:t>240nm</w:t>
      </w:r>
      <w:r w:rsidRPr="003A2610">
        <w:rPr>
          <w:sz w:val="24"/>
        </w:rPr>
        <w:t>；进样体积</w:t>
      </w:r>
      <w:r w:rsidRPr="003A2610">
        <w:rPr>
          <w:sz w:val="24"/>
        </w:rPr>
        <w:t>100μl</w:t>
      </w:r>
      <w:r w:rsidRPr="003A2610">
        <w:rPr>
          <w:sz w:val="24"/>
        </w:rPr>
        <w:t>。</w:t>
      </w:r>
    </w:p>
    <w:tbl>
      <w:tblPr>
        <w:tblW w:w="0" w:type="auto"/>
        <w:tblBorders>
          <w:top w:val="single" w:sz="12" w:space="0" w:color="008000"/>
          <w:bottom w:val="single" w:sz="12" w:space="0" w:color="008000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C44E2" w:rsidRPr="003A2610" w:rsidTr="001331E4">
        <w:tc>
          <w:tcPr>
            <w:tcW w:w="2840" w:type="dxa"/>
            <w:tcBorders>
              <w:top w:val="single" w:sz="12" w:space="0" w:color="008000"/>
              <w:bottom w:val="single" w:sz="6" w:space="0" w:color="008000"/>
            </w:tcBorders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时间（分钟）</w:t>
            </w:r>
          </w:p>
        </w:tc>
        <w:tc>
          <w:tcPr>
            <w:tcW w:w="2841" w:type="dxa"/>
            <w:tcBorders>
              <w:top w:val="single" w:sz="12" w:space="0" w:color="008000"/>
              <w:bottom w:val="single" w:sz="6" w:space="0" w:color="008000"/>
            </w:tcBorders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流动相</w:t>
            </w:r>
            <w:r w:rsidRPr="003A2610">
              <w:rPr>
                <w:szCs w:val="21"/>
              </w:rPr>
              <w:t>A</w:t>
            </w:r>
            <w:r w:rsidRPr="003A2610">
              <w:rPr>
                <w:szCs w:val="21"/>
              </w:rPr>
              <w:t>（</w:t>
            </w:r>
            <w:r w:rsidRPr="003A2610">
              <w:rPr>
                <w:szCs w:val="21"/>
              </w:rPr>
              <w:t>%</w:t>
            </w:r>
            <w:r w:rsidRPr="003A2610">
              <w:rPr>
                <w:szCs w:val="21"/>
              </w:rPr>
              <w:t>）</w:t>
            </w:r>
          </w:p>
        </w:tc>
        <w:tc>
          <w:tcPr>
            <w:tcW w:w="2841" w:type="dxa"/>
            <w:tcBorders>
              <w:top w:val="single" w:sz="12" w:space="0" w:color="008000"/>
              <w:bottom w:val="single" w:sz="6" w:space="0" w:color="008000"/>
            </w:tcBorders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流动相</w:t>
            </w:r>
            <w:r w:rsidRPr="003A2610">
              <w:rPr>
                <w:szCs w:val="21"/>
              </w:rPr>
              <w:t>B</w:t>
            </w:r>
            <w:r w:rsidRPr="003A2610">
              <w:rPr>
                <w:szCs w:val="21"/>
              </w:rPr>
              <w:t>（</w:t>
            </w:r>
            <w:r w:rsidRPr="003A2610">
              <w:rPr>
                <w:szCs w:val="21"/>
              </w:rPr>
              <w:t>%</w:t>
            </w:r>
            <w:r w:rsidRPr="003A2610">
              <w:rPr>
                <w:szCs w:val="21"/>
              </w:rPr>
              <w:t>）</w:t>
            </w:r>
          </w:p>
        </w:tc>
      </w:tr>
      <w:tr w:rsidR="003C44E2" w:rsidRPr="003A2610" w:rsidTr="001331E4">
        <w:tc>
          <w:tcPr>
            <w:tcW w:w="2840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0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100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0</w:t>
            </w:r>
          </w:p>
        </w:tc>
      </w:tr>
      <w:tr w:rsidR="003C44E2" w:rsidRPr="003A2610" w:rsidTr="001331E4">
        <w:tc>
          <w:tcPr>
            <w:tcW w:w="2840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38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100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0</w:t>
            </w:r>
          </w:p>
        </w:tc>
      </w:tr>
      <w:tr w:rsidR="003C44E2" w:rsidRPr="003A2610" w:rsidTr="001331E4">
        <w:tc>
          <w:tcPr>
            <w:tcW w:w="2840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50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0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100</w:t>
            </w:r>
          </w:p>
        </w:tc>
      </w:tr>
      <w:tr w:rsidR="003C44E2" w:rsidRPr="003A2610" w:rsidTr="001331E4">
        <w:tc>
          <w:tcPr>
            <w:tcW w:w="2840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60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0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100</w:t>
            </w:r>
          </w:p>
        </w:tc>
      </w:tr>
      <w:tr w:rsidR="003C44E2" w:rsidRPr="003A2610" w:rsidTr="001331E4">
        <w:tc>
          <w:tcPr>
            <w:tcW w:w="2840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61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100</w:t>
            </w:r>
          </w:p>
        </w:tc>
        <w:tc>
          <w:tcPr>
            <w:tcW w:w="2841" w:type="dxa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0</w:t>
            </w:r>
          </w:p>
        </w:tc>
      </w:tr>
      <w:tr w:rsidR="003C44E2" w:rsidRPr="003A2610" w:rsidTr="001331E4">
        <w:tc>
          <w:tcPr>
            <w:tcW w:w="2840" w:type="dxa"/>
            <w:tcBorders>
              <w:bottom w:val="single" w:sz="12" w:space="0" w:color="008000"/>
            </w:tcBorders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70</w:t>
            </w:r>
          </w:p>
        </w:tc>
        <w:tc>
          <w:tcPr>
            <w:tcW w:w="2841" w:type="dxa"/>
            <w:tcBorders>
              <w:bottom w:val="single" w:sz="12" w:space="0" w:color="008000"/>
            </w:tcBorders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100</w:t>
            </w:r>
          </w:p>
        </w:tc>
        <w:tc>
          <w:tcPr>
            <w:tcW w:w="2841" w:type="dxa"/>
            <w:tcBorders>
              <w:bottom w:val="single" w:sz="12" w:space="0" w:color="008000"/>
            </w:tcBorders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szCs w:val="21"/>
              </w:rPr>
            </w:pPr>
            <w:r w:rsidRPr="003A2610">
              <w:rPr>
                <w:szCs w:val="21"/>
              </w:rPr>
              <w:t>0</w:t>
            </w:r>
          </w:p>
        </w:tc>
      </w:tr>
    </w:tbl>
    <w:p w:rsidR="003C44E2" w:rsidRPr="003A2610" w:rsidRDefault="003C44E2" w:rsidP="003C44E2">
      <w:pPr>
        <w:snapToGrid w:val="0"/>
        <w:spacing w:beforeLines="50" w:before="156" w:line="360" w:lineRule="auto"/>
        <w:ind w:right="28" w:firstLineChars="212" w:firstLine="509"/>
        <w:rPr>
          <w:sz w:val="24"/>
        </w:rPr>
      </w:pPr>
      <w:r w:rsidRPr="003A2610">
        <w:rPr>
          <w:sz w:val="24"/>
        </w:rPr>
        <w:t>系统适用性要求</w:t>
      </w:r>
      <w:r w:rsidRPr="003A2610">
        <w:rPr>
          <w:sz w:val="24"/>
        </w:rPr>
        <w:t xml:space="preserve">  </w:t>
      </w:r>
      <w:r w:rsidRPr="003A2610">
        <w:rPr>
          <w:sz w:val="24"/>
        </w:rPr>
        <w:t>系统适用性溶液色谱图中，除杂质</w:t>
      </w:r>
      <w:r w:rsidRPr="003A2610">
        <w:rPr>
          <w:sz w:val="24"/>
        </w:rPr>
        <w:t>I</w:t>
      </w:r>
      <w:r w:rsidRPr="003A2610">
        <w:rPr>
          <w:sz w:val="24"/>
        </w:rPr>
        <w:t>与杂质</w:t>
      </w:r>
      <w:r w:rsidRPr="003A2610">
        <w:rPr>
          <w:sz w:val="24"/>
        </w:rPr>
        <w:t>II</w:t>
      </w:r>
      <w:r w:rsidRPr="003A2610">
        <w:rPr>
          <w:sz w:val="24"/>
        </w:rPr>
        <w:t>共洗脱外，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差向异构体</w:t>
      </w:r>
      <w:r w:rsidRPr="003A2610">
        <w:rPr>
          <w:sz w:val="24"/>
        </w:rPr>
        <w:t>B</w:t>
      </w:r>
      <w:r w:rsidRPr="003A2610">
        <w:rPr>
          <w:sz w:val="24"/>
        </w:rPr>
        <w:t>与差向异构体</w:t>
      </w:r>
      <w:r w:rsidRPr="003A2610">
        <w:rPr>
          <w:sz w:val="24"/>
        </w:rPr>
        <w:t>A</w:t>
      </w:r>
      <w:proofErr w:type="gramStart"/>
      <w:r w:rsidRPr="003A2610">
        <w:rPr>
          <w:sz w:val="24"/>
        </w:rPr>
        <w:t>依次出峰</w:t>
      </w:r>
      <w:proofErr w:type="gramEnd"/>
      <w:r w:rsidRPr="003A2610">
        <w:rPr>
          <w:sz w:val="24"/>
        </w:rPr>
        <w:t>；杂质</w:t>
      </w:r>
      <w:r w:rsidRPr="003A2610">
        <w:rPr>
          <w:sz w:val="24"/>
        </w:rPr>
        <w:t>D</w:t>
      </w:r>
      <w:r w:rsidRPr="003A2610">
        <w:rPr>
          <w:sz w:val="24"/>
        </w:rPr>
        <w:t>与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-17-</w:t>
      </w:r>
      <w:r w:rsidRPr="003A2610">
        <w:rPr>
          <w:sz w:val="24"/>
        </w:rPr>
        <w:t>羧酸均应显两个峰；杂质</w:t>
      </w:r>
      <w:r w:rsidRPr="003A2610">
        <w:rPr>
          <w:sz w:val="24"/>
        </w:rPr>
        <w:t>D</w:t>
      </w:r>
      <w:r w:rsidRPr="003A2610">
        <w:rPr>
          <w:sz w:val="24"/>
        </w:rPr>
        <w:t>第二个峰与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-17-</w:t>
      </w:r>
      <w:r w:rsidRPr="003A2610">
        <w:rPr>
          <w:sz w:val="24"/>
        </w:rPr>
        <w:t>羧酸第一个峰之间的分离度应符</w:t>
      </w:r>
      <w:r w:rsidRPr="003A2610">
        <w:rPr>
          <w:sz w:val="24"/>
        </w:rPr>
        <w:lastRenderedPageBreak/>
        <w:t>合要求，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-17-</w:t>
      </w:r>
      <w:r w:rsidRPr="003A2610">
        <w:rPr>
          <w:sz w:val="24"/>
        </w:rPr>
        <w:t>羧酸第二个峰、杂质</w:t>
      </w:r>
      <w:r w:rsidRPr="003A2610">
        <w:rPr>
          <w:sz w:val="24"/>
        </w:rPr>
        <w:t>E</w:t>
      </w:r>
      <w:r w:rsidRPr="003A2610">
        <w:rPr>
          <w:sz w:val="24"/>
        </w:rPr>
        <w:t>、杂质</w:t>
      </w:r>
      <w:r w:rsidRPr="003A2610">
        <w:rPr>
          <w:sz w:val="24"/>
        </w:rPr>
        <w:t>L</w:t>
      </w:r>
      <w:r w:rsidRPr="003A2610">
        <w:rPr>
          <w:sz w:val="24"/>
        </w:rPr>
        <w:t>与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差向异构体</w:t>
      </w:r>
      <w:r w:rsidRPr="003A2610">
        <w:rPr>
          <w:sz w:val="24"/>
        </w:rPr>
        <w:t>B</w:t>
      </w:r>
      <w:r w:rsidRPr="003A2610">
        <w:rPr>
          <w:sz w:val="24"/>
        </w:rPr>
        <w:t>各峰之间的分离度均应符合要求；灵敏度溶液中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差向异构体两峰高的信噪比应不小于</w:t>
      </w:r>
      <w:r w:rsidRPr="003A2610">
        <w:rPr>
          <w:sz w:val="24"/>
        </w:rPr>
        <w:t>10</w:t>
      </w:r>
      <w:r w:rsidRPr="003A2610">
        <w:rPr>
          <w:sz w:val="24"/>
        </w:rPr>
        <w:t>。</w:t>
      </w:r>
    </w:p>
    <w:p w:rsidR="003C44E2" w:rsidRPr="003A2610" w:rsidRDefault="003C44E2" w:rsidP="003C44E2">
      <w:pPr>
        <w:snapToGrid w:val="0"/>
        <w:spacing w:line="360" w:lineRule="auto"/>
        <w:ind w:right="28" w:firstLineChars="212" w:firstLine="509"/>
        <w:rPr>
          <w:sz w:val="24"/>
        </w:rPr>
      </w:pPr>
      <w:r w:rsidRPr="003A2610">
        <w:rPr>
          <w:sz w:val="24"/>
        </w:rPr>
        <w:t>测定法</w:t>
      </w:r>
      <w:r w:rsidRPr="003A2610">
        <w:rPr>
          <w:sz w:val="24"/>
        </w:rPr>
        <w:t xml:space="preserve">  </w:t>
      </w:r>
      <w:r w:rsidRPr="003A2610">
        <w:rPr>
          <w:sz w:val="24"/>
        </w:rPr>
        <w:t>精密量取空白辅料溶液、</w:t>
      </w:r>
      <w:proofErr w:type="gramStart"/>
      <w:r w:rsidRPr="003A2610">
        <w:rPr>
          <w:sz w:val="24"/>
        </w:rPr>
        <w:t>供试品溶液</w:t>
      </w:r>
      <w:proofErr w:type="gramEnd"/>
      <w:r w:rsidRPr="003A2610">
        <w:rPr>
          <w:sz w:val="24"/>
        </w:rPr>
        <w:t>与对照溶液，分别注入液相色谱仪，记录色谱图。</w:t>
      </w:r>
    </w:p>
    <w:p w:rsidR="003C44E2" w:rsidRPr="003A2610" w:rsidRDefault="003C44E2" w:rsidP="003C44E2">
      <w:pPr>
        <w:snapToGrid w:val="0"/>
        <w:spacing w:line="360" w:lineRule="auto"/>
        <w:ind w:right="28" w:firstLineChars="212" w:firstLine="509"/>
        <w:rPr>
          <w:sz w:val="28"/>
          <w:szCs w:val="28"/>
        </w:rPr>
      </w:pPr>
      <w:r w:rsidRPr="003A2610">
        <w:rPr>
          <w:sz w:val="24"/>
        </w:rPr>
        <w:t>限度</w:t>
      </w:r>
      <w:r w:rsidRPr="003A2610">
        <w:rPr>
          <w:sz w:val="24"/>
        </w:rPr>
        <w:t xml:space="preserve">  </w:t>
      </w:r>
      <w:proofErr w:type="gramStart"/>
      <w:r w:rsidRPr="003A2610">
        <w:rPr>
          <w:sz w:val="24"/>
        </w:rPr>
        <w:t>供试品溶液</w:t>
      </w:r>
      <w:proofErr w:type="gramEnd"/>
      <w:r w:rsidRPr="003A2610">
        <w:rPr>
          <w:sz w:val="24"/>
        </w:rPr>
        <w:t>色谱图中如有杂质峰（辅料峰除外），按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有关物质项下表格以相对保留时间（按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差向异构体</w:t>
      </w:r>
      <w:r w:rsidRPr="003A2610">
        <w:rPr>
          <w:sz w:val="24"/>
        </w:rPr>
        <w:t>B</w:t>
      </w:r>
      <w:r w:rsidRPr="003A2610">
        <w:rPr>
          <w:sz w:val="24"/>
        </w:rPr>
        <w:t>计）判断杂质，除辅料峰与杂质</w:t>
      </w:r>
      <w:r w:rsidRPr="003A2610">
        <w:rPr>
          <w:rFonts w:hAnsi="宋体"/>
          <w:sz w:val="24"/>
        </w:rPr>
        <w:t>Ⅰ</w:t>
      </w:r>
      <w:r w:rsidRPr="003A2610">
        <w:rPr>
          <w:sz w:val="24"/>
        </w:rPr>
        <w:t>与杂质</w:t>
      </w:r>
      <w:r w:rsidRPr="003A2610">
        <w:rPr>
          <w:rFonts w:hAnsi="宋体"/>
          <w:sz w:val="24"/>
        </w:rPr>
        <w:t>Ⅱ</w:t>
      </w:r>
      <w:r w:rsidRPr="003A2610">
        <w:rPr>
          <w:sz w:val="24"/>
        </w:rPr>
        <w:t>峰不计外，杂质</w:t>
      </w:r>
      <w:r w:rsidRPr="003A2610">
        <w:rPr>
          <w:sz w:val="24"/>
        </w:rPr>
        <w:t>A</w:t>
      </w:r>
      <w:r w:rsidRPr="003A2610">
        <w:rPr>
          <w:sz w:val="24"/>
        </w:rPr>
        <w:t>、杂质</w:t>
      </w:r>
      <w:r w:rsidRPr="003A2610">
        <w:rPr>
          <w:sz w:val="24"/>
        </w:rPr>
        <w:t>C</w:t>
      </w:r>
      <w:r w:rsidRPr="003A2610">
        <w:rPr>
          <w:sz w:val="24"/>
        </w:rPr>
        <w:t>、杂质</w:t>
      </w:r>
      <w:r w:rsidRPr="003A2610">
        <w:rPr>
          <w:sz w:val="24"/>
        </w:rPr>
        <w:t>E</w:t>
      </w:r>
      <w:r w:rsidRPr="003A2610">
        <w:rPr>
          <w:sz w:val="24"/>
        </w:rPr>
        <w:t>、杂质</w:t>
      </w:r>
      <w:r w:rsidRPr="003A2610">
        <w:rPr>
          <w:sz w:val="24"/>
        </w:rPr>
        <w:t>L</w:t>
      </w:r>
      <w:r w:rsidRPr="003A2610">
        <w:rPr>
          <w:sz w:val="24"/>
        </w:rPr>
        <w:t>、杂质</w:t>
      </w:r>
      <w:r w:rsidRPr="003A2610">
        <w:rPr>
          <w:sz w:val="24"/>
        </w:rPr>
        <w:t>F</w:t>
      </w:r>
      <w:r w:rsidRPr="003A2610">
        <w:rPr>
          <w:sz w:val="24"/>
        </w:rPr>
        <w:t>峰面积均不得过对照溶液两异构体峰面积和（</w:t>
      </w:r>
      <w:r w:rsidRPr="003A2610">
        <w:rPr>
          <w:sz w:val="24"/>
        </w:rPr>
        <w:t>0.5%</w:t>
      </w:r>
      <w:r w:rsidRPr="003A2610">
        <w:rPr>
          <w:sz w:val="24"/>
        </w:rPr>
        <w:t>），杂质</w:t>
      </w:r>
      <w:r w:rsidRPr="003A2610">
        <w:rPr>
          <w:sz w:val="24"/>
        </w:rPr>
        <w:t>D</w:t>
      </w:r>
      <w:r w:rsidRPr="003A2610">
        <w:rPr>
          <w:sz w:val="24"/>
        </w:rPr>
        <w:t>、杂质</w:t>
      </w:r>
      <w:r w:rsidRPr="003A2610">
        <w:rPr>
          <w:sz w:val="24"/>
        </w:rPr>
        <w:t>K</w:t>
      </w:r>
      <w:r w:rsidRPr="003A2610">
        <w:rPr>
          <w:sz w:val="24"/>
        </w:rPr>
        <w:t>各两峰面积和乘以校正因子后不得过对照溶液两异构体峰面积和（</w:t>
      </w:r>
      <w:r w:rsidRPr="003A2610">
        <w:rPr>
          <w:sz w:val="24"/>
        </w:rPr>
        <w:t>0.5%</w:t>
      </w:r>
      <w:r w:rsidRPr="003A2610">
        <w:rPr>
          <w:sz w:val="24"/>
        </w:rPr>
        <w:t>），杂质</w:t>
      </w:r>
      <w:r w:rsidRPr="003A2610">
        <w:rPr>
          <w:sz w:val="24"/>
        </w:rPr>
        <w:t>B</w:t>
      </w:r>
      <w:r w:rsidRPr="003A2610">
        <w:rPr>
          <w:sz w:val="24"/>
        </w:rPr>
        <w:t>、杂质</w:t>
      </w:r>
      <w:r w:rsidRPr="003A2610">
        <w:rPr>
          <w:sz w:val="24"/>
        </w:rPr>
        <w:t>G</w:t>
      </w:r>
      <w:r w:rsidRPr="003A2610">
        <w:rPr>
          <w:sz w:val="24"/>
        </w:rPr>
        <w:t>、杂质</w:t>
      </w:r>
      <w:r w:rsidRPr="003A2610">
        <w:rPr>
          <w:sz w:val="24"/>
        </w:rPr>
        <w:t>J</w:t>
      </w:r>
      <w:r w:rsidRPr="003A2610">
        <w:rPr>
          <w:sz w:val="24"/>
        </w:rPr>
        <w:t>、杂质</w:t>
      </w:r>
      <w:r w:rsidRPr="003A2610">
        <w:rPr>
          <w:sz w:val="24"/>
        </w:rPr>
        <w:t>H</w:t>
      </w:r>
      <w:r w:rsidRPr="003A2610">
        <w:rPr>
          <w:sz w:val="24"/>
        </w:rPr>
        <w:t>、</w:t>
      </w:r>
      <w:proofErr w:type="gramStart"/>
      <w:r w:rsidRPr="003A2610">
        <w:rPr>
          <w:sz w:val="24"/>
        </w:rPr>
        <w:t>布地奈德</w:t>
      </w:r>
      <w:proofErr w:type="gramEnd"/>
      <w:r w:rsidRPr="003A2610">
        <w:rPr>
          <w:sz w:val="24"/>
        </w:rPr>
        <w:t>-17-</w:t>
      </w:r>
      <w:r w:rsidRPr="003A2610">
        <w:rPr>
          <w:sz w:val="24"/>
        </w:rPr>
        <w:t>羧酸各两峰面积和均不得过对照溶液两异构体峰面积和（</w:t>
      </w:r>
      <w:r w:rsidRPr="003A2610">
        <w:rPr>
          <w:sz w:val="24"/>
        </w:rPr>
        <w:t>0.5%</w:t>
      </w:r>
      <w:r w:rsidRPr="003A2610">
        <w:rPr>
          <w:sz w:val="24"/>
        </w:rPr>
        <w:t>）；其他杂质峰面积均不得过对照溶液两异构体峰面积和（</w:t>
      </w:r>
      <w:r w:rsidRPr="003A2610">
        <w:rPr>
          <w:sz w:val="24"/>
        </w:rPr>
        <w:t>0.5%</w:t>
      </w:r>
      <w:r w:rsidRPr="003A2610">
        <w:rPr>
          <w:sz w:val="24"/>
        </w:rPr>
        <w:t>）；校正后的杂质峰面积之和不得过对照溶液两异构体峰面积和的</w:t>
      </w:r>
      <w:r w:rsidRPr="003A2610">
        <w:rPr>
          <w:sz w:val="24"/>
        </w:rPr>
        <w:t>3</w:t>
      </w:r>
      <w:r w:rsidRPr="003A2610">
        <w:rPr>
          <w:sz w:val="24"/>
        </w:rPr>
        <w:t>倍（</w:t>
      </w:r>
      <w:r w:rsidRPr="003A2610">
        <w:rPr>
          <w:sz w:val="24"/>
        </w:rPr>
        <w:t>1.5%</w:t>
      </w:r>
      <w:r w:rsidRPr="003A2610">
        <w:rPr>
          <w:sz w:val="28"/>
          <w:szCs w:val="28"/>
        </w:rPr>
        <w:t>）。</w:t>
      </w:r>
      <w:r w:rsidRPr="003A2610">
        <w:rPr>
          <w:sz w:val="24"/>
        </w:rPr>
        <w:t>小于灵敏度溶液两异构体峰面积和的峰忽略不计（</w:t>
      </w:r>
      <w:r w:rsidRPr="003A2610">
        <w:rPr>
          <w:sz w:val="24"/>
        </w:rPr>
        <w:t>0.05%</w:t>
      </w:r>
      <w:r w:rsidRPr="003A2610">
        <w:rPr>
          <w:sz w:val="24"/>
        </w:rPr>
        <w:t>）。</w:t>
      </w:r>
    </w:p>
    <w:tbl>
      <w:tblPr>
        <w:tblW w:w="5000" w:type="pct"/>
        <w:jc w:val="center"/>
        <w:tblBorders>
          <w:top w:val="single" w:sz="12" w:space="0" w:color="008000"/>
          <w:bottom w:val="single" w:sz="12" w:space="0" w:color="008000"/>
        </w:tblBorders>
        <w:tblLook w:val="0000" w:firstRow="0" w:lastRow="0" w:firstColumn="0" w:lastColumn="0" w:noHBand="0" w:noVBand="0"/>
      </w:tblPr>
      <w:tblGrid>
        <w:gridCol w:w="2306"/>
        <w:gridCol w:w="3003"/>
        <w:gridCol w:w="3213"/>
      </w:tblGrid>
      <w:tr w:rsidR="003C44E2" w:rsidRPr="003A2610" w:rsidTr="001331E4">
        <w:trPr>
          <w:jc w:val="center"/>
        </w:trPr>
        <w:tc>
          <w:tcPr>
            <w:tcW w:w="1353" w:type="pct"/>
            <w:tcBorders>
              <w:top w:val="single" w:sz="12" w:space="0" w:color="008000"/>
              <w:bottom w:val="single" w:sz="6" w:space="0" w:color="008000"/>
            </w:tcBorders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杂质</w:t>
            </w:r>
          </w:p>
        </w:tc>
        <w:tc>
          <w:tcPr>
            <w:tcW w:w="1762" w:type="pct"/>
            <w:tcBorders>
              <w:top w:val="single" w:sz="12" w:space="0" w:color="008000"/>
              <w:bottom w:val="single" w:sz="6" w:space="0" w:color="008000"/>
            </w:tcBorders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相对保留时间</w:t>
            </w:r>
          </w:p>
        </w:tc>
        <w:tc>
          <w:tcPr>
            <w:tcW w:w="1885" w:type="pct"/>
            <w:tcBorders>
              <w:top w:val="single" w:sz="12" w:space="0" w:color="008000"/>
              <w:bottom w:val="single" w:sz="6" w:space="0" w:color="008000"/>
            </w:tcBorders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校正因子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A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0.18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B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0.38/0.39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C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0.45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F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0.48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D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0.68/0.72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1.8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17-</w:t>
            </w:r>
            <w:r w:rsidRPr="003A2610">
              <w:rPr>
                <w:kern w:val="0"/>
                <w:szCs w:val="21"/>
              </w:rPr>
              <w:t>羧酸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0.78/0.81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E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0.86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L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0.92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G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1.21/1.30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J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1.34/1.54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H</w:t>
            </w:r>
          </w:p>
        </w:tc>
        <w:tc>
          <w:tcPr>
            <w:tcW w:w="1762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1.58/1.69</w:t>
            </w:r>
          </w:p>
        </w:tc>
        <w:tc>
          <w:tcPr>
            <w:tcW w:w="1885" w:type="pct"/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1.0</w:t>
            </w:r>
          </w:p>
        </w:tc>
      </w:tr>
      <w:tr w:rsidR="003C44E2" w:rsidRPr="003A2610" w:rsidTr="001331E4">
        <w:trPr>
          <w:jc w:val="center"/>
        </w:trPr>
        <w:tc>
          <w:tcPr>
            <w:tcW w:w="1353" w:type="pct"/>
            <w:tcBorders>
              <w:bottom w:val="single" w:sz="12" w:space="0" w:color="008000"/>
            </w:tcBorders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K</w:t>
            </w:r>
          </w:p>
        </w:tc>
        <w:tc>
          <w:tcPr>
            <w:tcW w:w="1762" w:type="pct"/>
            <w:tcBorders>
              <w:bottom w:val="single" w:sz="12" w:space="0" w:color="008000"/>
            </w:tcBorders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3.49/3.58</w:t>
            </w:r>
          </w:p>
        </w:tc>
        <w:tc>
          <w:tcPr>
            <w:tcW w:w="1885" w:type="pct"/>
            <w:tcBorders>
              <w:bottom w:val="single" w:sz="12" w:space="0" w:color="008000"/>
            </w:tcBorders>
            <w:vAlign w:val="center"/>
          </w:tcPr>
          <w:p w:rsidR="003C44E2" w:rsidRPr="003A2610" w:rsidRDefault="003C44E2" w:rsidP="001331E4">
            <w:pPr>
              <w:snapToGrid w:val="0"/>
              <w:ind w:right="28"/>
              <w:jc w:val="center"/>
              <w:rPr>
                <w:kern w:val="0"/>
                <w:szCs w:val="21"/>
              </w:rPr>
            </w:pPr>
            <w:r w:rsidRPr="003A2610">
              <w:rPr>
                <w:kern w:val="0"/>
                <w:szCs w:val="21"/>
              </w:rPr>
              <w:t>1.3</w:t>
            </w:r>
          </w:p>
        </w:tc>
      </w:tr>
    </w:tbl>
    <w:p w:rsidR="003C44E2" w:rsidRPr="003A2610" w:rsidRDefault="003C44E2" w:rsidP="003C44E2">
      <w:pPr>
        <w:rPr>
          <w:szCs w:val="21"/>
        </w:rPr>
      </w:pPr>
    </w:p>
    <w:p w:rsidR="000215F8" w:rsidRDefault="000215F8"/>
    <w:sectPr w:rsidR="000215F8" w:rsidSect="004666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957" w:rsidRDefault="00A33957" w:rsidP="003C44E2">
      <w:r>
        <w:separator/>
      </w:r>
    </w:p>
  </w:endnote>
  <w:endnote w:type="continuationSeparator" w:id="0">
    <w:p w:rsidR="00A33957" w:rsidRDefault="00A33957" w:rsidP="003C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957" w:rsidRDefault="00A33957" w:rsidP="003C44E2">
      <w:r>
        <w:separator/>
      </w:r>
    </w:p>
  </w:footnote>
  <w:footnote w:type="continuationSeparator" w:id="0">
    <w:p w:rsidR="00A33957" w:rsidRDefault="00A33957" w:rsidP="003C44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88F"/>
    <w:rsid w:val="000215F8"/>
    <w:rsid w:val="000B3422"/>
    <w:rsid w:val="00105599"/>
    <w:rsid w:val="003C44E2"/>
    <w:rsid w:val="00A33957"/>
    <w:rsid w:val="00F9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4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4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44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44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44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4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4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44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44E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4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1342</Characters>
  <Application>Microsoft Office Word</Application>
  <DocSecurity>0</DocSecurity>
  <Lines>11</Lines>
  <Paragraphs>3</Paragraphs>
  <ScaleCrop>false</ScaleCrop>
  <Company>P R C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2022-11-21T01:16:00Z</dcterms:created>
  <dcterms:modified xsi:type="dcterms:W3CDTF">2022-11-21T01:16:00Z</dcterms:modified>
</cp:coreProperties>
</file>