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36F" w:rsidRDefault="002E136F">
      <w:pPr>
        <w:pStyle w:val="2"/>
        <w:ind w:firstLineChars="0" w:firstLine="420"/>
        <w:rPr>
          <w:rFonts w:ascii="Times New Roman" w:hAnsi="Times New Roman" w:cs="Times New Roman"/>
          <w:b/>
          <w:bCs/>
          <w:szCs w:val="32"/>
        </w:rPr>
      </w:pPr>
      <w:r w:rsidRPr="002E136F">
        <w:rPr>
          <w:rFonts w:ascii="Times New Roman" w:hAnsi="Times New Roman" w:cs="Times New Roman" w:hint="eastAsia"/>
          <w:b/>
          <w:bCs/>
          <w:szCs w:val="32"/>
        </w:rPr>
        <w:t>氨糖美辛肠溶片中有关物质（盐酸氨基葡萄糖）</w:t>
      </w:r>
      <w:r w:rsidR="001D0350">
        <w:rPr>
          <w:rFonts w:ascii="Times New Roman" w:hAnsi="Times New Roman" w:cs="Times New Roman" w:hint="eastAsia"/>
          <w:b/>
          <w:bCs/>
          <w:szCs w:val="32"/>
        </w:rPr>
        <w:t>检查</w:t>
      </w:r>
      <w:bookmarkStart w:id="0" w:name="_GoBack"/>
      <w:bookmarkEnd w:id="0"/>
      <w:r w:rsidRPr="002E136F">
        <w:rPr>
          <w:rFonts w:ascii="Times New Roman" w:hAnsi="Times New Roman" w:cs="Times New Roman" w:hint="eastAsia"/>
          <w:b/>
          <w:bCs/>
          <w:szCs w:val="32"/>
        </w:rPr>
        <w:t>方法</w:t>
      </w:r>
    </w:p>
    <w:p w:rsidR="002E136F" w:rsidRDefault="002E136F">
      <w:pPr>
        <w:pStyle w:val="2"/>
        <w:ind w:firstLineChars="0" w:firstLine="420"/>
        <w:rPr>
          <w:rFonts w:ascii="Times New Roman" w:hAnsi="Times New Roman" w:cs="Times New Roman"/>
          <w:b/>
          <w:bCs/>
          <w:szCs w:val="32"/>
        </w:rPr>
      </w:pP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有关物质</w:t>
      </w:r>
      <w:r>
        <w:rPr>
          <w:rFonts w:ascii="Times New Roman" w:hAnsi="Times New Roman" w:cs="Times New Roman"/>
          <w:sz w:val="21"/>
        </w:rPr>
        <w:t xml:space="preserve"> </w:t>
      </w:r>
      <w:r>
        <w:rPr>
          <w:rFonts w:ascii="Times New Roman" w:hAnsi="Times New Roman" w:cs="Times New Roman"/>
          <w:sz w:val="21"/>
        </w:rPr>
        <w:t>照高效液相色谱法（通则</w:t>
      </w:r>
      <w:r>
        <w:rPr>
          <w:rFonts w:ascii="Times New Roman" w:hAnsi="Times New Roman" w:cs="Times New Roman"/>
          <w:sz w:val="21"/>
        </w:rPr>
        <w:t>0512</w:t>
      </w:r>
      <w:r>
        <w:rPr>
          <w:rFonts w:ascii="Times New Roman" w:hAnsi="Times New Roman" w:cs="Times New Roman"/>
          <w:sz w:val="21"/>
        </w:rPr>
        <w:t>）测定</w:t>
      </w: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proofErr w:type="gramStart"/>
      <w:r>
        <w:rPr>
          <w:rFonts w:ascii="Times New Roman" w:hAnsi="Times New Roman" w:cs="Times New Roman"/>
          <w:sz w:val="21"/>
        </w:rPr>
        <w:t>供试品溶液</w:t>
      </w:r>
      <w:proofErr w:type="gramEnd"/>
      <w:r>
        <w:rPr>
          <w:rFonts w:ascii="Times New Roman" w:hAnsi="Times New Roman" w:cs="Times New Roman"/>
          <w:sz w:val="21"/>
        </w:rPr>
        <w:t xml:space="preserve">  </w:t>
      </w:r>
      <w:r>
        <w:rPr>
          <w:rFonts w:ascii="Times New Roman" w:hAnsi="Times New Roman" w:cs="Times New Roman"/>
          <w:sz w:val="21"/>
        </w:rPr>
        <w:t>取</w:t>
      </w:r>
      <w:proofErr w:type="gramStart"/>
      <w:r>
        <w:rPr>
          <w:rFonts w:ascii="Times New Roman" w:hAnsi="Times New Roman" w:cs="Times New Roman" w:hint="eastAsia"/>
          <w:sz w:val="21"/>
        </w:rPr>
        <w:t>吲哚美辛</w:t>
      </w:r>
      <w:proofErr w:type="gramEnd"/>
      <w:r>
        <w:rPr>
          <w:rFonts w:ascii="Times New Roman" w:hAnsi="Times New Roman" w:cs="Times New Roman" w:hint="eastAsia"/>
          <w:sz w:val="21"/>
        </w:rPr>
        <w:t>含量测定项</w:t>
      </w:r>
      <w:r>
        <w:rPr>
          <w:rFonts w:ascii="Times New Roman" w:hAnsi="Times New Roman" w:cs="Times New Roman"/>
          <w:sz w:val="21"/>
        </w:rPr>
        <w:t>下细粉适量，加水溶解并稀释制成每</w:t>
      </w:r>
      <w:r>
        <w:rPr>
          <w:rFonts w:ascii="Times New Roman" w:hAnsi="Times New Roman" w:cs="Times New Roman"/>
          <w:sz w:val="21"/>
        </w:rPr>
        <w:t>1ml</w:t>
      </w:r>
      <w:r>
        <w:rPr>
          <w:rFonts w:ascii="Times New Roman" w:hAnsi="Times New Roman" w:cs="Times New Roman"/>
          <w:sz w:val="21"/>
        </w:rPr>
        <w:t>中含盐酸氨基葡萄糖</w:t>
      </w:r>
      <w:r>
        <w:rPr>
          <w:rFonts w:ascii="Times New Roman" w:hAnsi="Times New Roman" w:cs="Times New Roman"/>
          <w:sz w:val="21"/>
        </w:rPr>
        <w:t>3mg</w:t>
      </w:r>
      <w:r>
        <w:rPr>
          <w:rFonts w:ascii="Times New Roman" w:hAnsi="Times New Roman" w:cs="Times New Roman"/>
          <w:sz w:val="21"/>
        </w:rPr>
        <w:t>的溶液。</w:t>
      </w: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对照品溶液</w:t>
      </w:r>
      <w:r>
        <w:rPr>
          <w:rFonts w:ascii="Times New Roman" w:hAnsi="Times New Roman" w:cs="Times New Roman"/>
          <w:sz w:val="21"/>
        </w:rPr>
        <w:t xml:space="preserve"> </w:t>
      </w:r>
      <w:r>
        <w:rPr>
          <w:rFonts w:ascii="Times New Roman" w:hAnsi="Times New Roman" w:cs="Times New Roman"/>
          <w:sz w:val="21"/>
        </w:rPr>
        <w:t>取果糖</w:t>
      </w:r>
      <w:proofErr w:type="gramStart"/>
      <w:r>
        <w:rPr>
          <w:rFonts w:ascii="Times New Roman" w:hAnsi="Times New Roman" w:cs="Times New Roman"/>
          <w:sz w:val="21"/>
        </w:rPr>
        <w:t>嗪</w:t>
      </w:r>
      <w:proofErr w:type="gramEnd"/>
      <w:r>
        <w:rPr>
          <w:rFonts w:ascii="Times New Roman" w:hAnsi="Times New Roman" w:cs="Times New Roman"/>
          <w:sz w:val="21"/>
        </w:rPr>
        <w:t>、</w:t>
      </w:r>
      <w:r>
        <w:rPr>
          <w:rFonts w:ascii="Times New Roman" w:hAnsi="Times New Roman" w:cs="Times New Roman" w:hint="eastAsia"/>
          <w:sz w:val="21"/>
        </w:rPr>
        <w:t>2,5-</w:t>
      </w:r>
      <w:r>
        <w:rPr>
          <w:rFonts w:ascii="Times New Roman" w:hAnsi="Times New Roman" w:cs="Times New Roman"/>
          <w:sz w:val="21"/>
        </w:rPr>
        <w:t>脱氧果糖</w:t>
      </w:r>
      <w:proofErr w:type="gramStart"/>
      <w:r>
        <w:rPr>
          <w:rFonts w:ascii="Times New Roman" w:hAnsi="Times New Roman" w:cs="Times New Roman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、</w:t>
      </w:r>
      <w:r>
        <w:rPr>
          <w:rFonts w:ascii="Times New Roman" w:hAnsi="Times New Roman" w:cs="Times New Roman" w:hint="eastAsia"/>
          <w:sz w:val="21"/>
        </w:rPr>
        <w:t>5-</w:t>
      </w:r>
      <w:r>
        <w:rPr>
          <w:rFonts w:ascii="Times New Roman" w:hAnsi="Times New Roman" w:cs="Times New Roman" w:hint="eastAsia"/>
          <w:sz w:val="21"/>
        </w:rPr>
        <w:t>羟甲基糠醛</w:t>
      </w:r>
      <w:r>
        <w:rPr>
          <w:rFonts w:ascii="Times New Roman" w:hAnsi="Times New Roman" w:cs="Times New Roman"/>
          <w:sz w:val="21"/>
        </w:rPr>
        <w:t>对照品适量，用水溶解并定量稀释制成每</w:t>
      </w:r>
      <w:r>
        <w:rPr>
          <w:rFonts w:ascii="Times New Roman" w:hAnsi="Times New Roman" w:cs="Times New Roman"/>
          <w:sz w:val="21"/>
        </w:rPr>
        <w:t>1ml</w:t>
      </w:r>
      <w:r>
        <w:rPr>
          <w:rFonts w:ascii="Times New Roman" w:hAnsi="Times New Roman" w:cs="Times New Roman"/>
          <w:sz w:val="21"/>
        </w:rPr>
        <w:t>中含</w:t>
      </w:r>
      <w:r>
        <w:rPr>
          <w:rFonts w:ascii="Times New Roman" w:hAnsi="Times New Roman" w:cs="Times New Roman" w:hint="eastAsia"/>
          <w:sz w:val="21"/>
        </w:rPr>
        <w:t>1.5</w:t>
      </w:r>
      <w:r>
        <w:rPr>
          <w:rFonts w:ascii="Times New Roman" w:hAnsi="Times New Roman" w:cs="Times New Roman"/>
          <w:sz w:val="21"/>
        </w:rPr>
        <w:t>μg</w:t>
      </w:r>
      <w:r>
        <w:rPr>
          <w:rFonts w:ascii="Times New Roman" w:hAnsi="Times New Roman" w:cs="Times New Roman"/>
          <w:sz w:val="21"/>
        </w:rPr>
        <w:t>的溶液，作为杂质对照品溶液。</w:t>
      </w: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系统适用性溶液</w:t>
      </w:r>
      <w:r>
        <w:rPr>
          <w:rFonts w:ascii="Times New Roman" w:hAnsi="Times New Roman" w:cs="Times New Roman" w:hint="eastAsia"/>
          <w:sz w:val="21"/>
        </w:rPr>
        <w:t xml:space="preserve"> </w:t>
      </w:r>
      <w:r>
        <w:rPr>
          <w:rFonts w:ascii="Times New Roman" w:hAnsi="Times New Roman" w:cs="Times New Roman" w:hint="eastAsia"/>
          <w:sz w:val="21"/>
        </w:rPr>
        <w:t>取盐酸氨基葡萄糖对照品约</w:t>
      </w:r>
      <w:r>
        <w:rPr>
          <w:rFonts w:ascii="Times New Roman" w:hAnsi="Times New Roman" w:cs="Times New Roman" w:hint="eastAsia"/>
          <w:sz w:val="21"/>
        </w:rPr>
        <w:t>20mg</w:t>
      </w:r>
      <w:r>
        <w:rPr>
          <w:rFonts w:ascii="Times New Roman" w:hAnsi="Times New Roman" w:cs="Times New Roman" w:hint="eastAsia"/>
          <w:sz w:val="21"/>
        </w:rPr>
        <w:t>，</w:t>
      </w:r>
      <w:proofErr w:type="gramStart"/>
      <w:r>
        <w:rPr>
          <w:rFonts w:ascii="Times New Roman" w:hAnsi="Times New Roman" w:cs="Times New Roman" w:hint="eastAsia"/>
          <w:sz w:val="21"/>
        </w:rPr>
        <w:t>置具塞</w:t>
      </w:r>
      <w:proofErr w:type="gramEnd"/>
      <w:r>
        <w:rPr>
          <w:rFonts w:ascii="Times New Roman" w:hAnsi="Times New Roman" w:cs="Times New Roman" w:hint="eastAsia"/>
          <w:sz w:val="21"/>
        </w:rPr>
        <w:t>试管中，加水</w:t>
      </w:r>
      <w:r>
        <w:rPr>
          <w:rFonts w:ascii="Times New Roman" w:hAnsi="Times New Roman" w:cs="Times New Roman" w:hint="eastAsia"/>
          <w:sz w:val="21"/>
        </w:rPr>
        <w:t>10ml</w:t>
      </w:r>
      <w:r>
        <w:rPr>
          <w:rFonts w:ascii="Times New Roman" w:hAnsi="Times New Roman" w:cs="Times New Roman" w:hint="eastAsia"/>
          <w:sz w:val="21"/>
        </w:rPr>
        <w:t>溶解，水浴加热</w:t>
      </w:r>
      <w:r>
        <w:rPr>
          <w:rFonts w:ascii="Times New Roman" w:hAnsi="Times New Roman" w:cs="Times New Roman" w:hint="eastAsia"/>
          <w:sz w:val="21"/>
        </w:rPr>
        <w:t>3</w:t>
      </w:r>
      <w:r>
        <w:rPr>
          <w:rFonts w:ascii="Times New Roman" w:hAnsi="Times New Roman" w:cs="Times New Roman" w:hint="eastAsia"/>
          <w:sz w:val="21"/>
        </w:rPr>
        <w:t>小时，作为系统适用性溶液。</w:t>
      </w: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灵敏度溶液</w:t>
      </w:r>
      <w:r>
        <w:rPr>
          <w:rFonts w:ascii="Times New Roman" w:hAnsi="Times New Roman" w:cs="Times New Roman"/>
          <w:sz w:val="21"/>
        </w:rPr>
        <w:t xml:space="preserve"> </w:t>
      </w:r>
      <w:r>
        <w:rPr>
          <w:rFonts w:ascii="Times New Roman" w:hAnsi="Times New Roman" w:cs="Times New Roman"/>
          <w:sz w:val="21"/>
        </w:rPr>
        <w:t>取对照品溶液</w:t>
      </w:r>
      <w:r>
        <w:rPr>
          <w:rFonts w:ascii="Times New Roman" w:hAnsi="Times New Roman" w:cs="Times New Roman"/>
          <w:sz w:val="21"/>
        </w:rPr>
        <w:t>1ml</w:t>
      </w:r>
      <w:r>
        <w:rPr>
          <w:rFonts w:ascii="Times New Roman" w:hAnsi="Times New Roman" w:cs="Times New Roman"/>
          <w:sz w:val="21"/>
        </w:rPr>
        <w:t>，用水定量稀释制成每</w:t>
      </w:r>
      <w:r>
        <w:rPr>
          <w:rFonts w:ascii="Times New Roman" w:hAnsi="Times New Roman" w:cs="Times New Roman"/>
          <w:sz w:val="21"/>
        </w:rPr>
        <w:t>1ml</w:t>
      </w:r>
      <w:r>
        <w:rPr>
          <w:rFonts w:ascii="Times New Roman" w:hAnsi="Times New Roman" w:cs="Times New Roman"/>
          <w:sz w:val="21"/>
        </w:rPr>
        <w:t>中含</w:t>
      </w:r>
      <w:r>
        <w:rPr>
          <w:rFonts w:ascii="Times New Roman" w:hAnsi="Times New Roman" w:cs="Times New Roman" w:hint="eastAsia"/>
          <w:sz w:val="21"/>
        </w:rPr>
        <w:t>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/>
          <w:sz w:val="21"/>
        </w:rPr>
        <w:t>0.1μg</w:t>
      </w:r>
      <w:r>
        <w:rPr>
          <w:rFonts w:ascii="Times New Roman" w:hAnsi="Times New Roman" w:cs="Times New Roman"/>
          <w:sz w:val="21"/>
        </w:rPr>
        <w:t>的溶液，摇匀。</w:t>
      </w: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色谱条件</w:t>
      </w:r>
      <w:r>
        <w:rPr>
          <w:rFonts w:ascii="Times New Roman" w:hAnsi="Times New Roman" w:cs="Times New Roman"/>
          <w:sz w:val="21"/>
        </w:rPr>
        <w:t xml:space="preserve"> </w:t>
      </w:r>
      <w:r>
        <w:rPr>
          <w:rFonts w:ascii="Times New Roman" w:hAnsi="Times New Roman" w:cs="Times New Roman"/>
          <w:sz w:val="21"/>
        </w:rPr>
        <w:t>用十八烷基</w:t>
      </w:r>
      <w:proofErr w:type="gramStart"/>
      <w:r>
        <w:rPr>
          <w:rFonts w:ascii="Times New Roman" w:hAnsi="Times New Roman" w:cs="Times New Roman"/>
          <w:sz w:val="21"/>
        </w:rPr>
        <w:t>硅烷健合硅胶</w:t>
      </w:r>
      <w:proofErr w:type="gramEnd"/>
      <w:r>
        <w:rPr>
          <w:rFonts w:ascii="Times New Roman" w:hAnsi="Times New Roman" w:cs="Times New Roman"/>
          <w:sz w:val="21"/>
        </w:rPr>
        <w:t>为填充剂（推荐使用</w:t>
      </w:r>
      <w:proofErr w:type="spellStart"/>
      <w:r>
        <w:rPr>
          <w:rFonts w:ascii="Times New Roman" w:hAnsi="Times New Roman" w:cs="Times New Roman"/>
          <w:sz w:val="21"/>
        </w:rPr>
        <w:t>Chromcore</w:t>
      </w:r>
      <w:proofErr w:type="spellEnd"/>
      <w:r>
        <w:rPr>
          <w:rFonts w:ascii="Times New Roman" w:hAnsi="Times New Roman" w:cs="Times New Roman"/>
          <w:sz w:val="21"/>
        </w:rPr>
        <w:t xml:space="preserve"> AQ C18 3um</w:t>
      </w:r>
      <w:r>
        <w:rPr>
          <w:rFonts w:ascii="Times New Roman" w:hAnsi="Times New Roman" w:cs="Times New Roman"/>
          <w:sz w:val="21"/>
        </w:rPr>
        <w:t>，</w:t>
      </w:r>
      <w:r>
        <w:rPr>
          <w:rFonts w:ascii="Times New Roman" w:hAnsi="Times New Roman" w:cs="Times New Roman"/>
          <w:sz w:val="21"/>
        </w:rPr>
        <w:t>4.6×250mm</w:t>
      </w:r>
      <w:r>
        <w:rPr>
          <w:rFonts w:ascii="Times New Roman" w:hAnsi="Times New Roman" w:cs="Times New Roman"/>
          <w:sz w:val="21"/>
        </w:rPr>
        <w:t>）</w:t>
      </w:r>
      <w:r>
        <w:rPr>
          <w:rFonts w:ascii="Times New Roman" w:hAnsi="Times New Roman" w:cs="Times New Roman" w:hint="eastAsia"/>
          <w:sz w:val="21"/>
        </w:rPr>
        <w:t>；以水为流动相</w:t>
      </w:r>
      <w:r>
        <w:rPr>
          <w:rFonts w:ascii="Times New Roman" w:hAnsi="Times New Roman" w:cs="Times New Roman" w:hint="eastAsia"/>
          <w:sz w:val="21"/>
        </w:rPr>
        <w:t>A</w:t>
      </w:r>
      <w:r>
        <w:rPr>
          <w:rFonts w:ascii="Times New Roman" w:hAnsi="Times New Roman" w:cs="Times New Roman" w:hint="eastAsia"/>
          <w:sz w:val="21"/>
        </w:rPr>
        <w:t>，以乙腈为流动相</w:t>
      </w:r>
      <w:r>
        <w:rPr>
          <w:rFonts w:ascii="Times New Roman" w:hAnsi="Times New Roman" w:cs="Times New Roman" w:hint="eastAsia"/>
          <w:sz w:val="21"/>
        </w:rPr>
        <w:t>B</w:t>
      </w:r>
      <w:r>
        <w:rPr>
          <w:rFonts w:ascii="Times New Roman" w:hAnsi="Times New Roman" w:cs="Times New Roman" w:hint="eastAsia"/>
          <w:sz w:val="21"/>
        </w:rPr>
        <w:t>，按下表进行梯度洗脱；</w:t>
      </w:r>
      <w:proofErr w:type="gramStart"/>
      <w:r>
        <w:rPr>
          <w:rFonts w:ascii="Times New Roman" w:hAnsi="Times New Roman" w:cs="Times New Roman" w:hint="eastAsia"/>
          <w:sz w:val="21"/>
        </w:rPr>
        <w:t>柱温为</w:t>
      </w:r>
      <w:proofErr w:type="gramEnd"/>
      <w:r>
        <w:rPr>
          <w:rFonts w:ascii="Times New Roman" w:hAnsi="Times New Roman" w:cs="Times New Roman" w:hint="eastAsia"/>
          <w:sz w:val="21"/>
        </w:rPr>
        <w:t>30</w:t>
      </w:r>
      <w:r>
        <w:rPr>
          <w:rFonts w:ascii="Times New Roman" w:hAnsi="Times New Roman" w:cs="Times New Roman" w:hint="eastAsia"/>
          <w:sz w:val="21"/>
        </w:rPr>
        <w:t>℃；检测波长为</w:t>
      </w:r>
      <w:r>
        <w:rPr>
          <w:rFonts w:ascii="Times New Roman" w:hAnsi="Times New Roman" w:cs="Times New Roman" w:hint="eastAsia"/>
          <w:sz w:val="21"/>
        </w:rPr>
        <w:t>280nm</w:t>
      </w:r>
      <w:r>
        <w:rPr>
          <w:rFonts w:ascii="Times New Roman" w:hAnsi="Times New Roman" w:cs="Times New Roman" w:hint="eastAsia"/>
          <w:sz w:val="21"/>
        </w:rPr>
        <w:t>，进样体积为</w:t>
      </w:r>
      <w:r>
        <w:rPr>
          <w:rFonts w:ascii="Times New Roman" w:hAnsi="Times New Roman" w:cs="Times New Roman" w:hint="eastAsia"/>
          <w:sz w:val="21"/>
        </w:rPr>
        <w:t>20</w:t>
      </w:r>
      <w:r>
        <w:rPr>
          <w:rFonts w:ascii="Times New Roman" w:hAnsi="Times New Roman" w:cs="Times New Roman"/>
          <w:sz w:val="21"/>
        </w:rPr>
        <w:t>μ</w:t>
      </w:r>
      <w:r>
        <w:rPr>
          <w:rFonts w:ascii="Times New Roman" w:hAnsi="Times New Roman" w:cs="Times New Roman" w:hint="eastAsia"/>
          <w:sz w:val="21"/>
        </w:rPr>
        <w:t>l</w:t>
      </w:r>
      <w:r>
        <w:rPr>
          <w:rFonts w:ascii="Times New Roman" w:hAnsi="Times New Roman" w:cs="Times New Roman" w:hint="eastAsia"/>
          <w:sz w:val="21"/>
        </w:rPr>
        <w:t>。</w:t>
      </w:r>
    </w:p>
    <w:tbl>
      <w:tblPr>
        <w:tblStyle w:val="a5"/>
        <w:tblW w:w="7385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2565"/>
        <w:gridCol w:w="2528"/>
      </w:tblGrid>
      <w:tr w:rsidR="00393F24">
        <w:trPr>
          <w:jc w:val="center"/>
        </w:trPr>
        <w:tc>
          <w:tcPr>
            <w:tcW w:w="22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时间（分钟）</w:t>
            </w:r>
          </w:p>
        </w:tc>
        <w:tc>
          <w:tcPr>
            <w:tcW w:w="256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流动相</w:t>
            </w:r>
            <w:r>
              <w:rPr>
                <w:rFonts w:ascii="Times New Roman" w:hAnsi="Times New Roman" w:cs="Times New Roman" w:hint="eastAsia"/>
                <w:sz w:val="21"/>
              </w:rPr>
              <w:t>A(%)</w:t>
            </w:r>
          </w:p>
        </w:tc>
        <w:tc>
          <w:tcPr>
            <w:tcW w:w="25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流动相</w:t>
            </w:r>
            <w:r>
              <w:rPr>
                <w:rFonts w:ascii="Times New Roman" w:hAnsi="Times New Roman" w:cs="Times New Roman" w:hint="eastAsia"/>
                <w:sz w:val="21"/>
              </w:rPr>
              <w:t>B(%)</w:t>
            </w:r>
          </w:p>
        </w:tc>
      </w:tr>
      <w:tr w:rsidR="00393F24">
        <w:trPr>
          <w:jc w:val="center"/>
        </w:trPr>
        <w:tc>
          <w:tcPr>
            <w:tcW w:w="2292" w:type="dxa"/>
            <w:tcBorders>
              <w:top w:val="single" w:sz="12" w:space="0" w:color="auto"/>
            </w:tcBorders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0</w:t>
            </w:r>
          </w:p>
        </w:tc>
        <w:tc>
          <w:tcPr>
            <w:tcW w:w="2565" w:type="dxa"/>
            <w:tcBorders>
              <w:top w:val="single" w:sz="12" w:space="0" w:color="auto"/>
            </w:tcBorders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100</w:t>
            </w:r>
          </w:p>
        </w:tc>
        <w:tc>
          <w:tcPr>
            <w:tcW w:w="2528" w:type="dxa"/>
            <w:tcBorders>
              <w:top w:val="single" w:sz="12" w:space="0" w:color="auto"/>
            </w:tcBorders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0</w:t>
            </w:r>
          </w:p>
        </w:tc>
      </w:tr>
      <w:tr w:rsidR="00393F24">
        <w:trPr>
          <w:jc w:val="center"/>
        </w:trPr>
        <w:tc>
          <w:tcPr>
            <w:tcW w:w="2292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10</w:t>
            </w:r>
          </w:p>
        </w:tc>
        <w:tc>
          <w:tcPr>
            <w:tcW w:w="2565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96</w:t>
            </w:r>
          </w:p>
        </w:tc>
        <w:tc>
          <w:tcPr>
            <w:tcW w:w="2528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4</w:t>
            </w:r>
          </w:p>
        </w:tc>
      </w:tr>
      <w:tr w:rsidR="00393F24">
        <w:trPr>
          <w:jc w:val="center"/>
        </w:trPr>
        <w:tc>
          <w:tcPr>
            <w:tcW w:w="2292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20</w:t>
            </w:r>
          </w:p>
        </w:tc>
        <w:tc>
          <w:tcPr>
            <w:tcW w:w="2565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90</w:t>
            </w:r>
          </w:p>
        </w:tc>
        <w:tc>
          <w:tcPr>
            <w:tcW w:w="2528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10</w:t>
            </w:r>
          </w:p>
        </w:tc>
      </w:tr>
      <w:tr w:rsidR="00393F24">
        <w:trPr>
          <w:jc w:val="center"/>
        </w:trPr>
        <w:tc>
          <w:tcPr>
            <w:tcW w:w="2292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26</w:t>
            </w:r>
          </w:p>
        </w:tc>
        <w:tc>
          <w:tcPr>
            <w:tcW w:w="2565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50</w:t>
            </w:r>
          </w:p>
        </w:tc>
        <w:tc>
          <w:tcPr>
            <w:tcW w:w="2528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50</w:t>
            </w:r>
          </w:p>
        </w:tc>
      </w:tr>
      <w:tr w:rsidR="00393F24">
        <w:trPr>
          <w:jc w:val="center"/>
        </w:trPr>
        <w:tc>
          <w:tcPr>
            <w:tcW w:w="2292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27</w:t>
            </w:r>
          </w:p>
        </w:tc>
        <w:tc>
          <w:tcPr>
            <w:tcW w:w="2565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100</w:t>
            </w:r>
          </w:p>
        </w:tc>
        <w:tc>
          <w:tcPr>
            <w:tcW w:w="2528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0</w:t>
            </w:r>
          </w:p>
        </w:tc>
      </w:tr>
      <w:tr w:rsidR="00393F24">
        <w:trPr>
          <w:jc w:val="center"/>
        </w:trPr>
        <w:tc>
          <w:tcPr>
            <w:tcW w:w="2292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35</w:t>
            </w:r>
          </w:p>
        </w:tc>
        <w:tc>
          <w:tcPr>
            <w:tcW w:w="2565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100</w:t>
            </w:r>
          </w:p>
        </w:tc>
        <w:tc>
          <w:tcPr>
            <w:tcW w:w="2528" w:type="dxa"/>
            <w:vAlign w:val="center"/>
          </w:tcPr>
          <w:p w:rsidR="00393F24" w:rsidRDefault="002E136F">
            <w:pPr>
              <w:pStyle w:val="2"/>
              <w:ind w:firstLineChars="0" w:firstLine="420"/>
              <w:jc w:val="center"/>
              <w:rPr>
                <w:rFonts w:ascii="Times New Roman" w:hAnsi="Times New Roman" w:cs="Times New Roman"/>
                <w:kern w:val="0"/>
                <w:sz w:val="21"/>
              </w:rPr>
            </w:pPr>
            <w:r>
              <w:rPr>
                <w:rFonts w:ascii="Times New Roman" w:hAnsi="Times New Roman" w:cs="Times New Roman" w:hint="eastAsia"/>
                <w:sz w:val="21"/>
              </w:rPr>
              <w:t>0</w:t>
            </w:r>
          </w:p>
        </w:tc>
      </w:tr>
    </w:tbl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系统适用性要求</w:t>
      </w:r>
      <w:r>
        <w:rPr>
          <w:rFonts w:ascii="Times New Roman" w:hAnsi="Times New Roman" w:cs="Times New Roman" w:hint="eastAsia"/>
          <w:sz w:val="21"/>
        </w:rPr>
        <w:t xml:space="preserve"> </w:t>
      </w:r>
      <w:r>
        <w:rPr>
          <w:rFonts w:ascii="Times New Roman" w:hAnsi="Times New Roman" w:cs="Times New Roman" w:hint="eastAsia"/>
          <w:sz w:val="21"/>
        </w:rPr>
        <w:t>系统适用性溶液中，</w:t>
      </w:r>
      <w:r>
        <w:rPr>
          <w:rFonts w:ascii="Times New Roman" w:hAnsi="Times New Roman" w:cs="Times New Roman" w:hint="eastAsia"/>
          <w:sz w:val="21"/>
        </w:rPr>
        <w:t>2,5-</w:t>
      </w:r>
      <w:r>
        <w:rPr>
          <w:rFonts w:ascii="Times New Roman" w:hAnsi="Times New Roman" w:cs="Times New Roman" w:hint="eastAsia"/>
          <w:sz w:val="21"/>
        </w:rPr>
        <w:t>脱氧果糖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与相邻峰的分离度不小于</w:t>
      </w:r>
      <w:r>
        <w:rPr>
          <w:rFonts w:ascii="Times New Roman" w:hAnsi="Times New Roman" w:cs="Times New Roman" w:hint="eastAsia"/>
          <w:sz w:val="21"/>
        </w:rPr>
        <w:t>1.0</w:t>
      </w:r>
      <w:r>
        <w:rPr>
          <w:rFonts w:ascii="Times New Roman" w:hAnsi="Times New Roman" w:cs="Times New Roman" w:hint="eastAsia"/>
          <w:sz w:val="21"/>
        </w:rPr>
        <w:t>。对照品溶液中，果糖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峰和</w:t>
      </w:r>
      <w:r>
        <w:rPr>
          <w:rFonts w:ascii="Times New Roman" w:hAnsi="Times New Roman" w:cs="Times New Roman" w:hint="eastAsia"/>
          <w:sz w:val="21"/>
        </w:rPr>
        <w:t>2,5-</w:t>
      </w:r>
      <w:r>
        <w:rPr>
          <w:rFonts w:ascii="Times New Roman" w:hAnsi="Times New Roman" w:cs="Times New Roman" w:hint="eastAsia"/>
          <w:sz w:val="21"/>
        </w:rPr>
        <w:t>脱氧果糖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峰的分离度不小于</w:t>
      </w:r>
      <w:r>
        <w:rPr>
          <w:rFonts w:ascii="Times New Roman" w:hAnsi="Times New Roman" w:cs="Times New Roman" w:hint="eastAsia"/>
          <w:sz w:val="21"/>
        </w:rPr>
        <w:t>1.5</w:t>
      </w:r>
      <w:r>
        <w:rPr>
          <w:rFonts w:ascii="Times New Roman" w:hAnsi="Times New Roman" w:cs="Times New Roman" w:hint="eastAsia"/>
          <w:sz w:val="21"/>
        </w:rPr>
        <w:t>，各杂质间分离度应符合规定。灵敏度溶液色谱图中，果糖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峰高的信噪比不得小于</w:t>
      </w:r>
      <w:r>
        <w:rPr>
          <w:rFonts w:ascii="Times New Roman" w:hAnsi="Times New Roman" w:cs="Times New Roman" w:hint="eastAsia"/>
          <w:sz w:val="21"/>
        </w:rPr>
        <w:t>10</w:t>
      </w:r>
      <w:r>
        <w:rPr>
          <w:rFonts w:ascii="Times New Roman" w:hAnsi="Times New Roman" w:cs="Times New Roman" w:hint="eastAsia"/>
          <w:sz w:val="21"/>
        </w:rPr>
        <w:t>。</w:t>
      </w:r>
    </w:p>
    <w:p w:rsidR="00393F24" w:rsidRDefault="002E136F">
      <w:pPr>
        <w:pStyle w:val="2"/>
        <w:ind w:firstLineChars="0" w:firstLine="42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sz w:val="21"/>
        </w:rPr>
        <w:t>测定法</w:t>
      </w:r>
      <w:r>
        <w:rPr>
          <w:rFonts w:ascii="Times New Roman" w:hAnsi="Times New Roman" w:cs="Times New Roman" w:hint="eastAsia"/>
          <w:sz w:val="21"/>
        </w:rPr>
        <w:t xml:space="preserve"> </w:t>
      </w:r>
      <w:r>
        <w:rPr>
          <w:rFonts w:ascii="Times New Roman" w:hAnsi="Times New Roman" w:cs="Times New Roman" w:hint="eastAsia"/>
          <w:sz w:val="21"/>
        </w:rPr>
        <w:t>精密量</w:t>
      </w:r>
      <w:proofErr w:type="gramStart"/>
      <w:r>
        <w:rPr>
          <w:rFonts w:ascii="Times New Roman" w:hAnsi="Times New Roman" w:cs="Times New Roman" w:hint="eastAsia"/>
          <w:sz w:val="21"/>
        </w:rPr>
        <w:t>取供试品</w:t>
      </w:r>
      <w:proofErr w:type="gramEnd"/>
      <w:r>
        <w:rPr>
          <w:rFonts w:ascii="Times New Roman" w:hAnsi="Times New Roman" w:cs="Times New Roman" w:hint="eastAsia"/>
          <w:sz w:val="21"/>
        </w:rPr>
        <w:t>溶液与对照品溶液，分别注入液相色谱仪，记录色谱图。</w:t>
      </w:r>
      <w:proofErr w:type="gramStart"/>
      <w:r>
        <w:rPr>
          <w:rFonts w:ascii="Times New Roman" w:hAnsi="Times New Roman" w:cs="Times New Roman" w:hint="eastAsia"/>
          <w:sz w:val="21"/>
        </w:rPr>
        <w:t>供试品溶液</w:t>
      </w:r>
      <w:proofErr w:type="gramEnd"/>
      <w:r>
        <w:rPr>
          <w:rFonts w:ascii="Times New Roman" w:hAnsi="Times New Roman" w:cs="Times New Roman" w:hint="eastAsia"/>
          <w:sz w:val="21"/>
        </w:rPr>
        <w:t>色谱图中如有上述峰，按外标法计算，</w:t>
      </w:r>
      <w:r>
        <w:rPr>
          <w:rFonts w:ascii="Times New Roman" w:hAnsi="Times New Roman" w:cs="Times New Roman" w:hint="eastAsia"/>
          <w:sz w:val="21"/>
        </w:rPr>
        <w:t>2,5-</w:t>
      </w:r>
      <w:r>
        <w:rPr>
          <w:rFonts w:ascii="Times New Roman" w:hAnsi="Times New Roman" w:cs="Times New Roman"/>
          <w:sz w:val="21"/>
        </w:rPr>
        <w:t>脱氧果糖</w:t>
      </w:r>
      <w:proofErr w:type="gramStart"/>
      <w:r>
        <w:rPr>
          <w:rFonts w:ascii="Times New Roman" w:hAnsi="Times New Roman" w:cs="Times New Roman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、</w:t>
      </w:r>
      <w:r>
        <w:rPr>
          <w:rFonts w:ascii="Times New Roman" w:hAnsi="Times New Roman" w:cs="Times New Roman" w:hint="eastAsia"/>
          <w:sz w:val="21"/>
        </w:rPr>
        <w:t>5-</w:t>
      </w:r>
      <w:r>
        <w:rPr>
          <w:rFonts w:ascii="Times New Roman" w:hAnsi="Times New Roman" w:cs="Times New Roman" w:hint="eastAsia"/>
          <w:sz w:val="21"/>
        </w:rPr>
        <w:t>羟甲基糠醛不得过盐酸氨基葡萄糖的</w:t>
      </w:r>
      <w:r>
        <w:rPr>
          <w:rFonts w:ascii="Times New Roman" w:hAnsi="Times New Roman" w:cs="Times New Roman" w:hint="eastAsia"/>
          <w:sz w:val="21"/>
        </w:rPr>
        <w:t>0.20%</w:t>
      </w:r>
      <w:r>
        <w:rPr>
          <w:rFonts w:ascii="Times New Roman" w:hAnsi="Times New Roman" w:cs="Times New Roman" w:hint="eastAsia"/>
          <w:sz w:val="21"/>
        </w:rPr>
        <w:t>，果糖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和其他单个杂质按外标法以果糖</w:t>
      </w:r>
      <w:proofErr w:type="gramStart"/>
      <w:r>
        <w:rPr>
          <w:rFonts w:ascii="Times New Roman" w:hAnsi="Times New Roman" w:cs="Times New Roman" w:hint="eastAsia"/>
          <w:sz w:val="21"/>
        </w:rPr>
        <w:t>嗪</w:t>
      </w:r>
      <w:proofErr w:type="gramEnd"/>
      <w:r>
        <w:rPr>
          <w:rFonts w:ascii="Times New Roman" w:hAnsi="Times New Roman" w:cs="Times New Roman" w:hint="eastAsia"/>
          <w:sz w:val="21"/>
        </w:rPr>
        <w:t>峰面积计算，含量不得过盐酸氨基葡萄糖标示量的</w:t>
      </w:r>
      <w:r>
        <w:rPr>
          <w:rFonts w:ascii="Times New Roman" w:hAnsi="Times New Roman" w:cs="Times New Roman" w:hint="eastAsia"/>
          <w:sz w:val="21"/>
        </w:rPr>
        <w:t>0.10%</w:t>
      </w:r>
      <w:r>
        <w:rPr>
          <w:rFonts w:ascii="Times New Roman" w:hAnsi="Times New Roman" w:cs="Times New Roman" w:hint="eastAsia"/>
          <w:sz w:val="21"/>
        </w:rPr>
        <w:t>，杂质总量不得过盐酸氨基葡萄糖标示量的</w:t>
      </w:r>
      <w:r>
        <w:rPr>
          <w:rFonts w:ascii="Times New Roman" w:hAnsi="Times New Roman" w:cs="Times New Roman" w:hint="eastAsia"/>
          <w:sz w:val="21"/>
        </w:rPr>
        <w:t>0.50%</w:t>
      </w:r>
      <w:r>
        <w:rPr>
          <w:rFonts w:ascii="Times New Roman" w:hAnsi="Times New Roman" w:cs="Times New Roman" w:hint="eastAsia"/>
          <w:sz w:val="21"/>
        </w:rPr>
        <w:t>。</w:t>
      </w:r>
    </w:p>
    <w:p w:rsidR="00393F24" w:rsidRDefault="00393F24"/>
    <w:sectPr w:rsidR="00393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邹瑜">
    <w15:presenceInfo w15:providerId="None" w15:userId="邹瑜"/>
  </w15:person>
  <w15:person w15:author="李杏芳">
    <w15:presenceInfo w15:providerId="None" w15:userId="李杏芳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B2"/>
    <w:rsid w:val="001D0350"/>
    <w:rsid w:val="002E136F"/>
    <w:rsid w:val="00353F18"/>
    <w:rsid w:val="00393F24"/>
    <w:rsid w:val="006A6AB2"/>
    <w:rsid w:val="00851952"/>
    <w:rsid w:val="009E06D3"/>
    <w:rsid w:val="00AC2D99"/>
    <w:rsid w:val="00B60D36"/>
    <w:rsid w:val="00BA0C3E"/>
    <w:rsid w:val="00DD5D0E"/>
    <w:rsid w:val="00E02544"/>
    <w:rsid w:val="00F2381E"/>
    <w:rsid w:val="437A48F2"/>
    <w:rsid w:val="7AA9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2">
    <w:name w:val="正文2"/>
    <w:basedOn w:val="a"/>
    <w:qFormat/>
    <w:pPr>
      <w:snapToGrid w:val="0"/>
      <w:spacing w:line="360" w:lineRule="auto"/>
      <w:ind w:firstLineChars="200" w:firstLine="480"/>
    </w:pPr>
    <w:rPr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2E13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136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2">
    <w:name w:val="正文2"/>
    <w:basedOn w:val="a"/>
    <w:qFormat/>
    <w:pPr>
      <w:snapToGrid w:val="0"/>
      <w:spacing w:line="360" w:lineRule="auto"/>
      <w:ind w:firstLineChars="200" w:firstLine="480"/>
    </w:pPr>
    <w:rPr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2E13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136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642</Characters>
  <Application>Microsoft Office Word</Application>
  <DocSecurity>0</DocSecurity>
  <Lines>5</Lines>
  <Paragraphs>1</Paragraphs>
  <ScaleCrop>false</ScaleCrop>
  <Company>P R C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邹瑜</dc:creator>
  <cp:lastModifiedBy>Windows User</cp:lastModifiedBy>
  <cp:revision>7</cp:revision>
  <dcterms:created xsi:type="dcterms:W3CDTF">2022-09-28T07:55:00Z</dcterms:created>
  <dcterms:modified xsi:type="dcterms:W3CDTF">2022-12-05T00:58:00Z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