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D2" w:rsidRPr="00A24DD2" w:rsidRDefault="00A24DD2" w:rsidP="00A24DD2">
      <w:pPr>
        <w:jc w:val="center"/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</w:pPr>
      <w:bookmarkStart w:id="0" w:name="_GoBack"/>
      <w:r w:rsidRPr="00A24DD2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清热解毒注射液品种紫花地丁检查方法</w:t>
      </w:r>
    </w:p>
    <w:bookmarkEnd w:id="0"/>
    <w:p w:rsidR="00A24DD2" w:rsidRPr="00A24DD2" w:rsidRDefault="00A24DD2" w:rsidP="00A24DD2">
      <w:pPr>
        <w:jc w:val="center"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</w:p>
    <w:p w:rsidR="00A24DD2" w:rsidRPr="00A24DD2" w:rsidRDefault="00A24DD2" w:rsidP="00A24DD2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24DD2">
        <w:rPr>
          <w:rFonts w:ascii="宋体" w:eastAsia="宋体" w:hAnsi="宋体" w:cs="Times New Roman"/>
          <w:b/>
          <w:sz w:val="24"/>
          <w:szCs w:val="24"/>
        </w:rPr>
        <w:t xml:space="preserve">【检查】 紫花地丁 </w:t>
      </w:r>
      <w:r w:rsidRPr="00A24DD2">
        <w:rPr>
          <w:rFonts w:ascii="宋体" w:eastAsia="宋体" w:hAnsi="宋体" w:cs="Times New Roman"/>
          <w:sz w:val="24"/>
          <w:szCs w:val="24"/>
        </w:rPr>
        <w:t>照高效液相色谱法（中国药典2020年版四部通则0512）测定。</w:t>
      </w:r>
    </w:p>
    <w:p w:rsidR="00A24DD2" w:rsidRPr="00A24DD2" w:rsidRDefault="00A24DD2" w:rsidP="00A24DD2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A24DD2">
        <w:rPr>
          <w:rFonts w:ascii="宋体" w:eastAsia="宋体" w:hAnsi="宋体" w:cs="Times New Roman"/>
          <w:b/>
          <w:sz w:val="24"/>
          <w:szCs w:val="24"/>
        </w:rPr>
        <w:t>色谱条件与系统适用性试验</w:t>
      </w:r>
      <w:r w:rsidRPr="00A24DD2">
        <w:rPr>
          <w:rFonts w:ascii="宋体" w:eastAsia="宋体" w:hAnsi="宋体" w:cs="Times New Roman"/>
          <w:sz w:val="24"/>
          <w:szCs w:val="24"/>
        </w:rPr>
        <w:t xml:space="preserve"> 以十八烷基硅烷键合硅胶为填充剂；以乙腈-0.1%磷酸水（10∶90）为流动相，检测波长为344 nm，并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扫描全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>波长谱图。理论板数按秦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皮乙素峰计算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>不得低于3000。</w:t>
      </w:r>
    </w:p>
    <w:p w:rsidR="00A24DD2" w:rsidRPr="00A24DD2" w:rsidRDefault="00A24DD2" w:rsidP="00A24DD2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A24DD2">
        <w:rPr>
          <w:rFonts w:ascii="宋体" w:eastAsia="宋体" w:hAnsi="宋体" w:cs="Times New Roman"/>
          <w:b/>
          <w:sz w:val="24"/>
          <w:szCs w:val="24"/>
        </w:rPr>
        <w:t>对照品溶液的制备</w:t>
      </w:r>
      <w:r w:rsidRPr="00A24DD2">
        <w:rPr>
          <w:rFonts w:ascii="宋体" w:eastAsia="宋体" w:hAnsi="宋体" w:cs="Times New Roman"/>
          <w:sz w:val="24"/>
          <w:szCs w:val="24"/>
        </w:rPr>
        <w:t xml:space="preserve"> 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取秦皮乙素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>对照品适量，精密称定，加甲醇溶解，制成每1 mL含0.04 mg的溶液，即得。</w:t>
      </w:r>
    </w:p>
    <w:p w:rsidR="00A24DD2" w:rsidRPr="00A24DD2" w:rsidRDefault="00A24DD2" w:rsidP="00A24DD2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proofErr w:type="gramStart"/>
      <w:r w:rsidRPr="00A24DD2">
        <w:rPr>
          <w:rFonts w:ascii="宋体" w:eastAsia="宋体" w:hAnsi="宋体" w:cs="Times New Roman"/>
          <w:b/>
          <w:sz w:val="24"/>
          <w:szCs w:val="24"/>
        </w:rPr>
        <w:t>供试品溶液</w:t>
      </w:r>
      <w:proofErr w:type="gramEnd"/>
      <w:r w:rsidRPr="00A24DD2">
        <w:rPr>
          <w:rFonts w:ascii="宋体" w:eastAsia="宋体" w:hAnsi="宋体" w:cs="Times New Roman"/>
          <w:b/>
          <w:sz w:val="24"/>
          <w:szCs w:val="24"/>
        </w:rPr>
        <w:t>的制备</w:t>
      </w:r>
      <w:r w:rsidRPr="00A24DD2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Pr="00A24DD2">
        <w:rPr>
          <w:rFonts w:ascii="宋体" w:eastAsia="宋体" w:hAnsi="宋体" w:cs="Times New Roman"/>
          <w:sz w:val="24"/>
          <w:szCs w:val="24"/>
        </w:rPr>
        <w:t>取本品注射液1 mL，作为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>。</w:t>
      </w:r>
    </w:p>
    <w:p w:rsidR="00A24DD2" w:rsidRPr="00A24DD2" w:rsidRDefault="00A24DD2" w:rsidP="00A24DD2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A24DD2">
        <w:rPr>
          <w:rFonts w:ascii="宋体" w:eastAsia="宋体" w:hAnsi="宋体" w:cs="Times New Roman"/>
          <w:b/>
          <w:sz w:val="24"/>
          <w:szCs w:val="24"/>
        </w:rPr>
        <w:t>测定法</w:t>
      </w:r>
      <w:r w:rsidRPr="00A24DD2">
        <w:rPr>
          <w:rFonts w:ascii="宋体" w:eastAsia="宋体" w:hAnsi="宋体" w:cs="Times New Roman"/>
          <w:sz w:val="24"/>
          <w:szCs w:val="24"/>
        </w:rPr>
        <w:t xml:space="preserve"> 分别精密吸取对照品溶液与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 xml:space="preserve">各10 </w:t>
      </w:r>
      <w:proofErr w:type="spellStart"/>
      <w:r w:rsidRPr="00A24DD2">
        <w:rPr>
          <w:rFonts w:ascii="宋体" w:eastAsia="宋体" w:hAnsi="宋体" w:cs="Times New Roman"/>
          <w:sz w:val="24"/>
          <w:szCs w:val="24"/>
        </w:rPr>
        <w:t>μL</w:t>
      </w:r>
      <w:proofErr w:type="spellEnd"/>
      <w:r w:rsidRPr="00A24DD2">
        <w:rPr>
          <w:rFonts w:ascii="宋体" w:eastAsia="宋体" w:hAnsi="宋体" w:cs="Times New Roman"/>
          <w:sz w:val="24"/>
          <w:szCs w:val="24"/>
        </w:rPr>
        <w:t>，注入液相色谱仪，测定，即得。</w:t>
      </w:r>
    </w:p>
    <w:p w:rsidR="000215F8" w:rsidRDefault="00A24DD2" w:rsidP="00A24DD2">
      <w:r w:rsidRPr="00A24DD2">
        <w:rPr>
          <w:rFonts w:ascii="宋体" w:eastAsia="宋体" w:hAnsi="宋体" w:cs="Times New Roman"/>
          <w:b/>
          <w:sz w:val="24"/>
          <w:szCs w:val="24"/>
        </w:rPr>
        <w:t>结果判断</w:t>
      </w:r>
      <w:r w:rsidRPr="00A24DD2">
        <w:rPr>
          <w:rFonts w:ascii="宋体" w:eastAsia="宋体" w:hAnsi="宋体" w:cs="Times New Roman"/>
          <w:sz w:val="24"/>
          <w:szCs w:val="24"/>
        </w:rPr>
        <w:t xml:space="preserve"> 若出现保留时间相同的色谱峰，则应采用二极管阵列检测器比较相应色谱峰在200～400 nm波长范围的紫外吸收光谱。供试品色谱中，峰面积</w:t>
      </w:r>
      <w:proofErr w:type="gramStart"/>
      <w:r w:rsidRPr="00A24DD2">
        <w:rPr>
          <w:rFonts w:ascii="宋体" w:eastAsia="宋体" w:hAnsi="宋体" w:cs="Times New Roman"/>
          <w:sz w:val="24"/>
          <w:szCs w:val="24"/>
        </w:rPr>
        <w:t>应不得</w:t>
      </w:r>
      <w:proofErr w:type="gramEnd"/>
      <w:r w:rsidRPr="00A24DD2">
        <w:rPr>
          <w:rFonts w:ascii="宋体" w:eastAsia="宋体" w:hAnsi="宋体" w:cs="Times New Roman"/>
          <w:sz w:val="24"/>
          <w:szCs w:val="24"/>
        </w:rPr>
        <w:t>超过对照品色谱主峰保留时间相同的色谱峰面积。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C23" w:rsidRDefault="00DF2C23" w:rsidP="00A24DD2">
      <w:r>
        <w:separator/>
      </w:r>
    </w:p>
  </w:endnote>
  <w:endnote w:type="continuationSeparator" w:id="0">
    <w:p w:rsidR="00DF2C23" w:rsidRDefault="00DF2C23" w:rsidP="00A2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C23" w:rsidRDefault="00DF2C23" w:rsidP="00A24DD2">
      <w:r>
        <w:separator/>
      </w:r>
    </w:p>
  </w:footnote>
  <w:footnote w:type="continuationSeparator" w:id="0">
    <w:p w:rsidR="00DF2C23" w:rsidRDefault="00DF2C23" w:rsidP="00A24D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64"/>
    <w:rsid w:val="000215F8"/>
    <w:rsid w:val="000B3422"/>
    <w:rsid w:val="00105599"/>
    <w:rsid w:val="00916564"/>
    <w:rsid w:val="00A24DD2"/>
    <w:rsid w:val="00D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4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4D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D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4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4D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>P R C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2022-12-01T07:03:00Z</dcterms:created>
  <dcterms:modified xsi:type="dcterms:W3CDTF">2022-12-01T07:04:00Z</dcterms:modified>
</cp:coreProperties>
</file>