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2C9" w:rsidRPr="009E6633" w:rsidRDefault="003962C9" w:rsidP="003962C9">
      <w:pPr>
        <w:spacing w:line="360" w:lineRule="auto"/>
        <w:jc w:val="center"/>
        <w:rPr>
          <w:rFonts w:asciiTheme="majorEastAsia" w:eastAsiaTheme="majorEastAsia" w:hAnsiTheme="majorEastAsia"/>
          <w:b/>
          <w:color w:val="000000"/>
          <w:kern w:val="44"/>
          <w:szCs w:val="24"/>
        </w:rPr>
      </w:pPr>
      <w:r w:rsidRPr="003962C9">
        <w:rPr>
          <w:rFonts w:asciiTheme="majorEastAsia" w:eastAsiaTheme="majorEastAsia" w:hAnsiTheme="majorEastAsia" w:hint="eastAsia"/>
          <w:b/>
          <w:color w:val="000000"/>
          <w:kern w:val="44"/>
          <w:szCs w:val="24"/>
        </w:rPr>
        <w:t>小儿氨</w:t>
      </w:r>
      <w:proofErr w:type="gramStart"/>
      <w:r w:rsidRPr="003962C9">
        <w:rPr>
          <w:rFonts w:asciiTheme="majorEastAsia" w:eastAsiaTheme="majorEastAsia" w:hAnsiTheme="majorEastAsia" w:hint="eastAsia"/>
          <w:b/>
          <w:color w:val="000000"/>
          <w:kern w:val="44"/>
          <w:szCs w:val="24"/>
        </w:rPr>
        <w:t>酚那敏</w:t>
      </w:r>
      <w:proofErr w:type="gramEnd"/>
      <w:r w:rsidRPr="003962C9">
        <w:rPr>
          <w:rFonts w:asciiTheme="majorEastAsia" w:eastAsiaTheme="majorEastAsia" w:hAnsiTheme="majorEastAsia" w:hint="eastAsia"/>
          <w:b/>
          <w:color w:val="000000"/>
          <w:kern w:val="44"/>
          <w:szCs w:val="24"/>
        </w:rPr>
        <w:t>片</w:t>
      </w:r>
      <w:r w:rsidRPr="009E6633">
        <w:rPr>
          <w:rFonts w:asciiTheme="majorEastAsia" w:eastAsiaTheme="majorEastAsia" w:hAnsiTheme="majorEastAsia" w:hint="eastAsia"/>
          <w:b/>
          <w:color w:val="000000"/>
          <w:kern w:val="44"/>
          <w:szCs w:val="24"/>
        </w:rPr>
        <w:t>溶出度检验方法</w:t>
      </w:r>
    </w:p>
    <w:p w:rsidR="003962C9" w:rsidRPr="005474D6" w:rsidRDefault="003962C9" w:rsidP="003962C9">
      <w:pPr>
        <w:spacing w:line="360" w:lineRule="auto"/>
        <w:ind w:firstLineChars="200" w:firstLine="480"/>
        <w:rPr>
          <w:rFonts w:ascii="宋体" w:hAnsi="宋体"/>
          <w:color w:val="auto"/>
          <w:kern w:val="2"/>
          <w:szCs w:val="24"/>
        </w:rPr>
      </w:pPr>
      <w:r w:rsidRPr="005474D6">
        <w:rPr>
          <w:rFonts w:ascii="宋体" w:hAnsi="宋体"/>
          <w:color w:val="auto"/>
          <w:kern w:val="2"/>
          <w:szCs w:val="24"/>
        </w:rPr>
        <w:tab/>
      </w:r>
      <w:r w:rsidRPr="005474D6">
        <w:rPr>
          <w:rFonts w:ascii="宋体" w:hAnsi="宋体"/>
          <w:color w:val="auto"/>
          <w:kern w:val="2"/>
          <w:szCs w:val="24"/>
        </w:rPr>
        <w:tab/>
      </w:r>
      <w:r w:rsidRPr="005474D6">
        <w:rPr>
          <w:rFonts w:ascii="宋体" w:hAnsi="宋体"/>
          <w:color w:val="auto"/>
          <w:kern w:val="2"/>
          <w:szCs w:val="24"/>
        </w:rPr>
        <w:tab/>
      </w:r>
      <w:r w:rsidRPr="005474D6">
        <w:rPr>
          <w:rFonts w:ascii="宋体" w:hAnsi="宋体"/>
          <w:color w:val="auto"/>
          <w:kern w:val="2"/>
          <w:szCs w:val="24"/>
        </w:rPr>
        <w:tab/>
      </w:r>
    </w:p>
    <w:p w:rsidR="003962C9" w:rsidRDefault="003962C9" w:rsidP="003962C9">
      <w:pPr>
        <w:spacing w:line="360" w:lineRule="auto"/>
        <w:ind w:firstLineChars="200" w:firstLine="482"/>
        <w:rPr>
          <w:rFonts w:eastAsiaTheme="minorEastAsia"/>
          <w:kern w:val="2"/>
          <w:szCs w:val="24"/>
        </w:rPr>
      </w:pPr>
      <w:r w:rsidRPr="00263B4D">
        <w:rPr>
          <w:rFonts w:hint="eastAsia"/>
          <w:b/>
          <w:color w:val="auto"/>
          <w:kern w:val="2"/>
          <w:szCs w:val="24"/>
        </w:rPr>
        <w:t>溶出度</w:t>
      </w:r>
      <w:r w:rsidRPr="0064146E">
        <w:rPr>
          <w:rFonts w:eastAsiaTheme="minorEastAsia" w:hint="eastAsia"/>
          <w:b/>
          <w:kern w:val="2"/>
          <w:szCs w:val="24"/>
        </w:rPr>
        <w:t xml:space="preserve">  </w:t>
      </w:r>
      <w:r w:rsidRPr="00C25832">
        <w:rPr>
          <w:rFonts w:eastAsiaTheme="minorEastAsia" w:hint="eastAsia"/>
          <w:kern w:val="2"/>
          <w:szCs w:val="24"/>
        </w:rPr>
        <w:t>照溶出度测定法（中国药典</w:t>
      </w:r>
      <w:r w:rsidRPr="00C25832">
        <w:rPr>
          <w:rFonts w:eastAsiaTheme="minorEastAsia" w:hint="eastAsia"/>
          <w:kern w:val="2"/>
          <w:szCs w:val="24"/>
        </w:rPr>
        <w:t>20</w:t>
      </w:r>
      <w:r>
        <w:rPr>
          <w:rFonts w:eastAsiaTheme="minorEastAsia"/>
          <w:kern w:val="2"/>
          <w:szCs w:val="24"/>
        </w:rPr>
        <w:t>20</w:t>
      </w:r>
      <w:r w:rsidRPr="00C25832">
        <w:rPr>
          <w:rFonts w:eastAsiaTheme="minorEastAsia" w:hint="eastAsia"/>
          <w:kern w:val="2"/>
          <w:szCs w:val="24"/>
        </w:rPr>
        <w:t>年版</w:t>
      </w:r>
      <w:r>
        <w:rPr>
          <w:rFonts w:eastAsiaTheme="minorEastAsia" w:hint="eastAsia"/>
          <w:kern w:val="2"/>
          <w:szCs w:val="24"/>
        </w:rPr>
        <w:t>四部</w:t>
      </w:r>
      <w:r w:rsidRPr="00C25832">
        <w:rPr>
          <w:rFonts w:eastAsiaTheme="minorEastAsia" w:hint="eastAsia"/>
          <w:kern w:val="2"/>
          <w:szCs w:val="24"/>
        </w:rPr>
        <w:t>通则</w:t>
      </w:r>
      <w:r w:rsidRPr="00C25832">
        <w:rPr>
          <w:rFonts w:eastAsiaTheme="minorEastAsia" w:hint="eastAsia"/>
          <w:kern w:val="2"/>
          <w:szCs w:val="24"/>
        </w:rPr>
        <w:t xml:space="preserve"> 0931 </w:t>
      </w:r>
      <w:r w:rsidRPr="00C25832">
        <w:rPr>
          <w:rFonts w:eastAsiaTheme="minorEastAsia" w:hint="eastAsia"/>
          <w:kern w:val="2"/>
          <w:szCs w:val="24"/>
        </w:rPr>
        <w:t>第二法）</w:t>
      </w:r>
    </w:p>
    <w:p w:rsidR="003962C9" w:rsidRDefault="003962C9" w:rsidP="003962C9">
      <w:pPr>
        <w:spacing w:line="360" w:lineRule="auto"/>
        <w:ind w:firstLineChars="200" w:firstLine="480"/>
        <w:rPr>
          <w:color w:val="auto"/>
          <w:kern w:val="2"/>
          <w:szCs w:val="24"/>
        </w:rPr>
      </w:pPr>
      <w:r>
        <w:rPr>
          <w:rFonts w:hint="eastAsia"/>
          <w:color w:val="auto"/>
          <w:kern w:val="2"/>
          <w:szCs w:val="24"/>
        </w:rPr>
        <w:t>溶出条件</w:t>
      </w:r>
      <w:r>
        <w:rPr>
          <w:rFonts w:hint="eastAsia"/>
          <w:color w:val="auto"/>
          <w:kern w:val="2"/>
          <w:szCs w:val="24"/>
        </w:rPr>
        <w:t xml:space="preserve"> </w:t>
      </w:r>
      <w:r>
        <w:rPr>
          <w:color w:val="auto"/>
          <w:kern w:val="2"/>
          <w:szCs w:val="24"/>
        </w:rPr>
        <w:t xml:space="preserve"> </w:t>
      </w:r>
      <w:r w:rsidRPr="00C25832">
        <w:rPr>
          <w:rFonts w:hint="eastAsia"/>
          <w:color w:val="auto"/>
          <w:kern w:val="2"/>
          <w:szCs w:val="24"/>
        </w:rPr>
        <w:t>以</w:t>
      </w:r>
      <w:r w:rsidRPr="00C25832">
        <w:rPr>
          <w:rFonts w:hint="eastAsia"/>
          <w:color w:val="auto"/>
          <w:kern w:val="2"/>
          <w:szCs w:val="24"/>
        </w:rPr>
        <w:t>pH</w:t>
      </w:r>
      <w:r w:rsidRPr="00C25832">
        <w:rPr>
          <w:color w:val="auto"/>
          <w:kern w:val="2"/>
          <w:szCs w:val="24"/>
        </w:rPr>
        <w:t xml:space="preserve"> 1.2</w:t>
      </w:r>
      <w:r w:rsidRPr="00C25832">
        <w:rPr>
          <w:rFonts w:hint="eastAsia"/>
          <w:color w:val="auto"/>
          <w:kern w:val="2"/>
          <w:szCs w:val="24"/>
        </w:rPr>
        <w:t>的盐酸溶液（量取盐酸</w:t>
      </w:r>
      <w:r w:rsidRPr="00C25832">
        <w:rPr>
          <w:rFonts w:hint="eastAsia"/>
          <w:color w:val="auto"/>
          <w:kern w:val="2"/>
          <w:szCs w:val="24"/>
        </w:rPr>
        <w:t>7.65ml</w:t>
      </w:r>
      <w:r w:rsidRPr="00C25832">
        <w:rPr>
          <w:rFonts w:hint="eastAsia"/>
          <w:color w:val="auto"/>
          <w:kern w:val="2"/>
          <w:szCs w:val="24"/>
        </w:rPr>
        <w:t>用水稀释至</w:t>
      </w:r>
      <w:r w:rsidRPr="00C25832">
        <w:rPr>
          <w:rFonts w:hint="eastAsia"/>
          <w:color w:val="auto"/>
          <w:kern w:val="2"/>
          <w:szCs w:val="24"/>
        </w:rPr>
        <w:t>1000ml</w:t>
      </w:r>
      <w:r w:rsidRPr="00C25832">
        <w:rPr>
          <w:rFonts w:hint="eastAsia"/>
          <w:color w:val="auto"/>
          <w:kern w:val="2"/>
          <w:szCs w:val="24"/>
        </w:rPr>
        <w:t>，摇匀）</w:t>
      </w:r>
      <w:r w:rsidRPr="00C25832">
        <w:rPr>
          <w:rFonts w:hint="eastAsia"/>
          <w:color w:val="auto"/>
          <w:kern w:val="2"/>
          <w:szCs w:val="24"/>
        </w:rPr>
        <w:t>500ml</w:t>
      </w:r>
      <w:r w:rsidRPr="00C25832">
        <w:rPr>
          <w:rFonts w:hint="eastAsia"/>
          <w:color w:val="auto"/>
          <w:kern w:val="2"/>
          <w:szCs w:val="24"/>
        </w:rPr>
        <w:t>为</w:t>
      </w:r>
      <w:r>
        <w:rPr>
          <w:rFonts w:hint="eastAsia"/>
          <w:color w:val="auto"/>
          <w:kern w:val="2"/>
          <w:szCs w:val="24"/>
        </w:rPr>
        <w:t>溶出</w:t>
      </w:r>
      <w:r w:rsidRPr="00C25832">
        <w:rPr>
          <w:rFonts w:hint="eastAsia"/>
          <w:color w:val="auto"/>
          <w:kern w:val="2"/>
          <w:szCs w:val="24"/>
        </w:rPr>
        <w:t>介质，转速为每分钟</w:t>
      </w:r>
      <w:r w:rsidRPr="00C25832">
        <w:rPr>
          <w:color w:val="auto"/>
          <w:kern w:val="2"/>
          <w:szCs w:val="24"/>
        </w:rPr>
        <w:t>50</w:t>
      </w:r>
      <w:r w:rsidRPr="00C25832">
        <w:rPr>
          <w:rFonts w:hint="eastAsia"/>
          <w:color w:val="auto"/>
          <w:kern w:val="2"/>
          <w:szCs w:val="24"/>
        </w:rPr>
        <w:t xml:space="preserve"> </w:t>
      </w:r>
      <w:r w:rsidRPr="00C25832">
        <w:rPr>
          <w:rFonts w:hint="eastAsia"/>
          <w:color w:val="auto"/>
          <w:kern w:val="2"/>
          <w:szCs w:val="24"/>
        </w:rPr>
        <w:t>转，依法操作，在</w:t>
      </w:r>
      <w:r w:rsidRPr="00C25832">
        <w:rPr>
          <w:rFonts w:hint="eastAsia"/>
          <w:color w:val="auto"/>
          <w:kern w:val="2"/>
          <w:szCs w:val="24"/>
        </w:rPr>
        <w:t>30</w:t>
      </w:r>
      <w:r w:rsidRPr="00C25832">
        <w:rPr>
          <w:rFonts w:hint="eastAsia"/>
          <w:color w:val="auto"/>
          <w:kern w:val="2"/>
          <w:szCs w:val="24"/>
        </w:rPr>
        <w:t>分钟时取</w:t>
      </w:r>
      <w:r>
        <w:rPr>
          <w:rFonts w:hint="eastAsia"/>
          <w:color w:val="auto"/>
          <w:kern w:val="2"/>
          <w:szCs w:val="24"/>
        </w:rPr>
        <w:t>样</w:t>
      </w:r>
    </w:p>
    <w:p w:rsidR="003962C9" w:rsidRDefault="003962C9" w:rsidP="003962C9">
      <w:pPr>
        <w:spacing w:line="360" w:lineRule="auto"/>
        <w:ind w:firstLineChars="200" w:firstLine="480"/>
        <w:rPr>
          <w:color w:val="auto"/>
          <w:kern w:val="2"/>
          <w:szCs w:val="24"/>
        </w:rPr>
      </w:pPr>
      <w:proofErr w:type="gramStart"/>
      <w:r>
        <w:rPr>
          <w:rFonts w:hint="eastAsia"/>
          <w:color w:val="auto"/>
          <w:kern w:val="2"/>
          <w:szCs w:val="24"/>
        </w:rPr>
        <w:t>供试品溶液</w:t>
      </w:r>
      <w:proofErr w:type="gramEnd"/>
      <w:r>
        <w:rPr>
          <w:rFonts w:hint="eastAsia"/>
          <w:color w:val="auto"/>
          <w:kern w:val="2"/>
          <w:szCs w:val="24"/>
        </w:rPr>
        <w:t xml:space="preserve"> </w:t>
      </w:r>
      <w:r>
        <w:rPr>
          <w:color w:val="auto"/>
          <w:kern w:val="2"/>
          <w:szCs w:val="24"/>
        </w:rPr>
        <w:t xml:space="preserve"> </w:t>
      </w:r>
      <w:r>
        <w:rPr>
          <w:rFonts w:hint="eastAsia"/>
          <w:color w:val="auto"/>
          <w:kern w:val="2"/>
          <w:szCs w:val="24"/>
        </w:rPr>
        <w:t>取溶出液</w:t>
      </w:r>
      <w:r w:rsidRPr="00C25832">
        <w:rPr>
          <w:rFonts w:hint="eastAsia"/>
          <w:color w:val="auto"/>
          <w:kern w:val="2"/>
          <w:szCs w:val="24"/>
        </w:rPr>
        <w:t>5</w:t>
      </w:r>
      <w:r w:rsidRPr="00C25832">
        <w:rPr>
          <w:color w:val="auto"/>
          <w:kern w:val="2"/>
          <w:szCs w:val="24"/>
        </w:rPr>
        <w:t>ml</w:t>
      </w:r>
      <w:r w:rsidRPr="00C25832">
        <w:rPr>
          <w:rFonts w:hint="eastAsia"/>
          <w:color w:val="auto"/>
          <w:kern w:val="2"/>
          <w:szCs w:val="24"/>
        </w:rPr>
        <w:t>，滤过，</w:t>
      </w:r>
      <w:proofErr w:type="gramStart"/>
      <w:r w:rsidRPr="00C25832">
        <w:rPr>
          <w:rFonts w:hint="eastAsia"/>
          <w:color w:val="auto"/>
          <w:kern w:val="2"/>
          <w:szCs w:val="24"/>
        </w:rPr>
        <w:t>取续滤液</w:t>
      </w:r>
      <w:proofErr w:type="gramEnd"/>
      <w:r>
        <w:rPr>
          <w:rFonts w:hint="eastAsia"/>
          <w:color w:val="auto"/>
          <w:kern w:val="2"/>
          <w:szCs w:val="24"/>
        </w:rPr>
        <w:t>。</w:t>
      </w:r>
    </w:p>
    <w:p w:rsidR="003962C9" w:rsidRDefault="003962C9" w:rsidP="003962C9">
      <w:pPr>
        <w:spacing w:line="360" w:lineRule="auto"/>
        <w:ind w:firstLineChars="200" w:firstLine="480"/>
        <w:rPr>
          <w:color w:val="auto"/>
          <w:kern w:val="2"/>
          <w:szCs w:val="24"/>
        </w:rPr>
      </w:pPr>
      <w:r w:rsidRPr="00C25832">
        <w:rPr>
          <w:rFonts w:hint="eastAsia"/>
          <w:color w:val="auto"/>
          <w:kern w:val="2"/>
          <w:szCs w:val="24"/>
        </w:rPr>
        <w:t>对照品溶液</w:t>
      </w:r>
      <w:r>
        <w:rPr>
          <w:rFonts w:hint="eastAsia"/>
          <w:color w:val="auto"/>
          <w:kern w:val="2"/>
          <w:szCs w:val="24"/>
        </w:rPr>
        <w:t xml:space="preserve"> </w:t>
      </w:r>
      <w:r>
        <w:rPr>
          <w:color w:val="auto"/>
          <w:kern w:val="2"/>
          <w:szCs w:val="24"/>
        </w:rPr>
        <w:t xml:space="preserve"> </w:t>
      </w:r>
      <w:proofErr w:type="gramStart"/>
      <w:r w:rsidRPr="00C25832">
        <w:rPr>
          <w:rFonts w:hint="eastAsia"/>
          <w:color w:val="auto"/>
          <w:kern w:val="2"/>
          <w:szCs w:val="24"/>
        </w:rPr>
        <w:t>分别取对乙酰</w:t>
      </w:r>
      <w:proofErr w:type="gramEnd"/>
      <w:r w:rsidRPr="00C25832">
        <w:rPr>
          <w:rFonts w:hint="eastAsia"/>
          <w:color w:val="auto"/>
          <w:kern w:val="2"/>
          <w:szCs w:val="24"/>
        </w:rPr>
        <w:t>氨基</w:t>
      </w:r>
      <w:proofErr w:type="gramStart"/>
      <w:r w:rsidRPr="00C25832">
        <w:rPr>
          <w:rFonts w:hint="eastAsia"/>
          <w:color w:val="auto"/>
          <w:kern w:val="2"/>
          <w:szCs w:val="24"/>
        </w:rPr>
        <w:t>酚</w:t>
      </w:r>
      <w:proofErr w:type="gramEnd"/>
      <w:r w:rsidRPr="00C25832">
        <w:rPr>
          <w:rFonts w:hint="eastAsia"/>
          <w:color w:val="auto"/>
          <w:kern w:val="2"/>
          <w:szCs w:val="24"/>
        </w:rPr>
        <w:t>对照品和马来酸</w:t>
      </w:r>
      <w:proofErr w:type="gramStart"/>
      <w:r w:rsidRPr="00C25832">
        <w:rPr>
          <w:rFonts w:hint="eastAsia"/>
          <w:color w:val="auto"/>
          <w:kern w:val="2"/>
          <w:szCs w:val="24"/>
        </w:rPr>
        <w:t>氯苯那敏对照品</w:t>
      </w:r>
      <w:proofErr w:type="gramEnd"/>
      <w:r w:rsidRPr="00C25832">
        <w:rPr>
          <w:rFonts w:hint="eastAsia"/>
          <w:color w:val="auto"/>
          <w:kern w:val="2"/>
          <w:szCs w:val="24"/>
        </w:rPr>
        <w:t>适量，精密称定，用</w:t>
      </w:r>
      <w:r>
        <w:rPr>
          <w:rFonts w:hint="eastAsia"/>
          <w:color w:val="auto"/>
          <w:kern w:val="2"/>
          <w:szCs w:val="24"/>
        </w:rPr>
        <w:t>溶出介质</w:t>
      </w:r>
      <w:r w:rsidRPr="00C25832">
        <w:rPr>
          <w:rFonts w:hint="eastAsia"/>
          <w:color w:val="auto"/>
          <w:kern w:val="2"/>
          <w:szCs w:val="24"/>
        </w:rPr>
        <w:t>溶解制成每</w:t>
      </w:r>
      <w:r w:rsidRPr="00C25832">
        <w:rPr>
          <w:rFonts w:hint="eastAsia"/>
          <w:color w:val="auto"/>
          <w:kern w:val="2"/>
          <w:szCs w:val="24"/>
        </w:rPr>
        <w:t>1</w:t>
      </w:r>
      <w:r w:rsidRPr="00C25832">
        <w:rPr>
          <w:color w:val="auto"/>
          <w:kern w:val="2"/>
          <w:szCs w:val="24"/>
        </w:rPr>
        <w:t>ml</w:t>
      </w:r>
      <w:r w:rsidRPr="00C25832">
        <w:rPr>
          <w:rFonts w:hint="eastAsia"/>
          <w:color w:val="auto"/>
          <w:kern w:val="2"/>
          <w:szCs w:val="24"/>
        </w:rPr>
        <w:t>中含对乙酰氨基</w:t>
      </w:r>
      <w:proofErr w:type="gramStart"/>
      <w:r w:rsidRPr="00C25832">
        <w:rPr>
          <w:rFonts w:hint="eastAsia"/>
          <w:color w:val="auto"/>
          <w:kern w:val="2"/>
          <w:szCs w:val="24"/>
        </w:rPr>
        <w:t>酚</w:t>
      </w:r>
      <w:proofErr w:type="gramEnd"/>
      <w:r w:rsidRPr="00C25832">
        <w:rPr>
          <w:rFonts w:hint="eastAsia"/>
          <w:color w:val="auto"/>
          <w:kern w:val="2"/>
          <w:szCs w:val="24"/>
        </w:rPr>
        <w:t>0</w:t>
      </w:r>
      <w:r w:rsidRPr="00C25832">
        <w:rPr>
          <w:color w:val="auto"/>
          <w:kern w:val="2"/>
          <w:szCs w:val="24"/>
        </w:rPr>
        <w:t>.24mg</w:t>
      </w:r>
      <w:r w:rsidRPr="00C25832">
        <w:rPr>
          <w:rFonts w:hint="eastAsia"/>
          <w:color w:val="auto"/>
          <w:kern w:val="2"/>
          <w:szCs w:val="24"/>
        </w:rPr>
        <w:t>和马来酸</w:t>
      </w:r>
      <w:proofErr w:type="gramStart"/>
      <w:r w:rsidRPr="00C25832">
        <w:rPr>
          <w:rFonts w:hint="eastAsia"/>
          <w:color w:val="auto"/>
          <w:kern w:val="2"/>
          <w:szCs w:val="24"/>
        </w:rPr>
        <w:t>氯苯那敏</w:t>
      </w:r>
      <w:proofErr w:type="gramEnd"/>
      <w:r w:rsidRPr="00C25832">
        <w:rPr>
          <w:rFonts w:hint="eastAsia"/>
          <w:color w:val="auto"/>
          <w:kern w:val="2"/>
          <w:szCs w:val="24"/>
        </w:rPr>
        <w:t>1µg</w:t>
      </w:r>
      <w:r w:rsidRPr="00C25832">
        <w:rPr>
          <w:rFonts w:hint="eastAsia"/>
          <w:color w:val="auto"/>
          <w:kern w:val="2"/>
          <w:szCs w:val="24"/>
        </w:rPr>
        <w:t>的溶液</w:t>
      </w:r>
      <w:r>
        <w:rPr>
          <w:rFonts w:hint="eastAsia"/>
          <w:color w:val="auto"/>
          <w:kern w:val="2"/>
          <w:szCs w:val="24"/>
        </w:rPr>
        <w:t>。</w:t>
      </w:r>
    </w:p>
    <w:p w:rsidR="003962C9" w:rsidRDefault="003962C9" w:rsidP="003962C9">
      <w:pPr>
        <w:spacing w:line="360" w:lineRule="auto"/>
        <w:ind w:firstLineChars="200" w:firstLine="480"/>
        <w:rPr>
          <w:color w:val="auto"/>
          <w:kern w:val="2"/>
          <w:szCs w:val="24"/>
        </w:rPr>
      </w:pPr>
      <w:r>
        <w:rPr>
          <w:rFonts w:hint="eastAsia"/>
          <w:color w:val="auto"/>
          <w:kern w:val="2"/>
          <w:szCs w:val="24"/>
        </w:rPr>
        <w:t>色谱条件</w:t>
      </w:r>
      <w:r>
        <w:rPr>
          <w:rFonts w:hint="eastAsia"/>
          <w:color w:val="auto"/>
          <w:kern w:val="2"/>
          <w:szCs w:val="24"/>
        </w:rPr>
        <w:t xml:space="preserve"> </w:t>
      </w:r>
      <w:r>
        <w:rPr>
          <w:color w:val="auto"/>
          <w:kern w:val="2"/>
          <w:szCs w:val="24"/>
        </w:rPr>
        <w:t xml:space="preserve"> </w:t>
      </w:r>
      <w:r w:rsidRPr="00C25832">
        <w:rPr>
          <w:rFonts w:hint="eastAsia"/>
          <w:color w:val="auto"/>
          <w:kern w:val="2"/>
          <w:szCs w:val="24"/>
        </w:rPr>
        <w:t>照高效液相色谱法（</w:t>
      </w:r>
      <w:r w:rsidRPr="0082224B">
        <w:rPr>
          <w:rFonts w:hint="eastAsia"/>
          <w:color w:val="auto"/>
          <w:kern w:val="2"/>
          <w:szCs w:val="24"/>
        </w:rPr>
        <w:t>中国药典</w:t>
      </w:r>
      <w:r w:rsidRPr="0082224B">
        <w:rPr>
          <w:rFonts w:hint="eastAsia"/>
          <w:color w:val="auto"/>
          <w:kern w:val="2"/>
          <w:szCs w:val="24"/>
        </w:rPr>
        <w:t>2020</w:t>
      </w:r>
      <w:r w:rsidRPr="0082224B">
        <w:rPr>
          <w:rFonts w:hint="eastAsia"/>
          <w:color w:val="auto"/>
          <w:kern w:val="2"/>
          <w:szCs w:val="24"/>
        </w:rPr>
        <w:t>年版</w:t>
      </w:r>
      <w:r>
        <w:rPr>
          <w:rFonts w:hint="eastAsia"/>
          <w:color w:val="auto"/>
          <w:kern w:val="2"/>
          <w:szCs w:val="24"/>
        </w:rPr>
        <w:t>四部</w:t>
      </w:r>
      <w:r w:rsidRPr="00C25832">
        <w:rPr>
          <w:rFonts w:hint="eastAsia"/>
          <w:color w:val="auto"/>
          <w:kern w:val="2"/>
          <w:szCs w:val="24"/>
        </w:rPr>
        <w:t>通则</w:t>
      </w:r>
      <w:r w:rsidRPr="00C25832">
        <w:rPr>
          <w:rFonts w:hint="eastAsia"/>
          <w:color w:val="auto"/>
          <w:kern w:val="2"/>
          <w:szCs w:val="24"/>
        </w:rPr>
        <w:t>0512)</w:t>
      </w:r>
      <w:r w:rsidRPr="00C25832">
        <w:rPr>
          <w:rFonts w:hint="eastAsia"/>
          <w:color w:val="auto"/>
          <w:kern w:val="2"/>
          <w:szCs w:val="24"/>
        </w:rPr>
        <w:t>。用十八烷基硅烷键合硅胶为填充剂</w:t>
      </w:r>
      <w:r>
        <w:rPr>
          <w:rFonts w:hint="eastAsia"/>
          <w:color w:val="auto"/>
          <w:kern w:val="2"/>
          <w:szCs w:val="24"/>
        </w:rPr>
        <w:t>，</w:t>
      </w:r>
      <w:r w:rsidRPr="00C25832">
        <w:rPr>
          <w:rFonts w:hint="eastAsia"/>
          <w:color w:val="auto"/>
          <w:kern w:val="2"/>
          <w:szCs w:val="24"/>
        </w:rPr>
        <w:t>以</w:t>
      </w:r>
      <w:r w:rsidRPr="00C25832">
        <w:rPr>
          <w:rFonts w:hint="eastAsia"/>
          <w:color w:val="auto"/>
          <w:kern w:val="2"/>
          <w:szCs w:val="24"/>
        </w:rPr>
        <w:t>0. 05mol/L</w:t>
      </w:r>
      <w:r w:rsidRPr="00C25832">
        <w:rPr>
          <w:rFonts w:hint="eastAsia"/>
          <w:color w:val="auto"/>
          <w:kern w:val="2"/>
          <w:szCs w:val="24"/>
        </w:rPr>
        <w:t>磷酸二氢钾溶液（用磷酸调节</w:t>
      </w:r>
      <w:r w:rsidRPr="00C25832">
        <w:rPr>
          <w:rFonts w:hint="eastAsia"/>
          <w:color w:val="auto"/>
          <w:kern w:val="2"/>
          <w:szCs w:val="24"/>
        </w:rPr>
        <w:t>pH</w:t>
      </w:r>
      <w:r w:rsidRPr="00C25832">
        <w:rPr>
          <w:rFonts w:hint="eastAsia"/>
          <w:color w:val="auto"/>
          <w:kern w:val="2"/>
          <w:szCs w:val="24"/>
        </w:rPr>
        <w:t>至</w:t>
      </w:r>
      <w:r w:rsidRPr="00C25832">
        <w:rPr>
          <w:rFonts w:hint="eastAsia"/>
          <w:color w:val="auto"/>
          <w:kern w:val="2"/>
          <w:szCs w:val="24"/>
        </w:rPr>
        <w:t>3</w:t>
      </w:r>
      <w:r w:rsidRPr="00C25832">
        <w:rPr>
          <w:color w:val="auto"/>
          <w:kern w:val="2"/>
          <w:szCs w:val="24"/>
        </w:rPr>
        <w:t>.0</w:t>
      </w:r>
      <w:r w:rsidRPr="00C25832">
        <w:rPr>
          <w:rFonts w:hint="eastAsia"/>
          <w:color w:val="auto"/>
          <w:kern w:val="2"/>
          <w:szCs w:val="24"/>
        </w:rPr>
        <w:t>）为流动相</w:t>
      </w:r>
      <w:r w:rsidRPr="00C25832">
        <w:rPr>
          <w:rFonts w:hint="eastAsia"/>
          <w:color w:val="auto"/>
          <w:kern w:val="2"/>
          <w:szCs w:val="24"/>
        </w:rPr>
        <w:t>A</w:t>
      </w:r>
      <w:r w:rsidRPr="00C25832">
        <w:rPr>
          <w:rFonts w:hint="eastAsia"/>
          <w:color w:val="auto"/>
          <w:kern w:val="2"/>
          <w:szCs w:val="24"/>
        </w:rPr>
        <w:t>，甲醇为流动相</w:t>
      </w:r>
      <w:r w:rsidRPr="00C25832">
        <w:rPr>
          <w:rFonts w:hint="eastAsia"/>
          <w:color w:val="auto"/>
          <w:kern w:val="2"/>
          <w:szCs w:val="24"/>
        </w:rPr>
        <w:t>B</w:t>
      </w:r>
      <w:r w:rsidRPr="00C25832">
        <w:rPr>
          <w:rFonts w:hint="eastAsia"/>
          <w:color w:val="auto"/>
          <w:kern w:val="2"/>
          <w:szCs w:val="24"/>
        </w:rPr>
        <w:t>，梯度洗脱；</w:t>
      </w:r>
      <w:proofErr w:type="gramStart"/>
      <w:r w:rsidRPr="00C25832">
        <w:rPr>
          <w:rFonts w:hint="eastAsia"/>
          <w:color w:val="auto"/>
          <w:kern w:val="2"/>
          <w:szCs w:val="24"/>
        </w:rPr>
        <w:t>柱温</w:t>
      </w:r>
      <w:proofErr w:type="gramEnd"/>
      <w:r w:rsidRPr="00C25832">
        <w:rPr>
          <w:color w:val="auto"/>
          <w:kern w:val="2"/>
          <w:szCs w:val="24"/>
        </w:rPr>
        <w:t>35</w:t>
      </w:r>
      <w:r w:rsidRPr="00C25832">
        <w:rPr>
          <w:rFonts w:hint="eastAsia"/>
          <w:color w:val="auto"/>
          <w:kern w:val="2"/>
          <w:szCs w:val="24"/>
        </w:rPr>
        <w:t>℃；双波长检测，对乙酰氨基</w:t>
      </w:r>
      <w:proofErr w:type="gramStart"/>
      <w:r w:rsidRPr="00C25832">
        <w:rPr>
          <w:rFonts w:hint="eastAsia"/>
          <w:color w:val="auto"/>
          <w:kern w:val="2"/>
          <w:szCs w:val="24"/>
        </w:rPr>
        <w:t>酚</w:t>
      </w:r>
      <w:proofErr w:type="gramEnd"/>
      <w:r w:rsidRPr="00C25832">
        <w:rPr>
          <w:rFonts w:hint="eastAsia"/>
          <w:color w:val="auto"/>
          <w:kern w:val="2"/>
          <w:szCs w:val="24"/>
        </w:rPr>
        <w:t>为</w:t>
      </w:r>
      <w:r w:rsidRPr="00C25832">
        <w:rPr>
          <w:rFonts w:hint="eastAsia"/>
          <w:color w:val="auto"/>
          <w:kern w:val="2"/>
          <w:szCs w:val="24"/>
        </w:rPr>
        <w:t>2</w:t>
      </w:r>
      <w:r w:rsidRPr="00C25832">
        <w:rPr>
          <w:color w:val="auto"/>
          <w:kern w:val="2"/>
          <w:szCs w:val="24"/>
        </w:rPr>
        <w:t>90</w:t>
      </w:r>
      <w:r w:rsidRPr="00C25832">
        <w:rPr>
          <w:rFonts w:hint="eastAsia"/>
          <w:color w:val="auto"/>
          <w:kern w:val="2"/>
          <w:szCs w:val="24"/>
        </w:rPr>
        <w:t>nm</w:t>
      </w:r>
      <w:r w:rsidRPr="00C25832">
        <w:rPr>
          <w:rFonts w:hint="eastAsia"/>
          <w:color w:val="auto"/>
          <w:kern w:val="2"/>
          <w:szCs w:val="24"/>
        </w:rPr>
        <w:t>，马来酸</w:t>
      </w:r>
      <w:proofErr w:type="gramStart"/>
      <w:r w:rsidRPr="00C25832">
        <w:rPr>
          <w:rFonts w:hint="eastAsia"/>
          <w:color w:val="auto"/>
          <w:kern w:val="2"/>
          <w:szCs w:val="24"/>
        </w:rPr>
        <w:t>氯苯那敏为</w:t>
      </w:r>
      <w:proofErr w:type="gramEnd"/>
      <w:r w:rsidRPr="00C25832">
        <w:rPr>
          <w:rFonts w:hint="eastAsia"/>
          <w:color w:val="auto"/>
          <w:kern w:val="2"/>
          <w:szCs w:val="24"/>
        </w:rPr>
        <w:t>2</w:t>
      </w:r>
      <w:r w:rsidRPr="00C25832">
        <w:rPr>
          <w:color w:val="auto"/>
          <w:kern w:val="2"/>
          <w:szCs w:val="24"/>
        </w:rPr>
        <w:t>24nm</w:t>
      </w:r>
      <w:r>
        <w:rPr>
          <w:rFonts w:hint="eastAsia"/>
          <w:color w:val="auto"/>
          <w:kern w:val="2"/>
          <w:szCs w:val="24"/>
        </w:rPr>
        <w:t>。</w:t>
      </w:r>
    </w:p>
    <w:p w:rsidR="003962C9" w:rsidRPr="00C25832" w:rsidRDefault="003962C9" w:rsidP="003962C9">
      <w:pPr>
        <w:spacing w:line="360" w:lineRule="auto"/>
        <w:ind w:firstLine="420"/>
        <w:rPr>
          <w:color w:val="auto"/>
          <w:kern w:val="2"/>
          <w:szCs w:val="24"/>
        </w:rPr>
      </w:pPr>
      <w:r w:rsidRPr="00C25832">
        <w:rPr>
          <w:rFonts w:hint="eastAsia"/>
          <w:color w:val="auto"/>
          <w:kern w:val="2"/>
          <w:szCs w:val="24"/>
        </w:rPr>
        <w:t>梯度洗脱程序：</w:t>
      </w:r>
    </w:p>
    <w:tbl>
      <w:tblPr>
        <w:tblStyle w:val="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4"/>
        <w:gridCol w:w="1065"/>
        <w:gridCol w:w="1065"/>
        <w:gridCol w:w="1065"/>
        <w:gridCol w:w="1065"/>
      </w:tblGrid>
      <w:tr w:rsidR="003962C9" w:rsidRPr="00C25832" w:rsidTr="00452719">
        <w:trPr>
          <w:jc w:val="center"/>
        </w:trPr>
        <w:tc>
          <w:tcPr>
            <w:tcW w:w="1524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3962C9" w:rsidRPr="00C25832" w:rsidRDefault="003962C9" w:rsidP="00452719">
            <w:pPr>
              <w:spacing w:line="360" w:lineRule="auto"/>
              <w:jc w:val="center"/>
              <w:rPr>
                <w:color w:val="auto"/>
                <w:kern w:val="2"/>
                <w:szCs w:val="24"/>
              </w:rPr>
            </w:pPr>
            <w:r w:rsidRPr="00C25832">
              <w:rPr>
                <w:rFonts w:hint="eastAsia"/>
                <w:color w:val="auto"/>
                <w:kern w:val="2"/>
                <w:szCs w:val="24"/>
              </w:rPr>
              <w:t>时间</w:t>
            </w:r>
            <w:r w:rsidRPr="00C25832">
              <w:rPr>
                <w:rFonts w:hint="eastAsia"/>
                <w:color w:val="auto"/>
                <w:kern w:val="2"/>
                <w:szCs w:val="24"/>
              </w:rPr>
              <w:t>m</w:t>
            </w:r>
            <w:r w:rsidRPr="00C25832">
              <w:rPr>
                <w:color w:val="auto"/>
                <w:kern w:val="2"/>
                <w:szCs w:val="24"/>
              </w:rPr>
              <w:t>in</w:t>
            </w:r>
          </w:p>
        </w:tc>
        <w:tc>
          <w:tcPr>
            <w:tcW w:w="1065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3962C9" w:rsidRPr="00C25832" w:rsidRDefault="003962C9" w:rsidP="00452719">
            <w:pPr>
              <w:spacing w:line="360" w:lineRule="auto"/>
              <w:jc w:val="center"/>
              <w:rPr>
                <w:color w:val="auto"/>
                <w:kern w:val="2"/>
                <w:szCs w:val="24"/>
              </w:rPr>
            </w:pPr>
            <w:r w:rsidRPr="00C25832">
              <w:rPr>
                <w:rFonts w:hint="eastAsia"/>
                <w:color w:val="auto"/>
                <w:kern w:val="2"/>
                <w:szCs w:val="24"/>
              </w:rPr>
              <w:t>0</w:t>
            </w:r>
          </w:p>
        </w:tc>
        <w:tc>
          <w:tcPr>
            <w:tcW w:w="1065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3962C9" w:rsidRPr="00C25832" w:rsidRDefault="003962C9" w:rsidP="00452719">
            <w:pPr>
              <w:spacing w:line="360" w:lineRule="auto"/>
              <w:jc w:val="center"/>
              <w:rPr>
                <w:color w:val="auto"/>
                <w:kern w:val="2"/>
                <w:szCs w:val="24"/>
              </w:rPr>
            </w:pPr>
            <w:r w:rsidRPr="00C25832">
              <w:rPr>
                <w:rFonts w:hint="eastAsia"/>
                <w:color w:val="auto"/>
                <w:kern w:val="2"/>
                <w:szCs w:val="24"/>
              </w:rPr>
              <w:t>2</w:t>
            </w:r>
          </w:p>
        </w:tc>
        <w:tc>
          <w:tcPr>
            <w:tcW w:w="1065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3962C9" w:rsidRPr="00C25832" w:rsidRDefault="003962C9" w:rsidP="00452719">
            <w:pPr>
              <w:spacing w:line="360" w:lineRule="auto"/>
              <w:jc w:val="center"/>
              <w:rPr>
                <w:color w:val="auto"/>
                <w:kern w:val="2"/>
                <w:szCs w:val="24"/>
              </w:rPr>
            </w:pPr>
            <w:r w:rsidRPr="00C25832">
              <w:rPr>
                <w:rFonts w:hint="eastAsia"/>
                <w:color w:val="auto"/>
                <w:kern w:val="2"/>
                <w:szCs w:val="24"/>
              </w:rPr>
              <w:t>5</w:t>
            </w:r>
          </w:p>
        </w:tc>
        <w:tc>
          <w:tcPr>
            <w:tcW w:w="1065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3962C9" w:rsidRPr="00C25832" w:rsidRDefault="003962C9" w:rsidP="00452719">
            <w:pPr>
              <w:spacing w:line="360" w:lineRule="auto"/>
              <w:jc w:val="center"/>
              <w:rPr>
                <w:color w:val="auto"/>
                <w:kern w:val="2"/>
                <w:szCs w:val="24"/>
              </w:rPr>
            </w:pPr>
            <w:r w:rsidRPr="00C25832">
              <w:rPr>
                <w:rFonts w:hint="eastAsia"/>
                <w:color w:val="auto"/>
                <w:kern w:val="2"/>
                <w:szCs w:val="24"/>
              </w:rPr>
              <w:t>9</w:t>
            </w:r>
          </w:p>
        </w:tc>
      </w:tr>
      <w:tr w:rsidR="003962C9" w:rsidRPr="00C25832" w:rsidTr="00452719">
        <w:trPr>
          <w:jc w:val="center"/>
        </w:trPr>
        <w:tc>
          <w:tcPr>
            <w:tcW w:w="1524" w:type="dxa"/>
            <w:tcBorders>
              <w:top w:val="single" w:sz="8" w:space="0" w:color="auto"/>
            </w:tcBorders>
            <w:vAlign w:val="center"/>
          </w:tcPr>
          <w:p w:rsidR="003962C9" w:rsidRPr="00C25832" w:rsidRDefault="003962C9" w:rsidP="00452719">
            <w:pPr>
              <w:spacing w:line="360" w:lineRule="auto"/>
              <w:jc w:val="center"/>
              <w:rPr>
                <w:color w:val="auto"/>
                <w:kern w:val="2"/>
                <w:szCs w:val="24"/>
              </w:rPr>
            </w:pPr>
            <w:r w:rsidRPr="00C25832">
              <w:rPr>
                <w:rFonts w:hint="eastAsia"/>
                <w:color w:val="auto"/>
                <w:kern w:val="2"/>
                <w:szCs w:val="24"/>
              </w:rPr>
              <w:t>A%</w:t>
            </w:r>
          </w:p>
        </w:tc>
        <w:tc>
          <w:tcPr>
            <w:tcW w:w="1065" w:type="dxa"/>
            <w:tcBorders>
              <w:top w:val="single" w:sz="8" w:space="0" w:color="auto"/>
            </w:tcBorders>
            <w:vAlign w:val="center"/>
          </w:tcPr>
          <w:p w:rsidR="003962C9" w:rsidRPr="00C25832" w:rsidRDefault="003962C9" w:rsidP="00452719">
            <w:pPr>
              <w:spacing w:line="360" w:lineRule="auto"/>
              <w:jc w:val="center"/>
              <w:rPr>
                <w:color w:val="auto"/>
                <w:kern w:val="2"/>
                <w:szCs w:val="24"/>
              </w:rPr>
            </w:pPr>
            <w:r w:rsidRPr="00C25832">
              <w:rPr>
                <w:color w:val="auto"/>
                <w:kern w:val="2"/>
                <w:szCs w:val="24"/>
              </w:rPr>
              <w:t>70</w:t>
            </w:r>
          </w:p>
        </w:tc>
        <w:tc>
          <w:tcPr>
            <w:tcW w:w="1065" w:type="dxa"/>
            <w:tcBorders>
              <w:top w:val="single" w:sz="8" w:space="0" w:color="auto"/>
            </w:tcBorders>
            <w:vAlign w:val="center"/>
          </w:tcPr>
          <w:p w:rsidR="003962C9" w:rsidRPr="00C25832" w:rsidRDefault="003962C9" w:rsidP="00452719">
            <w:pPr>
              <w:spacing w:line="360" w:lineRule="auto"/>
              <w:jc w:val="center"/>
              <w:rPr>
                <w:color w:val="auto"/>
                <w:kern w:val="2"/>
                <w:szCs w:val="24"/>
              </w:rPr>
            </w:pPr>
            <w:r w:rsidRPr="00C25832">
              <w:rPr>
                <w:color w:val="auto"/>
                <w:kern w:val="2"/>
                <w:szCs w:val="24"/>
              </w:rPr>
              <w:t>70</w:t>
            </w:r>
          </w:p>
        </w:tc>
        <w:tc>
          <w:tcPr>
            <w:tcW w:w="1065" w:type="dxa"/>
            <w:tcBorders>
              <w:top w:val="single" w:sz="8" w:space="0" w:color="auto"/>
            </w:tcBorders>
            <w:vAlign w:val="center"/>
          </w:tcPr>
          <w:p w:rsidR="003962C9" w:rsidRPr="00C25832" w:rsidRDefault="003962C9" w:rsidP="00452719">
            <w:pPr>
              <w:spacing w:line="360" w:lineRule="auto"/>
              <w:jc w:val="center"/>
              <w:rPr>
                <w:color w:val="auto"/>
                <w:kern w:val="2"/>
                <w:szCs w:val="24"/>
              </w:rPr>
            </w:pPr>
            <w:r w:rsidRPr="00C25832">
              <w:rPr>
                <w:color w:val="auto"/>
                <w:kern w:val="2"/>
                <w:szCs w:val="24"/>
              </w:rPr>
              <w:t>55</w:t>
            </w:r>
          </w:p>
        </w:tc>
        <w:tc>
          <w:tcPr>
            <w:tcW w:w="1065" w:type="dxa"/>
            <w:tcBorders>
              <w:top w:val="single" w:sz="8" w:space="0" w:color="auto"/>
            </w:tcBorders>
            <w:vAlign w:val="center"/>
          </w:tcPr>
          <w:p w:rsidR="003962C9" w:rsidRPr="00C25832" w:rsidRDefault="003962C9" w:rsidP="00452719">
            <w:pPr>
              <w:spacing w:line="360" w:lineRule="auto"/>
              <w:jc w:val="center"/>
              <w:rPr>
                <w:color w:val="auto"/>
                <w:kern w:val="2"/>
                <w:szCs w:val="24"/>
              </w:rPr>
            </w:pPr>
            <w:r w:rsidRPr="00C25832">
              <w:rPr>
                <w:color w:val="auto"/>
                <w:kern w:val="2"/>
                <w:szCs w:val="24"/>
              </w:rPr>
              <w:t>55</w:t>
            </w:r>
          </w:p>
        </w:tc>
      </w:tr>
      <w:tr w:rsidR="003962C9" w:rsidRPr="00C25832" w:rsidTr="00452719">
        <w:trPr>
          <w:jc w:val="center"/>
        </w:trPr>
        <w:tc>
          <w:tcPr>
            <w:tcW w:w="1524" w:type="dxa"/>
            <w:tcBorders>
              <w:bottom w:val="single" w:sz="12" w:space="0" w:color="auto"/>
            </w:tcBorders>
            <w:vAlign w:val="center"/>
          </w:tcPr>
          <w:p w:rsidR="003962C9" w:rsidRPr="00C25832" w:rsidRDefault="003962C9" w:rsidP="00452719">
            <w:pPr>
              <w:spacing w:line="360" w:lineRule="auto"/>
              <w:jc w:val="center"/>
              <w:rPr>
                <w:color w:val="auto"/>
                <w:kern w:val="2"/>
                <w:szCs w:val="24"/>
              </w:rPr>
            </w:pPr>
            <w:r w:rsidRPr="00C25832">
              <w:rPr>
                <w:rFonts w:hint="eastAsia"/>
                <w:color w:val="auto"/>
                <w:kern w:val="2"/>
                <w:szCs w:val="24"/>
              </w:rPr>
              <w:t>B%</w:t>
            </w:r>
          </w:p>
        </w:tc>
        <w:tc>
          <w:tcPr>
            <w:tcW w:w="1065" w:type="dxa"/>
            <w:tcBorders>
              <w:bottom w:val="single" w:sz="12" w:space="0" w:color="auto"/>
            </w:tcBorders>
            <w:vAlign w:val="center"/>
          </w:tcPr>
          <w:p w:rsidR="003962C9" w:rsidRPr="00C25832" w:rsidRDefault="003962C9" w:rsidP="00452719">
            <w:pPr>
              <w:spacing w:line="360" w:lineRule="auto"/>
              <w:jc w:val="center"/>
              <w:rPr>
                <w:color w:val="auto"/>
                <w:kern w:val="2"/>
                <w:szCs w:val="24"/>
              </w:rPr>
            </w:pPr>
            <w:r w:rsidRPr="00C25832">
              <w:rPr>
                <w:rFonts w:hint="eastAsia"/>
                <w:color w:val="auto"/>
                <w:kern w:val="2"/>
                <w:szCs w:val="24"/>
              </w:rPr>
              <w:t>3</w:t>
            </w:r>
            <w:r w:rsidRPr="00C25832">
              <w:rPr>
                <w:color w:val="auto"/>
                <w:kern w:val="2"/>
                <w:szCs w:val="24"/>
              </w:rPr>
              <w:t>0</w:t>
            </w:r>
          </w:p>
        </w:tc>
        <w:tc>
          <w:tcPr>
            <w:tcW w:w="1065" w:type="dxa"/>
            <w:tcBorders>
              <w:bottom w:val="single" w:sz="12" w:space="0" w:color="auto"/>
            </w:tcBorders>
            <w:vAlign w:val="center"/>
          </w:tcPr>
          <w:p w:rsidR="003962C9" w:rsidRPr="00C25832" w:rsidRDefault="003962C9" w:rsidP="00452719">
            <w:pPr>
              <w:spacing w:line="360" w:lineRule="auto"/>
              <w:jc w:val="center"/>
              <w:rPr>
                <w:color w:val="auto"/>
                <w:kern w:val="2"/>
                <w:szCs w:val="24"/>
              </w:rPr>
            </w:pPr>
            <w:r w:rsidRPr="00C25832">
              <w:rPr>
                <w:rFonts w:hint="eastAsia"/>
                <w:color w:val="auto"/>
                <w:kern w:val="2"/>
                <w:szCs w:val="24"/>
              </w:rPr>
              <w:t>3</w:t>
            </w:r>
            <w:r w:rsidRPr="00C25832">
              <w:rPr>
                <w:color w:val="auto"/>
                <w:kern w:val="2"/>
                <w:szCs w:val="24"/>
              </w:rPr>
              <w:t>0</w:t>
            </w:r>
          </w:p>
        </w:tc>
        <w:tc>
          <w:tcPr>
            <w:tcW w:w="1065" w:type="dxa"/>
            <w:tcBorders>
              <w:bottom w:val="single" w:sz="12" w:space="0" w:color="auto"/>
            </w:tcBorders>
            <w:vAlign w:val="center"/>
          </w:tcPr>
          <w:p w:rsidR="003962C9" w:rsidRPr="00C25832" w:rsidRDefault="003962C9" w:rsidP="00452719">
            <w:pPr>
              <w:spacing w:line="360" w:lineRule="auto"/>
              <w:jc w:val="center"/>
              <w:rPr>
                <w:color w:val="auto"/>
                <w:kern w:val="2"/>
                <w:szCs w:val="24"/>
              </w:rPr>
            </w:pPr>
            <w:r w:rsidRPr="00C25832">
              <w:rPr>
                <w:rFonts w:hint="eastAsia"/>
                <w:color w:val="auto"/>
                <w:kern w:val="2"/>
                <w:szCs w:val="24"/>
              </w:rPr>
              <w:t>4</w:t>
            </w:r>
            <w:r w:rsidRPr="00C25832">
              <w:rPr>
                <w:color w:val="auto"/>
                <w:kern w:val="2"/>
                <w:szCs w:val="24"/>
              </w:rPr>
              <w:t>5</w:t>
            </w:r>
          </w:p>
        </w:tc>
        <w:tc>
          <w:tcPr>
            <w:tcW w:w="1065" w:type="dxa"/>
            <w:tcBorders>
              <w:bottom w:val="single" w:sz="12" w:space="0" w:color="auto"/>
            </w:tcBorders>
            <w:vAlign w:val="center"/>
          </w:tcPr>
          <w:p w:rsidR="003962C9" w:rsidRPr="00C25832" w:rsidRDefault="003962C9" w:rsidP="00452719">
            <w:pPr>
              <w:spacing w:line="360" w:lineRule="auto"/>
              <w:jc w:val="center"/>
              <w:rPr>
                <w:color w:val="auto"/>
                <w:kern w:val="2"/>
                <w:szCs w:val="24"/>
              </w:rPr>
            </w:pPr>
            <w:r w:rsidRPr="00C25832">
              <w:rPr>
                <w:rFonts w:hint="eastAsia"/>
                <w:color w:val="auto"/>
                <w:kern w:val="2"/>
                <w:szCs w:val="24"/>
              </w:rPr>
              <w:t>4</w:t>
            </w:r>
            <w:r w:rsidRPr="00C25832">
              <w:rPr>
                <w:color w:val="auto"/>
                <w:kern w:val="2"/>
                <w:szCs w:val="24"/>
              </w:rPr>
              <w:t>5</w:t>
            </w:r>
          </w:p>
        </w:tc>
      </w:tr>
    </w:tbl>
    <w:p w:rsidR="003962C9" w:rsidRPr="00C25832" w:rsidRDefault="003962C9" w:rsidP="003962C9">
      <w:pPr>
        <w:spacing w:line="360" w:lineRule="auto"/>
        <w:ind w:firstLine="420"/>
        <w:rPr>
          <w:color w:val="auto"/>
          <w:kern w:val="2"/>
          <w:szCs w:val="24"/>
        </w:rPr>
      </w:pPr>
      <w:r w:rsidRPr="00C25832">
        <w:rPr>
          <w:rFonts w:hint="eastAsia"/>
          <w:color w:val="auto"/>
          <w:kern w:val="2"/>
          <w:szCs w:val="24"/>
        </w:rPr>
        <w:t>系统适用性要求</w:t>
      </w:r>
      <w:r>
        <w:rPr>
          <w:rFonts w:hint="eastAsia"/>
          <w:color w:val="auto"/>
          <w:kern w:val="2"/>
          <w:szCs w:val="24"/>
        </w:rPr>
        <w:t xml:space="preserve"> </w:t>
      </w:r>
      <w:r>
        <w:rPr>
          <w:color w:val="auto"/>
          <w:kern w:val="2"/>
          <w:szCs w:val="24"/>
        </w:rPr>
        <w:t xml:space="preserve"> </w:t>
      </w:r>
      <w:r w:rsidRPr="00C25832">
        <w:rPr>
          <w:rFonts w:hint="eastAsia"/>
          <w:color w:val="auto"/>
          <w:kern w:val="2"/>
          <w:szCs w:val="24"/>
        </w:rPr>
        <w:t>对照品溶液</w:t>
      </w:r>
      <w:r>
        <w:rPr>
          <w:rFonts w:hint="eastAsia"/>
          <w:color w:val="auto"/>
          <w:kern w:val="2"/>
          <w:szCs w:val="24"/>
        </w:rPr>
        <w:t>色谱图中，</w:t>
      </w:r>
      <w:r w:rsidRPr="00C25832">
        <w:rPr>
          <w:rFonts w:hint="eastAsia"/>
          <w:color w:val="auto"/>
          <w:kern w:val="2"/>
          <w:szCs w:val="24"/>
        </w:rPr>
        <w:t>马来酸、对乙酰氨基</w:t>
      </w:r>
      <w:proofErr w:type="gramStart"/>
      <w:r w:rsidRPr="00C25832">
        <w:rPr>
          <w:rFonts w:hint="eastAsia"/>
          <w:color w:val="auto"/>
          <w:kern w:val="2"/>
          <w:szCs w:val="24"/>
        </w:rPr>
        <w:t>酚</w:t>
      </w:r>
      <w:proofErr w:type="gramEnd"/>
      <w:r w:rsidRPr="00C25832">
        <w:rPr>
          <w:rFonts w:hint="eastAsia"/>
          <w:color w:val="auto"/>
          <w:kern w:val="2"/>
          <w:szCs w:val="24"/>
        </w:rPr>
        <w:t>和氯苯</w:t>
      </w:r>
      <w:proofErr w:type="gramStart"/>
      <w:r w:rsidRPr="00C25832">
        <w:rPr>
          <w:rFonts w:hint="eastAsia"/>
          <w:color w:val="auto"/>
          <w:kern w:val="2"/>
          <w:szCs w:val="24"/>
        </w:rPr>
        <w:t>那敏先后</w:t>
      </w:r>
      <w:proofErr w:type="gramEnd"/>
      <w:r w:rsidRPr="00C25832">
        <w:rPr>
          <w:rFonts w:hint="eastAsia"/>
          <w:color w:val="auto"/>
          <w:kern w:val="2"/>
          <w:szCs w:val="24"/>
        </w:rPr>
        <w:t>出峰，理论板数按对乙酰氨基</w:t>
      </w:r>
      <w:proofErr w:type="gramStart"/>
      <w:r w:rsidRPr="00C25832">
        <w:rPr>
          <w:rFonts w:hint="eastAsia"/>
          <w:color w:val="auto"/>
          <w:kern w:val="2"/>
          <w:szCs w:val="24"/>
        </w:rPr>
        <w:t>酚峰计算</w:t>
      </w:r>
      <w:proofErr w:type="gramEnd"/>
      <w:r w:rsidRPr="00C25832">
        <w:rPr>
          <w:rFonts w:hint="eastAsia"/>
          <w:color w:val="auto"/>
          <w:kern w:val="2"/>
          <w:szCs w:val="24"/>
        </w:rPr>
        <w:t>不低于</w:t>
      </w:r>
      <w:r w:rsidRPr="00C25832">
        <w:rPr>
          <w:rFonts w:hint="eastAsia"/>
          <w:color w:val="auto"/>
          <w:kern w:val="2"/>
          <w:szCs w:val="24"/>
        </w:rPr>
        <w:t>5000</w:t>
      </w:r>
      <w:r w:rsidRPr="00C25832">
        <w:rPr>
          <w:rFonts w:hint="eastAsia"/>
          <w:color w:val="auto"/>
          <w:kern w:val="2"/>
          <w:szCs w:val="24"/>
        </w:rPr>
        <w:t>。对乙酰氨基</w:t>
      </w:r>
      <w:proofErr w:type="gramStart"/>
      <w:r w:rsidRPr="00C25832">
        <w:rPr>
          <w:rFonts w:hint="eastAsia"/>
          <w:color w:val="auto"/>
          <w:kern w:val="2"/>
          <w:szCs w:val="24"/>
        </w:rPr>
        <w:t>酚</w:t>
      </w:r>
      <w:proofErr w:type="gramEnd"/>
      <w:r w:rsidRPr="00C25832">
        <w:rPr>
          <w:rFonts w:hint="eastAsia"/>
          <w:color w:val="auto"/>
          <w:kern w:val="2"/>
          <w:szCs w:val="24"/>
        </w:rPr>
        <w:t>和氯苯那敏峰与相邻色谱峰的分离度应符合要求。</w:t>
      </w:r>
    </w:p>
    <w:p w:rsidR="003962C9" w:rsidRDefault="003962C9" w:rsidP="003962C9">
      <w:pPr>
        <w:spacing w:line="360" w:lineRule="auto"/>
        <w:ind w:firstLineChars="200" w:firstLine="480"/>
        <w:rPr>
          <w:color w:val="auto"/>
          <w:kern w:val="2"/>
          <w:szCs w:val="24"/>
        </w:rPr>
      </w:pPr>
      <w:r>
        <w:rPr>
          <w:rFonts w:hint="eastAsia"/>
          <w:color w:val="auto"/>
          <w:kern w:val="2"/>
          <w:szCs w:val="24"/>
        </w:rPr>
        <w:t>测定法</w:t>
      </w:r>
      <w:r>
        <w:rPr>
          <w:rFonts w:hint="eastAsia"/>
          <w:color w:val="auto"/>
          <w:kern w:val="2"/>
          <w:szCs w:val="24"/>
        </w:rPr>
        <w:t xml:space="preserve"> </w:t>
      </w:r>
      <w:r>
        <w:rPr>
          <w:color w:val="auto"/>
          <w:kern w:val="2"/>
          <w:szCs w:val="24"/>
        </w:rPr>
        <w:t xml:space="preserve"> </w:t>
      </w:r>
      <w:r w:rsidRPr="00C25832">
        <w:rPr>
          <w:rFonts w:hint="eastAsia"/>
          <w:color w:val="auto"/>
          <w:kern w:val="2"/>
          <w:szCs w:val="24"/>
        </w:rPr>
        <w:t>精密量</w:t>
      </w:r>
      <w:proofErr w:type="gramStart"/>
      <w:r w:rsidRPr="00C25832">
        <w:rPr>
          <w:rFonts w:hint="eastAsia"/>
          <w:color w:val="auto"/>
          <w:kern w:val="2"/>
          <w:szCs w:val="24"/>
        </w:rPr>
        <w:t>取供试品</w:t>
      </w:r>
      <w:proofErr w:type="gramEnd"/>
      <w:r w:rsidRPr="00C25832">
        <w:rPr>
          <w:rFonts w:hint="eastAsia"/>
          <w:color w:val="auto"/>
          <w:kern w:val="2"/>
          <w:szCs w:val="24"/>
        </w:rPr>
        <w:t>溶液和对照品溶液各</w:t>
      </w:r>
      <w:r w:rsidRPr="00C25832">
        <w:rPr>
          <w:rFonts w:hint="eastAsia"/>
          <w:color w:val="auto"/>
          <w:kern w:val="2"/>
          <w:szCs w:val="24"/>
        </w:rPr>
        <w:t>50µL</w:t>
      </w:r>
      <w:r w:rsidRPr="00C25832">
        <w:rPr>
          <w:rFonts w:hint="eastAsia"/>
          <w:color w:val="auto"/>
          <w:kern w:val="2"/>
          <w:szCs w:val="24"/>
        </w:rPr>
        <w:t>，</w:t>
      </w:r>
      <w:r>
        <w:rPr>
          <w:rFonts w:hint="eastAsia"/>
          <w:color w:val="auto"/>
          <w:kern w:val="2"/>
          <w:szCs w:val="24"/>
        </w:rPr>
        <w:t>分别</w:t>
      </w:r>
      <w:r w:rsidRPr="00C25832">
        <w:rPr>
          <w:rFonts w:hint="eastAsia"/>
          <w:color w:val="auto"/>
          <w:kern w:val="2"/>
          <w:szCs w:val="24"/>
        </w:rPr>
        <w:t>注入</w:t>
      </w:r>
      <w:r w:rsidRPr="007F3B41">
        <w:rPr>
          <w:rFonts w:hint="eastAsia"/>
          <w:color w:val="auto"/>
          <w:kern w:val="2"/>
          <w:szCs w:val="24"/>
        </w:rPr>
        <w:t>液相</w:t>
      </w:r>
      <w:r w:rsidRPr="00C25832">
        <w:rPr>
          <w:rFonts w:hint="eastAsia"/>
          <w:color w:val="auto"/>
          <w:kern w:val="2"/>
          <w:szCs w:val="24"/>
        </w:rPr>
        <w:t>色谱仪，记录色谱图，按外标法以峰面积计算对乙酰氨基</w:t>
      </w:r>
      <w:proofErr w:type="gramStart"/>
      <w:r w:rsidRPr="00C25832">
        <w:rPr>
          <w:rFonts w:hint="eastAsia"/>
          <w:color w:val="auto"/>
          <w:kern w:val="2"/>
          <w:szCs w:val="24"/>
        </w:rPr>
        <w:t>酚</w:t>
      </w:r>
      <w:proofErr w:type="gramEnd"/>
      <w:r w:rsidRPr="00C25832">
        <w:rPr>
          <w:rFonts w:hint="eastAsia"/>
          <w:color w:val="auto"/>
          <w:kern w:val="2"/>
          <w:szCs w:val="24"/>
        </w:rPr>
        <w:t>和马来酸</w:t>
      </w:r>
      <w:proofErr w:type="gramStart"/>
      <w:r w:rsidRPr="00C25832">
        <w:rPr>
          <w:rFonts w:hint="eastAsia"/>
          <w:color w:val="auto"/>
          <w:kern w:val="2"/>
          <w:szCs w:val="24"/>
        </w:rPr>
        <w:t>氯苯那敏的</w:t>
      </w:r>
      <w:proofErr w:type="gramEnd"/>
      <w:r w:rsidRPr="00C25832">
        <w:rPr>
          <w:rFonts w:hint="eastAsia"/>
          <w:color w:val="auto"/>
          <w:kern w:val="2"/>
          <w:szCs w:val="24"/>
        </w:rPr>
        <w:t>溶出量。</w:t>
      </w:r>
    </w:p>
    <w:p w:rsidR="003962C9" w:rsidRPr="00C25832" w:rsidRDefault="003962C9" w:rsidP="003962C9">
      <w:pPr>
        <w:spacing w:line="360" w:lineRule="auto"/>
        <w:ind w:firstLineChars="200" w:firstLine="480"/>
        <w:rPr>
          <w:color w:val="auto"/>
          <w:kern w:val="2"/>
          <w:szCs w:val="24"/>
        </w:rPr>
      </w:pPr>
      <w:r w:rsidRPr="00C25832">
        <w:rPr>
          <w:rFonts w:hint="eastAsia"/>
          <w:color w:val="auto"/>
          <w:kern w:val="2"/>
          <w:szCs w:val="24"/>
        </w:rPr>
        <w:t>限度</w:t>
      </w:r>
      <w:r>
        <w:rPr>
          <w:rFonts w:hint="eastAsia"/>
          <w:color w:val="auto"/>
          <w:kern w:val="2"/>
          <w:szCs w:val="24"/>
        </w:rPr>
        <w:t xml:space="preserve"> </w:t>
      </w:r>
      <w:r>
        <w:rPr>
          <w:color w:val="auto"/>
          <w:kern w:val="2"/>
          <w:szCs w:val="24"/>
        </w:rPr>
        <w:t xml:space="preserve"> </w:t>
      </w:r>
      <w:r w:rsidRPr="00C25832">
        <w:rPr>
          <w:rFonts w:hint="eastAsia"/>
          <w:color w:val="auto"/>
          <w:kern w:val="2"/>
          <w:szCs w:val="24"/>
        </w:rPr>
        <w:t>对乙酰氨基</w:t>
      </w:r>
      <w:proofErr w:type="gramStart"/>
      <w:r w:rsidRPr="00C25832">
        <w:rPr>
          <w:rFonts w:hint="eastAsia"/>
          <w:color w:val="auto"/>
          <w:kern w:val="2"/>
          <w:szCs w:val="24"/>
        </w:rPr>
        <w:t>酚</w:t>
      </w:r>
      <w:proofErr w:type="gramEnd"/>
      <w:r w:rsidRPr="00C25832">
        <w:rPr>
          <w:rFonts w:hint="eastAsia"/>
          <w:color w:val="auto"/>
          <w:kern w:val="2"/>
          <w:szCs w:val="24"/>
        </w:rPr>
        <w:t>和马来酸</w:t>
      </w:r>
      <w:proofErr w:type="gramStart"/>
      <w:r w:rsidRPr="00C25832">
        <w:rPr>
          <w:rFonts w:hint="eastAsia"/>
          <w:color w:val="auto"/>
          <w:kern w:val="2"/>
          <w:szCs w:val="24"/>
        </w:rPr>
        <w:t>氯苯那敏</w:t>
      </w:r>
      <w:r>
        <w:rPr>
          <w:rFonts w:hint="eastAsia"/>
          <w:color w:val="auto"/>
          <w:kern w:val="2"/>
          <w:szCs w:val="24"/>
        </w:rPr>
        <w:t>的</w:t>
      </w:r>
      <w:proofErr w:type="gramEnd"/>
      <w:r>
        <w:rPr>
          <w:rFonts w:hint="eastAsia"/>
          <w:color w:val="auto"/>
          <w:kern w:val="2"/>
          <w:szCs w:val="24"/>
        </w:rPr>
        <w:t>限度</w:t>
      </w:r>
      <w:r w:rsidRPr="00C25832">
        <w:rPr>
          <w:rFonts w:hint="eastAsia"/>
          <w:color w:val="auto"/>
          <w:kern w:val="2"/>
          <w:szCs w:val="24"/>
        </w:rPr>
        <w:t>均为标示量的</w:t>
      </w:r>
      <w:r w:rsidRPr="00C25832">
        <w:rPr>
          <w:rFonts w:hint="eastAsia"/>
          <w:color w:val="auto"/>
          <w:kern w:val="2"/>
          <w:szCs w:val="24"/>
        </w:rPr>
        <w:t>8</w:t>
      </w:r>
      <w:r w:rsidRPr="00C25832">
        <w:rPr>
          <w:color w:val="auto"/>
          <w:kern w:val="2"/>
          <w:szCs w:val="24"/>
        </w:rPr>
        <w:t>5</w:t>
      </w:r>
      <w:r w:rsidRPr="00C25832">
        <w:rPr>
          <w:rFonts w:hint="eastAsia"/>
          <w:color w:val="auto"/>
          <w:kern w:val="2"/>
          <w:szCs w:val="24"/>
        </w:rPr>
        <w:t>%</w:t>
      </w:r>
      <w:r>
        <w:rPr>
          <w:rFonts w:hint="eastAsia"/>
          <w:color w:val="auto"/>
          <w:kern w:val="2"/>
          <w:szCs w:val="24"/>
        </w:rPr>
        <w:t>，应符合规定</w:t>
      </w:r>
      <w:r w:rsidRPr="00C25832">
        <w:rPr>
          <w:rFonts w:hint="eastAsia"/>
          <w:color w:val="auto"/>
          <w:kern w:val="2"/>
          <w:szCs w:val="24"/>
        </w:rPr>
        <w:t>。</w:t>
      </w:r>
    </w:p>
    <w:p w:rsidR="003962C9" w:rsidRDefault="003962C9" w:rsidP="003962C9">
      <w:pPr>
        <w:spacing w:line="360" w:lineRule="auto"/>
        <w:rPr>
          <w:rFonts w:hint="eastAsia"/>
          <w:b/>
          <w:color w:val="auto"/>
        </w:rPr>
      </w:pPr>
      <w:bookmarkStart w:id="0" w:name="_GoBack"/>
      <w:bookmarkEnd w:id="0"/>
    </w:p>
    <w:sectPr w:rsidR="003962C9" w:rsidSect="004A630F">
      <w:pgSz w:w="11906" w:h="16838" w:code="9"/>
      <w:pgMar w:top="1134" w:right="1134" w:bottom="1134" w:left="1418" w:header="680" w:footer="680" w:gutter="0"/>
      <w:cols w:space="720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A03" w:rsidRDefault="003D3A03" w:rsidP="003962C9">
      <w:r>
        <w:separator/>
      </w:r>
    </w:p>
  </w:endnote>
  <w:endnote w:type="continuationSeparator" w:id="0">
    <w:p w:rsidR="003D3A03" w:rsidRDefault="003D3A03" w:rsidP="00396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A03" w:rsidRDefault="003D3A03" w:rsidP="003962C9">
      <w:r>
        <w:separator/>
      </w:r>
    </w:p>
  </w:footnote>
  <w:footnote w:type="continuationSeparator" w:id="0">
    <w:p w:rsidR="003D3A03" w:rsidRDefault="003D3A03" w:rsidP="003962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C96"/>
    <w:rsid w:val="000215F8"/>
    <w:rsid w:val="000B3422"/>
    <w:rsid w:val="00105599"/>
    <w:rsid w:val="003962C9"/>
    <w:rsid w:val="003D3A03"/>
    <w:rsid w:val="006558D2"/>
    <w:rsid w:val="00951B92"/>
    <w:rsid w:val="00BB3C96"/>
    <w:rsid w:val="00C15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C9"/>
    <w:pPr>
      <w:widowControl w:val="0"/>
      <w:jc w:val="both"/>
    </w:pPr>
    <w:rPr>
      <w:rFonts w:ascii="Times New Roman" w:eastAsia="宋体" w:hAnsi="Times New Roman" w:cs="Times New Roman"/>
      <w:color w:val="000000" w:themeColor="text1"/>
      <w:kern w:val="0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962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962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962C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962C9"/>
    <w:rPr>
      <w:sz w:val="18"/>
      <w:szCs w:val="18"/>
    </w:rPr>
  </w:style>
  <w:style w:type="table" w:customStyle="1" w:styleId="1">
    <w:name w:val="网格型1"/>
    <w:basedOn w:val="a1"/>
    <w:next w:val="a5"/>
    <w:uiPriority w:val="59"/>
    <w:rsid w:val="003962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3962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C9"/>
    <w:pPr>
      <w:widowControl w:val="0"/>
      <w:jc w:val="both"/>
    </w:pPr>
    <w:rPr>
      <w:rFonts w:ascii="Times New Roman" w:eastAsia="宋体" w:hAnsi="Times New Roman" w:cs="Times New Roman"/>
      <w:color w:val="000000" w:themeColor="text1"/>
      <w:kern w:val="0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962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962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962C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962C9"/>
    <w:rPr>
      <w:sz w:val="18"/>
      <w:szCs w:val="18"/>
    </w:rPr>
  </w:style>
  <w:style w:type="table" w:customStyle="1" w:styleId="1">
    <w:name w:val="网格型1"/>
    <w:basedOn w:val="a1"/>
    <w:next w:val="a5"/>
    <w:uiPriority w:val="59"/>
    <w:rsid w:val="003962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3962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545</Characters>
  <Application>Microsoft Office Word</Application>
  <DocSecurity>0</DocSecurity>
  <Lines>4</Lines>
  <Paragraphs>1</Paragraphs>
  <ScaleCrop>false</ScaleCrop>
  <Company>P R C</Company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2022-11-28T08:27:00Z</dcterms:created>
  <dcterms:modified xsi:type="dcterms:W3CDTF">2022-11-28T08:29:00Z</dcterms:modified>
</cp:coreProperties>
</file>