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E4F" w:rsidRPr="00CA7E4F" w:rsidRDefault="00CA7E4F" w:rsidP="00CA7E4F">
      <w:pPr>
        <w:spacing w:line="360" w:lineRule="auto"/>
        <w:ind w:firstLineChars="200" w:firstLine="482"/>
        <w:jc w:val="center"/>
        <w:rPr>
          <w:rFonts w:asciiTheme="majorEastAsia" w:eastAsiaTheme="majorEastAsia" w:hAnsiTheme="majorEastAsia" w:cs="Times New Roman"/>
          <w:b/>
          <w:sz w:val="24"/>
          <w:szCs w:val="36"/>
        </w:rPr>
      </w:pPr>
      <w:bookmarkStart w:id="0" w:name="_GoBack"/>
      <w:r w:rsidRPr="00CA7E4F">
        <w:rPr>
          <w:rFonts w:asciiTheme="majorEastAsia" w:eastAsiaTheme="majorEastAsia" w:hAnsiTheme="majorEastAsia" w:cs="Times New Roman" w:hint="eastAsia"/>
          <w:b/>
          <w:sz w:val="24"/>
          <w:szCs w:val="36"/>
        </w:rPr>
        <w:t>诺氟</w:t>
      </w:r>
      <w:proofErr w:type="gramStart"/>
      <w:r w:rsidRPr="00CA7E4F">
        <w:rPr>
          <w:rFonts w:asciiTheme="majorEastAsia" w:eastAsiaTheme="majorEastAsia" w:hAnsiTheme="majorEastAsia" w:cs="Times New Roman" w:hint="eastAsia"/>
          <w:b/>
          <w:sz w:val="24"/>
          <w:szCs w:val="36"/>
        </w:rPr>
        <w:t>沙星滴眼</w:t>
      </w:r>
      <w:proofErr w:type="gramEnd"/>
      <w:r w:rsidRPr="00CA7E4F">
        <w:rPr>
          <w:rFonts w:asciiTheme="majorEastAsia" w:eastAsiaTheme="majorEastAsia" w:hAnsiTheme="majorEastAsia" w:cs="Times New Roman" w:hint="eastAsia"/>
          <w:b/>
          <w:sz w:val="24"/>
          <w:szCs w:val="36"/>
        </w:rPr>
        <w:t>液抑菌剂检测方法</w:t>
      </w:r>
    </w:p>
    <w:bookmarkEnd w:id="0"/>
    <w:p w:rsidR="00CA7E4F" w:rsidRPr="00CA7E4F" w:rsidRDefault="00CA7E4F" w:rsidP="00CA7E4F">
      <w:pPr>
        <w:spacing w:line="360" w:lineRule="auto"/>
        <w:ind w:firstLineChars="200" w:firstLine="560"/>
        <w:jc w:val="center"/>
        <w:rPr>
          <w:rFonts w:ascii="仿宋" w:eastAsia="仿宋" w:hAnsi="仿宋" w:cs="Times New Roman"/>
          <w:sz w:val="28"/>
          <w:szCs w:val="28"/>
        </w:rPr>
      </w:pPr>
    </w:p>
    <w:p w:rsidR="00CA7E4F" w:rsidRPr="00CA7E4F" w:rsidRDefault="00CA7E4F" w:rsidP="00CA7E4F">
      <w:pPr>
        <w:spacing w:line="660" w:lineRule="exact"/>
        <w:ind w:firstLineChars="147" w:firstLine="354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【检查】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</w:t>
      </w:r>
      <w:proofErr w:type="gramStart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羟苯甲酯</w:t>
      </w:r>
      <w:proofErr w:type="gramEnd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与苯</w:t>
      </w:r>
      <w:proofErr w:type="gramStart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扎溴铵</w:t>
      </w:r>
      <w:proofErr w:type="gramEnd"/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如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用羟苯甲酯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与苯扎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溴铵作为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防腐剂，照高效液相色谱法（通则</w:t>
      </w:r>
      <w:r w:rsidRPr="00CA7E4F">
        <w:rPr>
          <w:rFonts w:asciiTheme="minorEastAsia" w:hAnsiTheme="minorEastAsia" w:cs="Times New Roman"/>
          <w:sz w:val="24"/>
          <w:szCs w:val="24"/>
        </w:rPr>
        <w:t>0512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）测定。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proofErr w:type="gramStart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供试品溶液</w:t>
      </w:r>
      <w:proofErr w:type="gramEnd"/>
      <w:r w:rsidRPr="00CA7E4F">
        <w:rPr>
          <w:rFonts w:asciiTheme="minorEastAsia" w:hAnsiTheme="minorEastAsia" w:cs="Times New Roman"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取本品，按处方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中羟苯甲酯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或苯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扎溴铵的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含量，用稀释剂（流动相</w:t>
      </w:r>
      <w:r w:rsidRPr="00CA7E4F">
        <w:rPr>
          <w:rFonts w:asciiTheme="minorEastAsia" w:hAnsiTheme="minorEastAsia" w:cs="Times New Roman"/>
          <w:sz w:val="24"/>
          <w:szCs w:val="24"/>
        </w:rPr>
        <w:t>A-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乙腈（</w:t>
      </w:r>
      <w:r w:rsidRPr="00CA7E4F">
        <w:rPr>
          <w:rFonts w:asciiTheme="minorEastAsia" w:hAnsiTheme="minorEastAsia" w:cs="Times New Roman"/>
          <w:sz w:val="24"/>
          <w:szCs w:val="24"/>
        </w:rPr>
        <w:t>65:35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））稀释制成每</w:t>
      </w:r>
      <w:r w:rsidRPr="00CA7E4F">
        <w:rPr>
          <w:rFonts w:asciiTheme="minorEastAsia" w:hAnsiTheme="minorEastAsia" w:cs="Times New Roman"/>
          <w:sz w:val="24"/>
          <w:szCs w:val="24"/>
        </w:rPr>
        <w:t>1ml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中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约含羟苯甲酯</w:t>
      </w:r>
      <w:proofErr w:type="gramEnd"/>
      <w:r w:rsidRPr="00CA7E4F">
        <w:rPr>
          <w:rFonts w:asciiTheme="minorEastAsia" w:hAnsiTheme="minorEastAsia" w:cs="Times New Roman"/>
          <w:sz w:val="24"/>
          <w:szCs w:val="24"/>
        </w:rPr>
        <w:t>30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z w:val="24"/>
          <w:szCs w:val="24"/>
        </w:rPr>
        <w:t>g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或羟苯乙酯</w:t>
      </w:r>
      <w:proofErr w:type="gramEnd"/>
      <w:r w:rsidRPr="00CA7E4F">
        <w:rPr>
          <w:rFonts w:asciiTheme="minorEastAsia" w:hAnsiTheme="minorEastAsia" w:cs="Times New Roman"/>
          <w:sz w:val="24"/>
          <w:szCs w:val="24"/>
        </w:rPr>
        <w:t>30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z w:val="24"/>
          <w:szCs w:val="24"/>
        </w:rPr>
        <w:t>g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或羟苯丙酯</w:t>
      </w:r>
      <w:proofErr w:type="gramEnd"/>
      <w:r w:rsidRPr="00CA7E4F">
        <w:rPr>
          <w:rFonts w:asciiTheme="minorEastAsia" w:hAnsiTheme="minorEastAsia" w:cs="Times New Roman"/>
          <w:sz w:val="24"/>
          <w:szCs w:val="24"/>
        </w:rPr>
        <w:t>30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z w:val="24"/>
          <w:szCs w:val="24"/>
        </w:rPr>
        <w:t>g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或苯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扎溴铵</w:t>
      </w:r>
      <w:proofErr w:type="gramEnd"/>
      <w:r w:rsidRPr="00CA7E4F">
        <w:rPr>
          <w:rFonts w:asciiTheme="minorEastAsia" w:hAnsiTheme="minorEastAsia" w:cs="Times New Roman"/>
          <w:sz w:val="24"/>
          <w:szCs w:val="24"/>
        </w:rPr>
        <w:t>10.2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z w:val="24"/>
          <w:szCs w:val="24"/>
        </w:rPr>
        <w:t>g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的溶液。</w:t>
      </w:r>
    </w:p>
    <w:p w:rsidR="00CA7E4F" w:rsidRPr="00CA7E4F" w:rsidRDefault="00CA7E4F" w:rsidP="00CA7E4F">
      <w:pPr>
        <w:spacing w:line="660" w:lineRule="exact"/>
        <w:ind w:firstLineChars="200" w:firstLine="458"/>
        <w:rPr>
          <w:rFonts w:asciiTheme="minorEastAsia" w:hAnsiTheme="minorEastAsia" w:cs="Times New Roman"/>
          <w:spacing w:val="-6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pacing w:val="-6"/>
          <w:sz w:val="24"/>
          <w:szCs w:val="24"/>
        </w:rPr>
        <w:t>对照品溶液</w:t>
      </w:r>
      <w:r w:rsidRPr="00CA7E4F">
        <w:rPr>
          <w:rFonts w:asciiTheme="minorEastAsia" w:hAnsiTheme="minorEastAsia" w:cs="Times New Roman"/>
          <w:b/>
          <w:spacing w:val="-6"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精密称（量）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取羟苯甲酯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或苯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扎溴铵对照品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适量，用稀释剂定量稀释制成每</w:t>
      </w:r>
      <w:r w:rsidRPr="00CA7E4F">
        <w:rPr>
          <w:rFonts w:asciiTheme="minorEastAsia" w:hAnsiTheme="minorEastAsia" w:cs="Times New Roman"/>
          <w:spacing w:val="-6"/>
          <w:sz w:val="24"/>
          <w:szCs w:val="24"/>
        </w:rPr>
        <w:t>1ml</w:t>
      </w:r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中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约含羟苯甲酯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各</w:t>
      </w:r>
      <w:r w:rsidRPr="00CA7E4F">
        <w:rPr>
          <w:rFonts w:asciiTheme="minorEastAsia" w:hAnsiTheme="minorEastAsia" w:cs="Times New Roman"/>
          <w:spacing w:val="-6"/>
          <w:sz w:val="24"/>
          <w:szCs w:val="24"/>
        </w:rPr>
        <w:t>30</w:t>
      </w:r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pacing w:val="-6"/>
          <w:sz w:val="24"/>
          <w:szCs w:val="24"/>
        </w:rPr>
        <w:t>g</w:t>
      </w:r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和苯</w:t>
      </w:r>
      <w:proofErr w:type="gramStart"/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扎溴铵</w:t>
      </w:r>
      <w:proofErr w:type="gramEnd"/>
      <w:r w:rsidRPr="00CA7E4F">
        <w:rPr>
          <w:rFonts w:asciiTheme="minorEastAsia" w:hAnsiTheme="minorEastAsia" w:cs="Times New Roman"/>
          <w:spacing w:val="-6"/>
          <w:sz w:val="24"/>
          <w:szCs w:val="24"/>
        </w:rPr>
        <w:t>10.2</w:t>
      </w:r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pacing w:val="-6"/>
          <w:sz w:val="24"/>
          <w:szCs w:val="24"/>
        </w:rPr>
        <w:t>g</w:t>
      </w:r>
      <w:r w:rsidRPr="00CA7E4F">
        <w:rPr>
          <w:rFonts w:asciiTheme="minorEastAsia" w:hAnsiTheme="minorEastAsia" w:cs="Times New Roman" w:hint="eastAsia"/>
          <w:spacing w:val="-6"/>
          <w:sz w:val="24"/>
          <w:szCs w:val="24"/>
        </w:rPr>
        <w:t>的混合溶液。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色谱条件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用十八烷基硅烷键合硅胶为填充剂；以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1%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三乙胺溶液（用磷酸调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pH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值至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3.0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）为流动相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A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，以乙腈为流动相</w:t>
      </w:r>
      <w:r w:rsidRPr="00CA7E4F">
        <w:rPr>
          <w:rFonts w:asciiTheme="minorEastAsia" w:hAnsiTheme="minorEastAsia" w:cs="Times New Roman"/>
          <w:sz w:val="24"/>
          <w:szCs w:val="24"/>
        </w:rPr>
        <w:t>B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，按下表进行线性梯度洗脱；流速为每分钟</w:t>
      </w:r>
      <w:r w:rsidRPr="00CA7E4F">
        <w:rPr>
          <w:rFonts w:asciiTheme="minorEastAsia" w:hAnsiTheme="minorEastAsia" w:cs="Times New Roman"/>
          <w:sz w:val="24"/>
          <w:szCs w:val="24"/>
        </w:rPr>
        <w:t>1ml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；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柱温为</w:t>
      </w:r>
      <w:proofErr w:type="gramEnd"/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40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；检测波长为</w:t>
      </w:r>
      <w:r w:rsidRPr="00CA7E4F">
        <w:rPr>
          <w:rFonts w:asciiTheme="minorEastAsia" w:hAnsiTheme="minorEastAsia" w:cs="Times New Roman"/>
          <w:sz w:val="24"/>
          <w:szCs w:val="24"/>
        </w:rPr>
        <w:t>214nm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；进样体积</w:t>
      </w:r>
      <w:r w:rsidRPr="00CA7E4F">
        <w:rPr>
          <w:rFonts w:asciiTheme="minorEastAsia" w:hAnsiTheme="minorEastAsia" w:cs="Times New Roman"/>
          <w:sz w:val="24"/>
          <w:szCs w:val="24"/>
        </w:rPr>
        <w:t>20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z w:val="24"/>
          <w:szCs w:val="24"/>
        </w:rPr>
        <w:t>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。</w:t>
      </w:r>
    </w:p>
    <w:tbl>
      <w:tblPr>
        <w:tblW w:w="7643" w:type="dxa"/>
        <w:jc w:val="center"/>
        <w:tblInd w:w="353" w:type="dxa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89"/>
        <w:gridCol w:w="2952"/>
        <w:gridCol w:w="2402"/>
      </w:tblGrid>
      <w:tr w:rsidR="00CA7E4F" w:rsidRPr="00CA7E4F" w:rsidTr="001331E4">
        <w:trPr>
          <w:jc w:val="center"/>
        </w:trPr>
        <w:tc>
          <w:tcPr>
            <w:tcW w:w="228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时间（分钟）</w:t>
            </w:r>
          </w:p>
        </w:tc>
        <w:tc>
          <w:tcPr>
            <w:tcW w:w="295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流动相</w:t>
            </w:r>
            <w:r w:rsidRPr="00CA7E4F">
              <w:rPr>
                <w:rFonts w:asciiTheme="minorEastAsia" w:hAnsiTheme="minorEastAsia" w:cs="Times New Roman"/>
                <w:b/>
                <w:sz w:val="24"/>
                <w:szCs w:val="24"/>
              </w:rPr>
              <w:t>A(%)</w:t>
            </w:r>
          </w:p>
        </w:tc>
        <w:tc>
          <w:tcPr>
            <w:tcW w:w="24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流动相</w:t>
            </w:r>
            <w:r w:rsidRPr="00CA7E4F">
              <w:rPr>
                <w:rFonts w:asciiTheme="minorEastAsia" w:hAnsiTheme="minorEastAsia" w:cs="Times New Roman"/>
                <w:b/>
                <w:sz w:val="24"/>
                <w:szCs w:val="24"/>
              </w:rPr>
              <w:t>B(%)</w:t>
            </w:r>
          </w:p>
        </w:tc>
      </w:tr>
      <w:tr w:rsidR="00CA7E4F" w:rsidRPr="00CA7E4F" w:rsidTr="001331E4">
        <w:trPr>
          <w:jc w:val="center"/>
        </w:trPr>
        <w:tc>
          <w:tcPr>
            <w:tcW w:w="2289" w:type="dxa"/>
            <w:tcBorders>
              <w:top w:val="single" w:sz="8" w:space="0" w:color="auto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0</w:t>
            </w:r>
          </w:p>
        </w:tc>
        <w:tc>
          <w:tcPr>
            <w:tcW w:w="2952" w:type="dxa"/>
            <w:tcBorders>
              <w:top w:val="single" w:sz="8" w:space="0" w:color="auto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65</w:t>
            </w:r>
          </w:p>
        </w:tc>
        <w:tc>
          <w:tcPr>
            <w:tcW w:w="2402" w:type="dxa"/>
            <w:tcBorders>
              <w:top w:val="single" w:sz="8" w:space="0" w:color="auto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35</w:t>
            </w:r>
          </w:p>
        </w:tc>
      </w:tr>
      <w:tr w:rsidR="00CA7E4F" w:rsidRPr="00CA7E4F" w:rsidTr="001331E4">
        <w:trPr>
          <w:jc w:val="center"/>
        </w:trPr>
        <w:tc>
          <w:tcPr>
            <w:tcW w:w="2289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5</w:t>
            </w:r>
          </w:p>
        </w:tc>
        <w:tc>
          <w:tcPr>
            <w:tcW w:w="2952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65</w:t>
            </w:r>
          </w:p>
        </w:tc>
        <w:tc>
          <w:tcPr>
            <w:tcW w:w="2402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35</w:t>
            </w:r>
          </w:p>
        </w:tc>
      </w:tr>
      <w:tr w:rsidR="00CA7E4F" w:rsidRPr="00CA7E4F" w:rsidTr="001331E4">
        <w:trPr>
          <w:jc w:val="center"/>
        </w:trPr>
        <w:tc>
          <w:tcPr>
            <w:tcW w:w="2289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22</w:t>
            </w:r>
          </w:p>
        </w:tc>
        <w:tc>
          <w:tcPr>
            <w:tcW w:w="2952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10</w:t>
            </w:r>
          </w:p>
        </w:tc>
        <w:tc>
          <w:tcPr>
            <w:tcW w:w="2402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90</w:t>
            </w:r>
          </w:p>
        </w:tc>
      </w:tr>
      <w:tr w:rsidR="00CA7E4F" w:rsidRPr="00CA7E4F" w:rsidTr="001331E4">
        <w:trPr>
          <w:jc w:val="center"/>
        </w:trPr>
        <w:tc>
          <w:tcPr>
            <w:tcW w:w="2289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23</w:t>
            </w:r>
          </w:p>
        </w:tc>
        <w:tc>
          <w:tcPr>
            <w:tcW w:w="2952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65</w:t>
            </w:r>
          </w:p>
        </w:tc>
        <w:tc>
          <w:tcPr>
            <w:tcW w:w="2402" w:type="dxa"/>
            <w:tcBorders>
              <w:top w:val="nil"/>
              <w:bottom w:val="nil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35</w:t>
            </w:r>
          </w:p>
        </w:tc>
      </w:tr>
      <w:tr w:rsidR="00CA7E4F" w:rsidRPr="00CA7E4F" w:rsidTr="001331E4">
        <w:trPr>
          <w:jc w:val="center"/>
        </w:trPr>
        <w:tc>
          <w:tcPr>
            <w:tcW w:w="2289" w:type="dxa"/>
            <w:tcBorders>
              <w:top w:val="nil"/>
              <w:bottom w:val="single" w:sz="12" w:space="0" w:color="17365D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28</w:t>
            </w:r>
          </w:p>
        </w:tc>
        <w:tc>
          <w:tcPr>
            <w:tcW w:w="2952" w:type="dxa"/>
            <w:tcBorders>
              <w:top w:val="nil"/>
              <w:bottom w:val="single" w:sz="12" w:space="0" w:color="17365D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65</w:t>
            </w:r>
          </w:p>
        </w:tc>
        <w:tc>
          <w:tcPr>
            <w:tcW w:w="2402" w:type="dxa"/>
            <w:tcBorders>
              <w:top w:val="nil"/>
              <w:bottom w:val="single" w:sz="12" w:space="0" w:color="17365D"/>
            </w:tcBorders>
            <w:vAlign w:val="center"/>
          </w:tcPr>
          <w:p w:rsidR="00CA7E4F" w:rsidRPr="00CA7E4F" w:rsidRDefault="00CA7E4F" w:rsidP="00CA7E4F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A7E4F">
              <w:rPr>
                <w:rFonts w:asciiTheme="minorEastAsia" w:hAnsiTheme="minorEastAsia" w:cs="Times New Roman"/>
                <w:sz w:val="24"/>
                <w:szCs w:val="24"/>
              </w:rPr>
              <w:t>35</w:t>
            </w:r>
          </w:p>
        </w:tc>
      </w:tr>
    </w:tbl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系统适用性要求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对照品溶液色谱图中，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羟苯甲酯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与苯扎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溴铵峰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间的分离度均应符合要求；苯扎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溴铵峰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的拖尾因子应小于</w:t>
      </w:r>
      <w:r w:rsidRPr="00CA7E4F">
        <w:rPr>
          <w:rFonts w:asciiTheme="minorEastAsia" w:hAnsiTheme="minorEastAsia" w:cs="Times New Roman"/>
          <w:sz w:val="24"/>
          <w:szCs w:val="24"/>
        </w:rPr>
        <w:t>1.5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CA7E4F" w:rsidRPr="00CA7E4F" w:rsidRDefault="00CA7E4F" w:rsidP="00CA7E4F">
      <w:pPr>
        <w:spacing w:line="660" w:lineRule="exact"/>
        <w:ind w:firstLineChars="245" w:firstLine="590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测定法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精密量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取供试品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溶液与对照品溶液，分别注入液相色谱仪，记录色谱图。</w:t>
      </w:r>
    </w:p>
    <w:p w:rsidR="00CA7E4F" w:rsidRPr="00CA7E4F" w:rsidRDefault="00CA7E4F" w:rsidP="00CA7E4F">
      <w:pPr>
        <w:spacing w:line="660" w:lineRule="exact"/>
        <w:ind w:firstLineChars="245" w:firstLine="590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lastRenderedPageBreak/>
        <w:t>限度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按外标法以峰面积计算，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供试品如含羟苯甲酯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羟苯丙酯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、苯扎溴铵，均应为标示量的</w:t>
      </w:r>
      <w:r w:rsidRPr="00CA7E4F">
        <w:rPr>
          <w:rFonts w:asciiTheme="minorEastAsia" w:hAnsiTheme="minorEastAsia" w:cs="Times New Roman"/>
          <w:sz w:val="24"/>
          <w:szCs w:val="24"/>
        </w:rPr>
        <w:t>80%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～</w:t>
      </w:r>
      <w:r w:rsidRPr="00CA7E4F">
        <w:rPr>
          <w:rFonts w:asciiTheme="minorEastAsia" w:hAnsiTheme="minorEastAsia" w:cs="Times New Roman"/>
          <w:sz w:val="24"/>
          <w:szCs w:val="24"/>
        </w:rPr>
        <w:t>120%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CA7E4F" w:rsidRPr="00CA7E4F" w:rsidRDefault="00CA7E4F" w:rsidP="00CA7E4F">
      <w:pPr>
        <w:spacing w:line="660" w:lineRule="exact"/>
        <w:ind w:firstLineChars="147" w:firstLine="354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【检查】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</w:t>
      </w: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三氯叔丁醇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如用三氯叔丁醇作为防腐剂，照气相色谱法（通则</w:t>
      </w:r>
      <w:r w:rsidRPr="00CA7E4F">
        <w:rPr>
          <w:rFonts w:asciiTheme="minorEastAsia" w:hAnsiTheme="minorEastAsia" w:cs="Times New Roman"/>
          <w:sz w:val="24"/>
          <w:szCs w:val="24"/>
        </w:rPr>
        <w:t>0521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）测定。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内标溶液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取苯甲醇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对照品适量，精密称定，加甲醇溶解并定量稀释制成每</w:t>
      </w:r>
      <w:r w:rsidRPr="00CA7E4F">
        <w:rPr>
          <w:rFonts w:asciiTheme="minorEastAsia" w:hAnsiTheme="minorEastAsia" w:cs="Times New Roman"/>
          <w:sz w:val="24"/>
          <w:szCs w:val="24"/>
        </w:rPr>
        <w:t>1ml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中约含</w:t>
      </w:r>
      <w:r w:rsidRPr="00CA7E4F">
        <w:rPr>
          <w:rFonts w:asciiTheme="minorEastAsia" w:hAnsiTheme="minorEastAsia" w:cs="Times New Roman"/>
          <w:sz w:val="24"/>
          <w:szCs w:val="24"/>
        </w:rPr>
        <w:t>1.5mg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的溶液。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proofErr w:type="gramStart"/>
      <w:r w:rsidRPr="00CA7E4F">
        <w:rPr>
          <w:rFonts w:asciiTheme="minorEastAsia" w:hAnsiTheme="minorEastAsia" w:cs="Times New Roman" w:hint="eastAsia"/>
          <w:b/>
          <w:sz w:val="24"/>
          <w:szCs w:val="24"/>
        </w:rPr>
        <w:t>供试品溶液</w:t>
      </w:r>
      <w:proofErr w:type="gramEnd"/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精密量取本品</w:t>
      </w:r>
      <w:r w:rsidRPr="00CA7E4F">
        <w:rPr>
          <w:rFonts w:asciiTheme="minorEastAsia" w:hAnsiTheme="minorEastAsia" w:cs="Times New Roman"/>
          <w:sz w:val="24"/>
          <w:szCs w:val="24"/>
        </w:rPr>
        <w:t>5ml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至</w:t>
      </w:r>
      <w:r w:rsidRPr="00CA7E4F">
        <w:rPr>
          <w:rFonts w:asciiTheme="minorEastAsia" w:hAnsiTheme="minorEastAsia" w:cs="Times New Roman"/>
          <w:sz w:val="24"/>
          <w:szCs w:val="24"/>
        </w:rPr>
        <w:t>10ml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量瓶中，精密加入内标溶液</w:t>
      </w:r>
      <w:r w:rsidRPr="00CA7E4F">
        <w:rPr>
          <w:rFonts w:asciiTheme="minorEastAsia" w:hAnsiTheme="minorEastAsia" w:cs="Times New Roman"/>
          <w:sz w:val="24"/>
          <w:szCs w:val="24"/>
        </w:rPr>
        <w:t>5ml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，用甲醇稀释至刻度，摇匀。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对照品溶液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取三氯叔丁醇对照品约</w:t>
      </w:r>
      <w:r w:rsidRPr="00CA7E4F">
        <w:rPr>
          <w:rFonts w:asciiTheme="minorEastAsia" w:hAnsiTheme="minorEastAsia" w:cs="Times New Roman"/>
          <w:sz w:val="24"/>
          <w:szCs w:val="24"/>
        </w:rPr>
        <w:t>15mg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，精密称定，置</w:t>
      </w:r>
      <w:r w:rsidRPr="00CA7E4F">
        <w:rPr>
          <w:rFonts w:asciiTheme="minorEastAsia" w:hAnsiTheme="minorEastAsia" w:cs="Times New Roman"/>
          <w:sz w:val="24"/>
          <w:szCs w:val="24"/>
        </w:rPr>
        <w:t>10ml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量瓶中，精密加入内标溶液</w:t>
      </w:r>
      <w:r w:rsidRPr="00CA7E4F">
        <w:rPr>
          <w:rFonts w:asciiTheme="minorEastAsia" w:hAnsiTheme="minorEastAsia" w:cs="Times New Roman"/>
          <w:sz w:val="24"/>
          <w:szCs w:val="24"/>
        </w:rPr>
        <w:t>5ml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，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振摇使溶解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，再用水稀释刻度，摇匀。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色谱条件及系统适用性试验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以聚乙二醇（</w:t>
      </w:r>
      <w:r w:rsidRPr="00CA7E4F">
        <w:rPr>
          <w:rFonts w:asciiTheme="minorEastAsia" w:hAnsiTheme="minorEastAsia" w:cs="Times New Roman"/>
          <w:sz w:val="24"/>
          <w:szCs w:val="24"/>
        </w:rPr>
        <w:t>DB-FFAP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）（或极性相近）为固定液的毛细管柱为色谱柱；起始温度为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70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，维持</w:t>
      </w:r>
      <w:r w:rsidRPr="00CA7E4F">
        <w:rPr>
          <w:rFonts w:asciiTheme="minorEastAsia" w:hAnsiTheme="minorEastAsia" w:cs="Times New Roman"/>
          <w:sz w:val="24"/>
          <w:szCs w:val="24"/>
        </w:rPr>
        <w:t>1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分钟，以每分钟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8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的速率升温至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150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，维持</w:t>
      </w:r>
      <w:r w:rsidRPr="00CA7E4F">
        <w:rPr>
          <w:rFonts w:asciiTheme="minorEastAsia" w:hAnsiTheme="minorEastAsia" w:cs="Times New Roman"/>
          <w:sz w:val="24"/>
          <w:szCs w:val="24"/>
        </w:rPr>
        <w:t>2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分钟，再以每分钟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20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的速率升温至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200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，维持</w:t>
      </w:r>
      <w:r w:rsidRPr="00CA7E4F">
        <w:rPr>
          <w:rFonts w:asciiTheme="minorEastAsia" w:hAnsiTheme="minorEastAsia" w:cs="Times New Roman"/>
          <w:sz w:val="24"/>
          <w:szCs w:val="24"/>
        </w:rPr>
        <w:t>4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分钟；进样口温度为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260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，检测器温度为</w:t>
      </w:r>
      <w:smartTag w:uri="urn:schemas-microsoft-com:office:smarttags" w:element="chmetcnv">
        <w:smartTagPr>
          <w:attr w:name="SourceValue" w:val="280"/>
          <w:attr w:name="HasSpace" w:val="False"/>
          <w:attr w:name="Negative" w:val="False"/>
          <w:attr w:name="NumberType" w:val="1"/>
          <w:attr w:name="TCSC" w:val="0"/>
        </w:smartTagPr>
        <w:r w:rsidRPr="00CA7E4F">
          <w:rPr>
            <w:rFonts w:asciiTheme="minorEastAsia" w:hAnsiTheme="minorEastAsia" w:cs="Times New Roman"/>
            <w:sz w:val="24"/>
            <w:szCs w:val="24"/>
          </w:rPr>
          <w:t>280</w:t>
        </w:r>
        <w:r w:rsidRPr="00CA7E4F">
          <w:rPr>
            <w:rFonts w:asciiTheme="minorEastAsia" w:hAnsiTheme="minorEastAsia" w:cs="Times New Roman" w:hint="eastAsia"/>
            <w:sz w:val="24"/>
            <w:szCs w:val="24"/>
          </w:rPr>
          <w:t>℃</w:t>
        </w:r>
      </w:smartTag>
      <w:r w:rsidRPr="00CA7E4F">
        <w:rPr>
          <w:rFonts w:asciiTheme="minorEastAsia" w:hAnsiTheme="minorEastAsia" w:cs="Times New Roman" w:hint="eastAsia"/>
          <w:sz w:val="24"/>
          <w:szCs w:val="24"/>
        </w:rPr>
        <w:t>；分流比为</w:t>
      </w:r>
      <w:r w:rsidRPr="00CA7E4F">
        <w:rPr>
          <w:rFonts w:asciiTheme="minorEastAsia" w:hAnsiTheme="minorEastAsia" w:cs="Times New Roman"/>
          <w:sz w:val="24"/>
          <w:szCs w:val="24"/>
        </w:rPr>
        <w:t>10:1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；进样体积为</w:t>
      </w:r>
      <w:r w:rsidRPr="00CA7E4F">
        <w:rPr>
          <w:rFonts w:asciiTheme="minorEastAsia" w:hAnsiTheme="minorEastAsia" w:cs="Times New Roman"/>
          <w:sz w:val="24"/>
          <w:szCs w:val="24"/>
        </w:rPr>
        <w:t>1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μ</w:t>
      </w:r>
      <w:r w:rsidRPr="00CA7E4F">
        <w:rPr>
          <w:rFonts w:asciiTheme="minorEastAsia" w:hAnsiTheme="minorEastAsia" w:cs="Times New Roman"/>
          <w:sz w:val="24"/>
          <w:szCs w:val="24"/>
        </w:rPr>
        <w:t>l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CA7E4F" w:rsidRPr="00CA7E4F" w:rsidRDefault="00CA7E4F" w:rsidP="00CA7E4F">
      <w:pPr>
        <w:spacing w:line="660" w:lineRule="exact"/>
        <w:ind w:firstLineChars="199" w:firstLine="479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系统适用性要求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对照品溶液色谱图中，三氯叔丁醇与内标物峰的分离度应大于</w:t>
      </w:r>
      <w:r w:rsidRPr="00CA7E4F">
        <w:rPr>
          <w:rFonts w:asciiTheme="minorEastAsia" w:hAnsiTheme="minorEastAsia" w:cs="Times New Roman"/>
          <w:sz w:val="24"/>
          <w:szCs w:val="24"/>
        </w:rPr>
        <w:t>5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CA7E4F" w:rsidRPr="00CA7E4F" w:rsidRDefault="00CA7E4F" w:rsidP="00CA7E4F">
      <w:pPr>
        <w:spacing w:line="660" w:lineRule="exact"/>
        <w:ind w:firstLineChars="196" w:firstLine="47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测定法</w:t>
      </w:r>
      <w:r w:rsidRPr="00CA7E4F">
        <w:rPr>
          <w:rFonts w:asciiTheme="minorEastAsia" w:hAnsiTheme="minorEastAsia" w:cs="Times New Roman"/>
          <w:b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精密量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取供试品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溶液与对照品溶液；分别注入气相色谱仪，记录色谱图。</w:t>
      </w:r>
    </w:p>
    <w:p w:rsidR="00CA7E4F" w:rsidRPr="00CA7E4F" w:rsidRDefault="00CA7E4F" w:rsidP="00CA7E4F">
      <w:pPr>
        <w:spacing w:line="66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CA7E4F">
        <w:rPr>
          <w:rFonts w:asciiTheme="minorEastAsia" w:hAnsiTheme="minorEastAsia" w:cs="Times New Roman" w:hint="eastAsia"/>
          <w:b/>
          <w:sz w:val="24"/>
          <w:szCs w:val="24"/>
        </w:rPr>
        <w:t>限度</w:t>
      </w:r>
      <w:r w:rsidRPr="00CA7E4F">
        <w:rPr>
          <w:rFonts w:asciiTheme="minorEastAsia" w:hAnsiTheme="minorEastAsia" w:cs="Times New Roman"/>
          <w:sz w:val="24"/>
          <w:szCs w:val="24"/>
        </w:rPr>
        <w:t xml:space="preserve">  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按内标法以峰面积计算，</w:t>
      </w:r>
      <w:proofErr w:type="gramStart"/>
      <w:r w:rsidRPr="00CA7E4F">
        <w:rPr>
          <w:rFonts w:asciiTheme="minorEastAsia" w:hAnsiTheme="minorEastAsia" w:cs="Times New Roman" w:hint="eastAsia"/>
          <w:sz w:val="24"/>
          <w:szCs w:val="24"/>
        </w:rPr>
        <w:t>供试品如</w:t>
      </w:r>
      <w:proofErr w:type="gramEnd"/>
      <w:r w:rsidRPr="00CA7E4F">
        <w:rPr>
          <w:rFonts w:asciiTheme="minorEastAsia" w:hAnsiTheme="minorEastAsia" w:cs="Times New Roman" w:hint="eastAsia"/>
          <w:sz w:val="24"/>
          <w:szCs w:val="24"/>
        </w:rPr>
        <w:t>含三氯叔丁醇，应为标示量的</w:t>
      </w:r>
      <w:r w:rsidRPr="00CA7E4F">
        <w:rPr>
          <w:rFonts w:asciiTheme="minorEastAsia" w:hAnsiTheme="minorEastAsia" w:cs="Times New Roman"/>
          <w:sz w:val="24"/>
          <w:szCs w:val="24"/>
        </w:rPr>
        <w:t>80%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～</w:t>
      </w:r>
      <w:r w:rsidRPr="00CA7E4F">
        <w:rPr>
          <w:rFonts w:asciiTheme="minorEastAsia" w:hAnsiTheme="minorEastAsia" w:cs="Times New Roman"/>
          <w:sz w:val="24"/>
          <w:szCs w:val="24"/>
        </w:rPr>
        <w:t>120%</w:t>
      </w:r>
      <w:r w:rsidRPr="00CA7E4F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0215F8" w:rsidRPr="00CA7E4F" w:rsidRDefault="000215F8">
      <w:pPr>
        <w:rPr>
          <w:rFonts w:asciiTheme="minorEastAsia" w:hAnsiTheme="minorEastAsia"/>
          <w:sz w:val="24"/>
          <w:szCs w:val="24"/>
        </w:rPr>
      </w:pPr>
    </w:p>
    <w:sectPr w:rsidR="000215F8" w:rsidRPr="00CA7E4F" w:rsidSect="006C2876">
      <w:pgSz w:w="11906" w:h="16838"/>
      <w:pgMar w:top="1588" w:right="1588" w:bottom="1588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ABE" w:rsidRDefault="00AE6ABE" w:rsidP="00CA7E4F">
      <w:r>
        <w:separator/>
      </w:r>
    </w:p>
  </w:endnote>
  <w:endnote w:type="continuationSeparator" w:id="0">
    <w:p w:rsidR="00AE6ABE" w:rsidRDefault="00AE6ABE" w:rsidP="00CA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ABE" w:rsidRDefault="00AE6ABE" w:rsidP="00CA7E4F">
      <w:r>
        <w:separator/>
      </w:r>
    </w:p>
  </w:footnote>
  <w:footnote w:type="continuationSeparator" w:id="0">
    <w:p w:rsidR="00AE6ABE" w:rsidRDefault="00AE6ABE" w:rsidP="00CA7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5D6"/>
    <w:rsid w:val="000215F8"/>
    <w:rsid w:val="000B3422"/>
    <w:rsid w:val="00105599"/>
    <w:rsid w:val="003955D6"/>
    <w:rsid w:val="00AE6ABE"/>
    <w:rsid w:val="00CA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7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7E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7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7E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7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7E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7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7E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Company>P R C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2022-11-21T08:10:00Z</dcterms:created>
  <dcterms:modified xsi:type="dcterms:W3CDTF">2022-11-21T08:10:00Z</dcterms:modified>
</cp:coreProperties>
</file>