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466E7A" w:rsidRPr="00466E7A" w:rsidRDefault="00466E7A" w:rsidP="00466E7A">
      <w:pPr>
        <w:spacing w:line="276" w:lineRule="auto"/>
        <w:jc w:val="center"/>
        <w:rPr>
          <w:rFonts w:asciiTheme="majorEastAsia" w:eastAsiaTheme="majorEastAsia" w:hAnsiTheme="majorEastAsia" w:hint="eastAsia"/>
          <w:b/>
          <w:color w:val="000000"/>
          <w:sz w:val="24"/>
          <w:szCs w:val="20"/>
        </w:rPr>
      </w:pPr>
      <w:r w:rsidRPr="00466E7A">
        <w:rPr>
          <w:rFonts w:asciiTheme="majorEastAsia" w:eastAsiaTheme="majorEastAsia" w:hAnsiTheme="majorEastAsia"/>
          <w:b/>
          <w:sz w:val="24"/>
        </w:rPr>
        <w:fldChar w:fldCharType="begin"/>
      </w:r>
      <w:r w:rsidRPr="00466E7A">
        <w:rPr>
          <w:rFonts w:asciiTheme="majorEastAsia" w:eastAsiaTheme="majorEastAsia" w:hAnsiTheme="majorEastAsia"/>
          <w:b/>
          <w:sz w:val="24"/>
        </w:rPr>
        <w:instrText xml:space="preserve"> HYPERLINK "http://www.nifdc.org.cn/directory/web/WS02/CL0883/9456.html" </w:instrText>
      </w:r>
      <w:r w:rsidRPr="00466E7A">
        <w:rPr>
          <w:rFonts w:asciiTheme="majorEastAsia" w:eastAsiaTheme="majorEastAsia" w:hAnsiTheme="majorEastAsia"/>
          <w:b/>
          <w:sz w:val="24"/>
        </w:rPr>
        <w:fldChar w:fldCharType="separate"/>
      </w:r>
      <w:r w:rsidRPr="00466E7A">
        <w:rPr>
          <w:rFonts w:asciiTheme="majorEastAsia" w:eastAsiaTheme="majorEastAsia" w:hAnsiTheme="majorEastAsia" w:hint="eastAsia"/>
          <w:b/>
          <w:color w:val="000000"/>
          <w:sz w:val="24"/>
          <w:szCs w:val="20"/>
        </w:rPr>
        <w:t>马来酸麦角新碱注射液品种有关物质项目检验方法</w:t>
      </w:r>
      <w:r w:rsidRPr="00466E7A">
        <w:rPr>
          <w:rFonts w:asciiTheme="majorEastAsia" w:eastAsiaTheme="majorEastAsia" w:hAnsiTheme="majorEastAsia"/>
          <w:b/>
          <w:color w:val="000000"/>
          <w:sz w:val="24"/>
          <w:szCs w:val="20"/>
        </w:rPr>
        <w:fldChar w:fldCharType="end"/>
      </w:r>
    </w:p>
    <w:bookmarkEnd w:id="0"/>
    <w:p w:rsidR="00466E7A" w:rsidRPr="00466E7A" w:rsidRDefault="00466E7A" w:rsidP="00466E7A">
      <w:pPr>
        <w:spacing w:line="360" w:lineRule="auto"/>
        <w:ind w:firstLineChars="200" w:firstLine="480"/>
        <w:rPr>
          <w:rFonts w:ascii="Times New Roman" w:eastAsia="等线" w:hAnsi="Times New Roman" w:cs="Times New Roman" w:hint="eastAsia"/>
          <w:bCs/>
          <w:sz w:val="24"/>
          <w:szCs w:val="24"/>
        </w:rPr>
      </w:pPr>
    </w:p>
    <w:p w:rsidR="00466E7A" w:rsidRPr="00466E7A" w:rsidRDefault="00466E7A" w:rsidP="00466E7A">
      <w:pPr>
        <w:spacing w:line="360" w:lineRule="auto"/>
        <w:ind w:firstLineChars="200" w:firstLine="480"/>
        <w:rPr>
          <w:rFonts w:asciiTheme="minorEastAsia" w:hAnsiTheme="minorEastAsia" w:cs="Times New Roman"/>
          <w:bCs/>
          <w:sz w:val="24"/>
          <w:szCs w:val="24"/>
        </w:rPr>
      </w:pP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照高效液相色谱法（通则0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512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）测定。避光操作。</w:t>
      </w:r>
    </w:p>
    <w:p w:rsidR="00466E7A" w:rsidRPr="00466E7A" w:rsidRDefault="00466E7A" w:rsidP="00466E7A">
      <w:pPr>
        <w:spacing w:line="360" w:lineRule="auto"/>
        <w:ind w:firstLineChars="200" w:firstLine="480"/>
        <w:rPr>
          <w:rFonts w:asciiTheme="minorEastAsia" w:hAnsiTheme="minorEastAsia" w:cs="Times New Roman"/>
          <w:bCs/>
          <w:sz w:val="24"/>
          <w:szCs w:val="24"/>
        </w:rPr>
      </w:pPr>
      <w:proofErr w:type="gramStart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供试品溶液</w:t>
      </w:r>
      <w:proofErr w:type="gramEnd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 xml:space="preserve"> 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 xml:space="preserve"> 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取本品作为</w:t>
      </w:r>
      <w:proofErr w:type="gramStart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供试品溶液</w:t>
      </w:r>
      <w:proofErr w:type="gramEnd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。</w:t>
      </w:r>
    </w:p>
    <w:p w:rsidR="00466E7A" w:rsidRPr="00466E7A" w:rsidRDefault="00466E7A" w:rsidP="00466E7A">
      <w:pPr>
        <w:spacing w:line="360" w:lineRule="auto"/>
        <w:ind w:firstLineChars="200" w:firstLine="480"/>
        <w:rPr>
          <w:rFonts w:asciiTheme="minorEastAsia" w:hAnsiTheme="minorEastAsia" w:cs="Times New Roman"/>
          <w:bCs/>
          <w:sz w:val="24"/>
          <w:szCs w:val="24"/>
        </w:rPr>
      </w:pP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 xml:space="preserve">对照品溶液 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 xml:space="preserve"> 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取马来酸麦角新碱对照品适量，精密称定，加水溶解并定量稀释制成每1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ml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中约含1μg的溶液。</w:t>
      </w:r>
    </w:p>
    <w:p w:rsidR="00466E7A" w:rsidRPr="00466E7A" w:rsidRDefault="00466E7A" w:rsidP="00466E7A">
      <w:pPr>
        <w:spacing w:line="360" w:lineRule="auto"/>
        <w:ind w:firstLineChars="200" w:firstLine="480"/>
        <w:rPr>
          <w:rFonts w:asciiTheme="minorEastAsia" w:hAnsiTheme="minorEastAsia" w:cs="Times New Roman"/>
          <w:bCs/>
          <w:sz w:val="24"/>
          <w:szCs w:val="24"/>
        </w:rPr>
      </w:pP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 xml:space="preserve">系统适用性溶液 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 xml:space="preserve"> 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取本品适量，用水稀释制成每1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ml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中约含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200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μg的溶液，充氮保护的环境下于1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 xml:space="preserve">00 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℃加热1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h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。</w:t>
      </w:r>
    </w:p>
    <w:p w:rsidR="00466E7A" w:rsidRPr="00466E7A" w:rsidRDefault="00466E7A" w:rsidP="00466E7A">
      <w:pPr>
        <w:spacing w:line="360" w:lineRule="auto"/>
        <w:ind w:firstLineChars="200" w:firstLine="480"/>
        <w:rPr>
          <w:rFonts w:asciiTheme="minorEastAsia" w:hAnsiTheme="minorEastAsia" w:cs="Times New Roman"/>
          <w:bCs/>
          <w:sz w:val="24"/>
          <w:szCs w:val="24"/>
        </w:rPr>
      </w:pP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色谱条件 用宽p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H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范围的</w:t>
      </w:r>
      <w:proofErr w:type="gramStart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的</w:t>
      </w:r>
      <w:proofErr w:type="gramEnd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十八烷基硅烷键合硅胶为填充剂（</w:t>
      </w:r>
      <w:proofErr w:type="spellStart"/>
      <w:r w:rsidRPr="00466E7A">
        <w:rPr>
          <w:rFonts w:asciiTheme="minorEastAsia" w:hAnsiTheme="minorEastAsia" w:cs="Times New Roman"/>
          <w:bCs/>
          <w:sz w:val="24"/>
          <w:szCs w:val="24"/>
        </w:rPr>
        <w:t>XBridge</w:t>
      </w:r>
      <w:proofErr w:type="spellEnd"/>
      <w:r w:rsidRPr="00466E7A">
        <w:rPr>
          <w:rFonts w:asciiTheme="minorEastAsia" w:hAnsiTheme="minorEastAsia" w:cs="Times New Roman"/>
          <w:bCs/>
          <w:sz w:val="24"/>
          <w:szCs w:val="24"/>
        </w:rPr>
        <w:t xml:space="preserve"> C18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，4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.6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×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250mm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，3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.5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μm）；以1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0mmol/L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的磷酸</w:t>
      </w:r>
      <w:proofErr w:type="gramStart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氢二钾为</w:t>
      </w:r>
      <w:proofErr w:type="gramEnd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流动相A，以乙腈为流动相B，按下表进行线性梯度洗脱；流速为1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ml/min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；</w:t>
      </w:r>
      <w:proofErr w:type="gramStart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柱温为</w:t>
      </w:r>
      <w:proofErr w:type="gramEnd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3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0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℃；检测波长为3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10nm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；</w:t>
      </w:r>
      <w:proofErr w:type="gramStart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进样量</w:t>
      </w:r>
      <w:proofErr w:type="gramEnd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2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0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μ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l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。</w:t>
      </w:r>
    </w:p>
    <w:tbl>
      <w:tblPr>
        <w:tblW w:w="5000" w:type="pct"/>
        <w:tblBorders>
          <w:top w:val="single" w:sz="8" w:space="0" w:color="000000"/>
          <w:bottom w:val="single" w:sz="8" w:space="0" w:color="000000"/>
        </w:tblBorders>
        <w:tblLook w:val="04A0" w:firstRow="1" w:lastRow="0" w:firstColumn="1" w:lastColumn="0" w:noHBand="0" w:noVBand="1"/>
      </w:tblPr>
      <w:tblGrid>
        <w:gridCol w:w="2642"/>
        <w:gridCol w:w="2952"/>
        <w:gridCol w:w="2928"/>
      </w:tblGrid>
      <w:tr w:rsidR="00466E7A" w:rsidRPr="00466E7A" w:rsidTr="001331E4">
        <w:tc>
          <w:tcPr>
            <w:tcW w:w="1550" w:type="pct"/>
            <w:tcBorders>
              <w:top w:val="single" w:sz="8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时间（分钟）</w:t>
            </w:r>
          </w:p>
        </w:tc>
        <w:tc>
          <w:tcPr>
            <w:tcW w:w="1732" w:type="pct"/>
            <w:tcBorders>
              <w:top w:val="single" w:sz="8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流动相A（%）</w:t>
            </w:r>
          </w:p>
        </w:tc>
        <w:tc>
          <w:tcPr>
            <w:tcW w:w="1718" w:type="pct"/>
            <w:tcBorders>
              <w:top w:val="single" w:sz="8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流动相B（%）</w:t>
            </w:r>
          </w:p>
        </w:tc>
      </w:tr>
      <w:tr w:rsidR="00466E7A" w:rsidRPr="00466E7A" w:rsidTr="001331E4">
        <w:tc>
          <w:tcPr>
            <w:tcW w:w="1550" w:type="pct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0</w:t>
            </w:r>
          </w:p>
        </w:tc>
        <w:tc>
          <w:tcPr>
            <w:tcW w:w="1732" w:type="pct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/>
                <w:bCs/>
                <w:sz w:val="22"/>
              </w:rPr>
              <w:t>8</w:t>
            </w:r>
          </w:p>
        </w:tc>
        <w:tc>
          <w:tcPr>
            <w:tcW w:w="1718" w:type="pct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/>
                <w:bCs/>
                <w:sz w:val="22"/>
              </w:rPr>
              <w:t>92</w:t>
            </w:r>
          </w:p>
        </w:tc>
      </w:tr>
      <w:tr w:rsidR="00466E7A" w:rsidRPr="00466E7A" w:rsidTr="001331E4">
        <w:tc>
          <w:tcPr>
            <w:tcW w:w="1550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/>
                <w:bCs/>
                <w:sz w:val="22"/>
              </w:rPr>
              <w:t>5</w:t>
            </w:r>
          </w:p>
        </w:tc>
        <w:tc>
          <w:tcPr>
            <w:tcW w:w="1732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/>
                <w:bCs/>
                <w:sz w:val="22"/>
              </w:rPr>
              <w:t>8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9</w:t>
            </w:r>
            <w:r w:rsidRPr="00466E7A">
              <w:rPr>
                <w:rFonts w:asciiTheme="minorEastAsia" w:hAnsiTheme="minorEastAsia" w:cs="Times New Roman"/>
                <w:bCs/>
                <w:sz w:val="22"/>
              </w:rPr>
              <w:t>2</w:t>
            </w:r>
          </w:p>
        </w:tc>
      </w:tr>
      <w:tr w:rsidR="00466E7A" w:rsidRPr="00466E7A" w:rsidTr="001331E4">
        <w:tc>
          <w:tcPr>
            <w:tcW w:w="1550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1</w:t>
            </w:r>
            <w:r w:rsidRPr="00466E7A">
              <w:rPr>
                <w:rFonts w:asciiTheme="minorEastAsia" w:hAnsiTheme="minorEastAsia" w:cs="Times New Roman"/>
                <w:bCs/>
                <w:sz w:val="22"/>
              </w:rPr>
              <w:t>0</w:t>
            </w:r>
          </w:p>
        </w:tc>
        <w:tc>
          <w:tcPr>
            <w:tcW w:w="1732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2</w:t>
            </w:r>
            <w:r w:rsidRPr="00466E7A">
              <w:rPr>
                <w:rFonts w:asciiTheme="minorEastAsia" w:hAnsiTheme="minorEastAsia" w:cs="Times New Roman"/>
                <w:bCs/>
                <w:sz w:val="22"/>
              </w:rPr>
              <w:t>2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7</w:t>
            </w:r>
            <w:r w:rsidRPr="00466E7A">
              <w:rPr>
                <w:rFonts w:asciiTheme="minorEastAsia" w:hAnsiTheme="minorEastAsia" w:cs="Times New Roman"/>
                <w:bCs/>
                <w:sz w:val="22"/>
              </w:rPr>
              <w:t>8</w:t>
            </w:r>
          </w:p>
        </w:tc>
      </w:tr>
      <w:tr w:rsidR="00466E7A" w:rsidRPr="00466E7A" w:rsidTr="001331E4">
        <w:tc>
          <w:tcPr>
            <w:tcW w:w="1550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1</w:t>
            </w:r>
            <w:r w:rsidRPr="00466E7A">
              <w:rPr>
                <w:rFonts w:asciiTheme="minorEastAsia" w:hAnsiTheme="minorEastAsia" w:cs="Times New Roman"/>
                <w:bCs/>
                <w:sz w:val="22"/>
              </w:rPr>
              <w:t>7</w:t>
            </w:r>
          </w:p>
        </w:tc>
        <w:tc>
          <w:tcPr>
            <w:tcW w:w="1732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2</w:t>
            </w:r>
            <w:r w:rsidRPr="00466E7A">
              <w:rPr>
                <w:rFonts w:asciiTheme="minorEastAsia" w:hAnsiTheme="minorEastAsia" w:cs="Times New Roman"/>
                <w:bCs/>
                <w:sz w:val="22"/>
              </w:rPr>
              <w:t>2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7</w:t>
            </w:r>
            <w:r w:rsidRPr="00466E7A">
              <w:rPr>
                <w:rFonts w:asciiTheme="minorEastAsia" w:hAnsiTheme="minorEastAsia" w:cs="Times New Roman"/>
                <w:bCs/>
                <w:sz w:val="22"/>
              </w:rPr>
              <w:t>8</w:t>
            </w:r>
          </w:p>
        </w:tc>
      </w:tr>
      <w:tr w:rsidR="00466E7A" w:rsidRPr="00466E7A" w:rsidTr="001331E4">
        <w:tc>
          <w:tcPr>
            <w:tcW w:w="1550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4</w:t>
            </w:r>
            <w:r w:rsidRPr="00466E7A">
              <w:rPr>
                <w:rFonts w:asciiTheme="minorEastAsia" w:hAnsiTheme="minorEastAsia" w:cs="Times New Roman"/>
                <w:bCs/>
                <w:sz w:val="22"/>
              </w:rPr>
              <w:t>0</w:t>
            </w:r>
          </w:p>
        </w:tc>
        <w:tc>
          <w:tcPr>
            <w:tcW w:w="1732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4</w:t>
            </w:r>
            <w:r w:rsidRPr="00466E7A">
              <w:rPr>
                <w:rFonts w:asciiTheme="minorEastAsia" w:hAnsiTheme="minorEastAsia" w:cs="Times New Roman"/>
                <w:bCs/>
                <w:sz w:val="22"/>
              </w:rPr>
              <w:t>0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6</w:t>
            </w:r>
            <w:r w:rsidRPr="00466E7A">
              <w:rPr>
                <w:rFonts w:asciiTheme="minorEastAsia" w:hAnsiTheme="minorEastAsia" w:cs="Times New Roman"/>
                <w:bCs/>
                <w:sz w:val="22"/>
              </w:rPr>
              <w:t>0</w:t>
            </w:r>
          </w:p>
        </w:tc>
      </w:tr>
      <w:tr w:rsidR="00466E7A" w:rsidRPr="00466E7A" w:rsidTr="001331E4">
        <w:tc>
          <w:tcPr>
            <w:tcW w:w="1550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4</w:t>
            </w:r>
            <w:r w:rsidRPr="00466E7A">
              <w:rPr>
                <w:rFonts w:asciiTheme="minorEastAsia" w:hAnsiTheme="minorEastAsia" w:cs="Times New Roman"/>
                <w:bCs/>
                <w:sz w:val="22"/>
              </w:rPr>
              <w:t>0.1</w:t>
            </w:r>
          </w:p>
        </w:tc>
        <w:tc>
          <w:tcPr>
            <w:tcW w:w="1732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8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9</w:t>
            </w:r>
            <w:r w:rsidRPr="00466E7A">
              <w:rPr>
                <w:rFonts w:asciiTheme="minorEastAsia" w:hAnsiTheme="minorEastAsia" w:cs="Times New Roman"/>
                <w:bCs/>
                <w:sz w:val="22"/>
              </w:rPr>
              <w:t>2</w:t>
            </w:r>
          </w:p>
        </w:tc>
      </w:tr>
      <w:tr w:rsidR="00466E7A" w:rsidRPr="00466E7A" w:rsidTr="001331E4">
        <w:tc>
          <w:tcPr>
            <w:tcW w:w="1550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5</w:t>
            </w:r>
            <w:r w:rsidRPr="00466E7A">
              <w:rPr>
                <w:rFonts w:asciiTheme="minorEastAsia" w:hAnsiTheme="minorEastAsia" w:cs="Times New Roman"/>
                <w:bCs/>
                <w:sz w:val="22"/>
              </w:rPr>
              <w:t>5</w:t>
            </w:r>
          </w:p>
        </w:tc>
        <w:tc>
          <w:tcPr>
            <w:tcW w:w="1732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8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466E7A" w:rsidRPr="00466E7A" w:rsidRDefault="00466E7A" w:rsidP="00466E7A">
            <w:pPr>
              <w:jc w:val="center"/>
              <w:rPr>
                <w:rFonts w:asciiTheme="minorEastAsia" w:hAnsiTheme="minorEastAsia" w:cs="Times New Roman"/>
                <w:bCs/>
                <w:sz w:val="22"/>
              </w:rPr>
            </w:pPr>
            <w:r w:rsidRPr="00466E7A">
              <w:rPr>
                <w:rFonts w:asciiTheme="minorEastAsia" w:hAnsiTheme="minorEastAsia" w:cs="Times New Roman" w:hint="eastAsia"/>
                <w:bCs/>
                <w:sz w:val="22"/>
              </w:rPr>
              <w:t>9</w:t>
            </w:r>
            <w:r w:rsidRPr="00466E7A">
              <w:rPr>
                <w:rFonts w:asciiTheme="minorEastAsia" w:hAnsiTheme="minorEastAsia" w:cs="Times New Roman"/>
                <w:bCs/>
                <w:sz w:val="22"/>
              </w:rPr>
              <w:t>2</w:t>
            </w:r>
          </w:p>
        </w:tc>
      </w:tr>
    </w:tbl>
    <w:p w:rsidR="00466E7A" w:rsidRPr="00466E7A" w:rsidRDefault="00466E7A" w:rsidP="00466E7A">
      <w:pPr>
        <w:spacing w:line="360" w:lineRule="auto"/>
        <w:ind w:firstLineChars="200" w:firstLine="480"/>
        <w:rPr>
          <w:rFonts w:asciiTheme="minorEastAsia" w:hAnsiTheme="minorEastAsia" w:cs="Times New Roman"/>
          <w:bCs/>
          <w:sz w:val="24"/>
          <w:szCs w:val="24"/>
        </w:rPr>
      </w:pP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 xml:space="preserve">系统适用性要求 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 xml:space="preserve"> 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系统适用性溶液色谱图中，麦角酸、异麦角酸、麦角新碱和麦角</w:t>
      </w:r>
      <w:proofErr w:type="gramStart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异新碱先后</w:t>
      </w:r>
      <w:proofErr w:type="gramEnd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出峰，麦角酸和</w:t>
      </w:r>
      <w:proofErr w:type="gramStart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异麦角</w:t>
      </w:r>
      <w:proofErr w:type="gramEnd"/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酸的分离度应大于1</w:t>
      </w:r>
      <w:r w:rsidRPr="00466E7A">
        <w:rPr>
          <w:rFonts w:asciiTheme="minorEastAsia" w:hAnsiTheme="minorEastAsia" w:cs="Times New Roman"/>
          <w:bCs/>
          <w:sz w:val="24"/>
          <w:szCs w:val="24"/>
        </w:rPr>
        <w:t>5</w:t>
      </w: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。</w:t>
      </w:r>
    </w:p>
    <w:p w:rsidR="00466E7A" w:rsidRPr="00466E7A" w:rsidRDefault="00466E7A" w:rsidP="00466E7A">
      <w:pPr>
        <w:spacing w:line="360" w:lineRule="auto"/>
        <w:rPr>
          <w:rFonts w:asciiTheme="minorEastAsia" w:hAnsiTheme="minorEastAsia" w:cs="Times New Roman"/>
          <w:bCs/>
          <w:sz w:val="24"/>
          <w:szCs w:val="24"/>
        </w:rPr>
      </w:pPr>
      <w:r w:rsidRPr="00466E7A">
        <w:rPr>
          <w:rFonts w:asciiTheme="minorEastAsia" w:hAnsiTheme="minorEastAsia" w:cs="Times New Roman" w:hint="eastAsia"/>
          <w:bCs/>
          <w:sz w:val="24"/>
          <w:szCs w:val="24"/>
        </w:rPr>
        <w:t>系统适用性图谱</w:t>
      </w:r>
    </w:p>
    <w:p w:rsidR="00466E7A" w:rsidRPr="00466E7A" w:rsidRDefault="00466E7A" w:rsidP="00466E7A">
      <w:pPr>
        <w:spacing w:line="360" w:lineRule="auto"/>
        <w:rPr>
          <w:rFonts w:asciiTheme="minorEastAsia" w:hAnsiTheme="minorEastAsia" w:cs="Times New Roman"/>
          <w:sz w:val="22"/>
        </w:rPr>
      </w:pPr>
      <w:r w:rsidRPr="00466E7A">
        <w:rPr>
          <w:rFonts w:asciiTheme="minorEastAsia" w:hAnsiTheme="minorEastAsia" w:cs="Times New Roman"/>
          <w:noProof/>
        </w:rPr>
        <w:drawing>
          <wp:inline distT="0" distB="0" distL="0" distR="0" wp14:anchorId="3FC9417E" wp14:editId="26E25DDC">
            <wp:extent cx="5274310" cy="187579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7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5F8" w:rsidRPr="00466E7A" w:rsidRDefault="000215F8">
      <w:pPr>
        <w:rPr>
          <w:rFonts w:asciiTheme="minorEastAsia" w:hAnsiTheme="minorEastAsia"/>
        </w:rPr>
      </w:pPr>
    </w:p>
    <w:sectPr w:rsidR="000215F8" w:rsidRPr="00466E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E38" w:rsidRDefault="00311E38" w:rsidP="00466E7A">
      <w:r>
        <w:separator/>
      </w:r>
    </w:p>
  </w:endnote>
  <w:endnote w:type="continuationSeparator" w:id="0">
    <w:p w:rsidR="00311E38" w:rsidRDefault="00311E38" w:rsidP="0046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E38" w:rsidRDefault="00311E38" w:rsidP="00466E7A">
      <w:r>
        <w:separator/>
      </w:r>
    </w:p>
  </w:footnote>
  <w:footnote w:type="continuationSeparator" w:id="0">
    <w:p w:rsidR="00311E38" w:rsidRDefault="00311E38" w:rsidP="00466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B1E4A"/>
    <w:multiLevelType w:val="hybridMultilevel"/>
    <w:tmpl w:val="6BCCEA6A"/>
    <w:lvl w:ilvl="0" w:tplc="3B9C4D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A5E"/>
    <w:rsid w:val="000215F8"/>
    <w:rsid w:val="000B3422"/>
    <w:rsid w:val="00105599"/>
    <w:rsid w:val="00311E38"/>
    <w:rsid w:val="00466E7A"/>
    <w:rsid w:val="00CF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6E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6E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6E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6E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6E7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6E7A"/>
    <w:rPr>
      <w:sz w:val="18"/>
      <w:szCs w:val="18"/>
    </w:rPr>
  </w:style>
  <w:style w:type="paragraph" w:styleId="a6">
    <w:name w:val="List Paragraph"/>
    <w:basedOn w:val="a"/>
    <w:uiPriority w:val="34"/>
    <w:qFormat/>
    <w:rsid w:val="00466E7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6E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6E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6E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6E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6E7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6E7A"/>
    <w:rPr>
      <w:sz w:val="18"/>
      <w:szCs w:val="18"/>
    </w:rPr>
  </w:style>
  <w:style w:type="paragraph" w:styleId="a6">
    <w:name w:val="List Paragraph"/>
    <w:basedOn w:val="a"/>
    <w:uiPriority w:val="34"/>
    <w:qFormat/>
    <w:rsid w:val="00466E7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>P R C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2022-11-21T08:03:00Z</dcterms:created>
  <dcterms:modified xsi:type="dcterms:W3CDTF">2022-11-21T08:03:00Z</dcterms:modified>
</cp:coreProperties>
</file>