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1B52" w:rsidRDefault="00F41B52" w:rsidP="00F41B52">
      <w:pPr>
        <w:jc w:val="center"/>
        <w:rPr>
          <w:rFonts w:ascii="Times New Roman" w:hAnsi="Times New Roman" w:hint="eastAsia"/>
          <w:b/>
          <w:bCs/>
          <w:sz w:val="24"/>
          <w:szCs w:val="32"/>
        </w:rPr>
      </w:pPr>
      <w:bookmarkStart w:id="0" w:name="_GoBack"/>
      <w:r>
        <w:rPr>
          <w:rFonts w:ascii="Times New Roman" w:hAnsi="Times New Roman" w:hint="eastAsia"/>
          <w:b/>
          <w:bCs/>
          <w:sz w:val="24"/>
          <w:szCs w:val="32"/>
        </w:rPr>
        <w:t>酒石酸托特罗定片有关物质检查方法</w:t>
      </w:r>
    </w:p>
    <w:bookmarkEnd w:id="0"/>
    <w:p w:rsidR="00F41B52" w:rsidRDefault="00F41B52" w:rsidP="00F41B52">
      <w:pPr>
        <w:spacing w:line="360" w:lineRule="auto"/>
        <w:ind w:firstLine="422"/>
        <w:rPr>
          <w:rFonts w:ascii="宋体" w:hAnsi="宋体" w:hint="eastAsia"/>
          <w:color w:val="000000"/>
          <w:sz w:val="24"/>
        </w:rPr>
      </w:pPr>
    </w:p>
    <w:p w:rsidR="00F41B52" w:rsidRDefault="00F41B52" w:rsidP="00F41B52">
      <w:pPr>
        <w:spacing w:line="360" w:lineRule="auto"/>
        <w:ind w:firstLine="422"/>
        <w:rPr>
          <w:rFonts w:ascii="Times New Roman" w:hAnsi="Times New Roman"/>
          <w:color w:val="000000"/>
          <w:sz w:val="24"/>
        </w:rPr>
      </w:pPr>
      <w:r>
        <w:rPr>
          <w:rFonts w:ascii="宋体" w:hAnsi="宋体" w:hint="eastAsia"/>
          <w:b/>
          <w:bCs/>
          <w:color w:val="000000"/>
          <w:sz w:val="24"/>
        </w:rPr>
        <w:t>有关物质</w:t>
      </w:r>
      <w:r>
        <w:rPr>
          <w:rFonts w:ascii="宋体" w:hAnsi="宋体" w:hint="eastAsia"/>
          <w:color w:val="000000"/>
          <w:sz w:val="24"/>
        </w:rPr>
        <w:t xml:space="preserve"> </w:t>
      </w:r>
      <w:r>
        <w:rPr>
          <w:rFonts w:ascii="宋体" w:hAnsi="宋体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取本品</w:t>
      </w:r>
      <w:r>
        <w:rPr>
          <w:rFonts w:ascii="Times New Roman" w:hAnsi="Times New Roman"/>
          <w:color w:val="000000"/>
          <w:sz w:val="24"/>
        </w:rPr>
        <w:t>5</w:t>
      </w:r>
      <w:r>
        <w:rPr>
          <w:rFonts w:ascii="Times New Roman" w:hAnsi="Times New Roman"/>
          <w:color w:val="000000"/>
          <w:sz w:val="24"/>
        </w:rPr>
        <w:t>片，置</w:t>
      </w:r>
      <w:r>
        <w:rPr>
          <w:rFonts w:ascii="Times New Roman" w:hAnsi="Times New Roman"/>
          <w:color w:val="000000"/>
          <w:sz w:val="24"/>
        </w:rPr>
        <w:t>20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r>
        <w:rPr>
          <w:rFonts w:ascii="Times New Roman" w:hAnsi="Times New Roman"/>
          <w:color w:val="000000"/>
          <w:sz w:val="24"/>
        </w:rPr>
        <w:t>ml</w:t>
      </w:r>
      <w:r>
        <w:rPr>
          <w:rFonts w:ascii="Times New Roman" w:hAnsi="Times New Roman"/>
          <w:color w:val="000000"/>
          <w:sz w:val="24"/>
        </w:rPr>
        <w:t>量瓶中，用乙腈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水（</w:t>
      </w:r>
      <w:r>
        <w:rPr>
          <w:rFonts w:ascii="Times New Roman" w:hAnsi="Times New Roman"/>
          <w:color w:val="000000"/>
          <w:sz w:val="24"/>
        </w:rPr>
        <w:t>1:1</w:t>
      </w:r>
      <w:r>
        <w:rPr>
          <w:rFonts w:ascii="Times New Roman" w:hAnsi="Times New Roman"/>
          <w:color w:val="000000"/>
          <w:sz w:val="24"/>
        </w:rPr>
        <w:t>）适量，超声使溶解后，定容，摇匀，过滤，</w:t>
      </w:r>
      <w:proofErr w:type="gramStart"/>
      <w:r>
        <w:rPr>
          <w:rFonts w:ascii="Times New Roman" w:hAnsi="Times New Roman"/>
          <w:color w:val="000000"/>
          <w:sz w:val="24"/>
        </w:rPr>
        <w:t>取续滤液</w:t>
      </w:r>
      <w:proofErr w:type="gramEnd"/>
      <w:r>
        <w:rPr>
          <w:rFonts w:ascii="Times New Roman" w:hAnsi="Times New Roman"/>
          <w:color w:val="000000"/>
          <w:sz w:val="24"/>
        </w:rPr>
        <w:t>作为</w:t>
      </w:r>
      <w:proofErr w:type="gramStart"/>
      <w:r>
        <w:rPr>
          <w:rFonts w:ascii="Times New Roman" w:hAnsi="Times New Roman"/>
          <w:color w:val="000000"/>
          <w:sz w:val="24"/>
        </w:rPr>
        <w:t>供试品溶液</w:t>
      </w:r>
      <w:proofErr w:type="gramEnd"/>
      <w:r>
        <w:rPr>
          <w:rFonts w:ascii="Times New Roman" w:hAnsi="Times New Roman"/>
          <w:color w:val="000000"/>
          <w:sz w:val="24"/>
        </w:rPr>
        <w:t>；取酒石酸托特罗定对照品适量，用乙腈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水（</w:t>
      </w:r>
      <w:r>
        <w:rPr>
          <w:rFonts w:ascii="Times New Roman" w:hAnsi="Times New Roman"/>
          <w:color w:val="000000"/>
          <w:sz w:val="24"/>
        </w:rPr>
        <w:t>1:1</w:t>
      </w:r>
      <w:r>
        <w:rPr>
          <w:rFonts w:ascii="Times New Roman" w:hAnsi="Times New Roman"/>
          <w:color w:val="000000"/>
          <w:sz w:val="24"/>
        </w:rPr>
        <w:t>）稀释制成每</w:t>
      </w:r>
      <w:r>
        <w:rPr>
          <w:rFonts w:ascii="Times New Roman" w:hAnsi="Times New Roman"/>
          <w:color w:val="000000"/>
          <w:sz w:val="24"/>
        </w:rPr>
        <w:t>1 ml</w:t>
      </w:r>
      <w:r>
        <w:rPr>
          <w:rFonts w:ascii="Times New Roman" w:hAnsi="Times New Roman"/>
          <w:color w:val="000000"/>
          <w:sz w:val="24"/>
        </w:rPr>
        <w:t>中含有</w:t>
      </w:r>
      <w:r>
        <w:rPr>
          <w:rFonts w:ascii="Times New Roman" w:hAnsi="Times New Roman"/>
          <w:color w:val="000000"/>
          <w:sz w:val="24"/>
        </w:rPr>
        <w:t>2.5</w:t>
      </w:r>
      <w:r>
        <w:rPr>
          <w:rFonts w:ascii="Times New Roman" w:hAnsi="Times New Roman" w:hint="eastAsia"/>
          <w:color w:val="000000"/>
          <w:sz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</w:rPr>
        <w:t>μg</w:t>
      </w:r>
      <w:proofErr w:type="spellEnd"/>
      <w:r>
        <w:rPr>
          <w:rFonts w:ascii="Times New Roman" w:hAnsi="Times New Roman"/>
          <w:color w:val="000000"/>
          <w:sz w:val="24"/>
        </w:rPr>
        <w:t>的溶液，作为对照品溶液；取对照品溶液适量，用乙腈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水（</w:t>
      </w:r>
      <w:r>
        <w:rPr>
          <w:rFonts w:ascii="Times New Roman" w:hAnsi="Times New Roman"/>
          <w:color w:val="000000"/>
          <w:sz w:val="24"/>
        </w:rPr>
        <w:t>1:1</w:t>
      </w:r>
      <w:r>
        <w:rPr>
          <w:rFonts w:ascii="Times New Roman" w:hAnsi="Times New Roman"/>
          <w:color w:val="000000"/>
          <w:sz w:val="24"/>
        </w:rPr>
        <w:t>）稀释制成每</w:t>
      </w:r>
      <w:r>
        <w:rPr>
          <w:rFonts w:ascii="Times New Roman" w:hAnsi="Times New Roman"/>
          <w:color w:val="000000"/>
          <w:sz w:val="24"/>
        </w:rPr>
        <w:t>1 ml</w:t>
      </w:r>
      <w:r>
        <w:rPr>
          <w:rFonts w:ascii="Times New Roman" w:hAnsi="Times New Roman"/>
          <w:color w:val="000000"/>
          <w:sz w:val="24"/>
        </w:rPr>
        <w:t>中含有</w:t>
      </w:r>
      <w:r>
        <w:rPr>
          <w:rFonts w:ascii="Times New Roman" w:hAnsi="Times New Roman"/>
          <w:color w:val="000000"/>
          <w:sz w:val="24"/>
        </w:rPr>
        <w:t xml:space="preserve">0.25 </w:t>
      </w:r>
      <w:proofErr w:type="spellStart"/>
      <w:r>
        <w:rPr>
          <w:rFonts w:ascii="Times New Roman" w:hAnsi="Times New Roman"/>
          <w:color w:val="000000"/>
          <w:sz w:val="24"/>
        </w:rPr>
        <w:t>μg</w:t>
      </w:r>
      <w:proofErr w:type="spellEnd"/>
      <w:r>
        <w:rPr>
          <w:rFonts w:ascii="Times New Roman" w:hAnsi="Times New Roman"/>
          <w:color w:val="000000"/>
          <w:sz w:val="24"/>
        </w:rPr>
        <w:t>的溶液，作为灵敏度溶液；取系统适用性混合对照品适量，加乙腈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水（</w:t>
      </w:r>
      <w:r>
        <w:rPr>
          <w:rFonts w:ascii="Times New Roman" w:hAnsi="Times New Roman"/>
          <w:color w:val="000000"/>
          <w:sz w:val="24"/>
        </w:rPr>
        <w:t>1:1</w:t>
      </w:r>
      <w:r>
        <w:rPr>
          <w:rFonts w:ascii="Times New Roman" w:hAnsi="Times New Roman"/>
          <w:color w:val="000000"/>
          <w:sz w:val="24"/>
        </w:rPr>
        <w:t>）溶解并稀释制成每</w:t>
      </w:r>
      <w:r>
        <w:rPr>
          <w:rFonts w:ascii="Times New Roman" w:hAnsi="Times New Roman"/>
          <w:color w:val="000000"/>
          <w:sz w:val="24"/>
        </w:rPr>
        <w:t>1 ml</w:t>
      </w:r>
      <w:r>
        <w:rPr>
          <w:rFonts w:ascii="Times New Roman" w:hAnsi="Times New Roman"/>
          <w:color w:val="000000"/>
          <w:sz w:val="24"/>
        </w:rPr>
        <w:t>中约含酒石酸托特罗定</w:t>
      </w:r>
      <w:r>
        <w:rPr>
          <w:rFonts w:ascii="Times New Roman" w:hAnsi="Times New Roman"/>
          <w:color w:val="000000"/>
          <w:sz w:val="24"/>
        </w:rPr>
        <w:t>0.5 mg</w:t>
      </w:r>
      <w:r>
        <w:rPr>
          <w:rFonts w:ascii="Times New Roman" w:hAnsi="Times New Roman"/>
          <w:color w:val="000000"/>
          <w:sz w:val="24"/>
        </w:rPr>
        <w:t>的溶液，作为系统适用性溶液。照高效液相色谱法（中国药典</w:t>
      </w:r>
      <w:r>
        <w:rPr>
          <w:rFonts w:ascii="Times New Roman" w:hAnsi="Times New Roman"/>
          <w:color w:val="000000"/>
          <w:sz w:val="24"/>
        </w:rPr>
        <w:t>2020</w:t>
      </w:r>
      <w:r>
        <w:rPr>
          <w:rFonts w:ascii="Times New Roman" w:hAnsi="Times New Roman"/>
          <w:color w:val="000000"/>
          <w:sz w:val="24"/>
        </w:rPr>
        <w:t>年版四部通则</w:t>
      </w:r>
      <w:r>
        <w:rPr>
          <w:rFonts w:ascii="Times New Roman" w:hAnsi="Times New Roman"/>
          <w:color w:val="000000"/>
          <w:sz w:val="24"/>
        </w:rPr>
        <w:t>0512</w:t>
      </w:r>
      <w:r>
        <w:rPr>
          <w:rFonts w:ascii="Times New Roman" w:hAnsi="Times New Roman"/>
          <w:color w:val="000000"/>
          <w:sz w:val="24"/>
        </w:rPr>
        <w:t>）测定，用十八烷基硅烷键合硅胶为填充剂（</w:t>
      </w:r>
      <w:r>
        <w:rPr>
          <w:rFonts w:ascii="Times New Roman" w:hAnsi="Times New Roman"/>
          <w:color w:val="000000"/>
          <w:sz w:val="24"/>
        </w:rPr>
        <w:t>4.6 mm×250 mm</w:t>
      </w:r>
      <w:r>
        <w:rPr>
          <w:rFonts w:ascii="Times New Roman" w:hAnsi="Times New Roman"/>
          <w:color w:val="000000"/>
          <w:sz w:val="24"/>
        </w:rPr>
        <w:t>，</w:t>
      </w:r>
      <w:r>
        <w:rPr>
          <w:rFonts w:ascii="Times New Roman" w:hAnsi="Times New Roman"/>
          <w:color w:val="000000"/>
          <w:sz w:val="24"/>
        </w:rPr>
        <w:t xml:space="preserve">5 </w:t>
      </w:r>
      <w:proofErr w:type="spellStart"/>
      <w:r>
        <w:rPr>
          <w:rFonts w:ascii="Times New Roman" w:hAnsi="Times New Roman"/>
          <w:color w:val="000000"/>
          <w:sz w:val="24"/>
        </w:rPr>
        <w:t>μm</w:t>
      </w:r>
      <w:proofErr w:type="spellEnd"/>
      <w:r>
        <w:rPr>
          <w:rFonts w:ascii="Times New Roman" w:hAnsi="Times New Roman"/>
          <w:color w:val="000000"/>
          <w:sz w:val="24"/>
        </w:rPr>
        <w:t>）；以乙腈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水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高氯酸（</w:t>
      </w:r>
      <w:r>
        <w:rPr>
          <w:rFonts w:ascii="Times New Roman" w:hAnsi="Times New Roman"/>
          <w:color w:val="000000"/>
          <w:sz w:val="24"/>
        </w:rPr>
        <w:t>100:900:1.5</w:t>
      </w:r>
      <w:r>
        <w:rPr>
          <w:rFonts w:ascii="Times New Roman" w:hAnsi="Times New Roman"/>
          <w:color w:val="000000"/>
          <w:sz w:val="24"/>
        </w:rPr>
        <w:t>）为流动相</w:t>
      </w:r>
      <w:r>
        <w:rPr>
          <w:rFonts w:ascii="Times New Roman" w:hAnsi="Times New Roman"/>
          <w:color w:val="000000"/>
          <w:sz w:val="24"/>
        </w:rPr>
        <w:t>A</w:t>
      </w:r>
      <w:r>
        <w:rPr>
          <w:rFonts w:ascii="Times New Roman" w:hAnsi="Times New Roman"/>
          <w:color w:val="000000"/>
          <w:sz w:val="24"/>
        </w:rPr>
        <w:t>，以乙腈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水</w:t>
      </w:r>
      <w:r>
        <w:rPr>
          <w:rFonts w:ascii="Times New Roman" w:hAnsi="Times New Roman"/>
          <w:color w:val="000000"/>
          <w:sz w:val="24"/>
        </w:rPr>
        <w:t>-</w:t>
      </w:r>
      <w:r>
        <w:rPr>
          <w:rFonts w:ascii="Times New Roman" w:hAnsi="Times New Roman"/>
          <w:color w:val="000000"/>
          <w:sz w:val="24"/>
        </w:rPr>
        <w:t>高氯酸（</w:t>
      </w:r>
      <w:r>
        <w:rPr>
          <w:rFonts w:ascii="Times New Roman" w:hAnsi="Times New Roman"/>
          <w:color w:val="000000"/>
          <w:sz w:val="24"/>
        </w:rPr>
        <w:t>500:500:1.5</w:t>
      </w:r>
      <w:r>
        <w:rPr>
          <w:rFonts w:ascii="Times New Roman" w:hAnsi="Times New Roman"/>
          <w:color w:val="000000"/>
          <w:sz w:val="24"/>
        </w:rPr>
        <w:t>）为流动相</w:t>
      </w:r>
      <w:r>
        <w:rPr>
          <w:rFonts w:ascii="Times New Roman" w:hAnsi="Times New Roman"/>
          <w:color w:val="000000"/>
          <w:sz w:val="24"/>
        </w:rPr>
        <w:t>B</w:t>
      </w:r>
      <w:r>
        <w:rPr>
          <w:rFonts w:ascii="Times New Roman" w:hAnsi="Times New Roman"/>
          <w:color w:val="000000"/>
          <w:sz w:val="24"/>
        </w:rPr>
        <w:t>，乙腈为流动相</w:t>
      </w:r>
      <w:r>
        <w:rPr>
          <w:rFonts w:ascii="Times New Roman" w:hAnsi="Times New Roman"/>
          <w:color w:val="000000"/>
          <w:sz w:val="24"/>
        </w:rPr>
        <w:t>C</w:t>
      </w:r>
      <w:r>
        <w:rPr>
          <w:rFonts w:ascii="Times New Roman" w:hAnsi="Times New Roman"/>
          <w:color w:val="000000"/>
          <w:sz w:val="24"/>
        </w:rPr>
        <w:t>；流速为每分钟</w:t>
      </w:r>
      <w:r>
        <w:rPr>
          <w:rFonts w:ascii="Times New Roman" w:hAnsi="Times New Roman"/>
          <w:color w:val="000000"/>
          <w:sz w:val="24"/>
        </w:rPr>
        <w:t>1.0 ml</w:t>
      </w:r>
      <w:r>
        <w:rPr>
          <w:rFonts w:ascii="Times New Roman" w:hAnsi="Times New Roman"/>
          <w:color w:val="000000"/>
          <w:sz w:val="24"/>
        </w:rPr>
        <w:t>，按下表进行梯度洗脱；</w:t>
      </w:r>
      <w:proofErr w:type="gramStart"/>
      <w:r>
        <w:rPr>
          <w:rFonts w:ascii="Times New Roman" w:hAnsi="Times New Roman"/>
          <w:color w:val="000000"/>
          <w:sz w:val="24"/>
        </w:rPr>
        <w:t>柱温为</w:t>
      </w:r>
      <w:proofErr w:type="gramEnd"/>
      <w:r>
        <w:rPr>
          <w:rFonts w:ascii="Times New Roman" w:hAnsi="Times New Roman"/>
          <w:color w:val="000000"/>
          <w:sz w:val="24"/>
        </w:rPr>
        <w:t>65℃</w:t>
      </w:r>
      <w:r>
        <w:rPr>
          <w:rFonts w:ascii="Times New Roman" w:hAnsi="Times New Roman"/>
          <w:color w:val="000000"/>
          <w:sz w:val="24"/>
        </w:rPr>
        <w:t>；检测波长为</w:t>
      </w:r>
      <w:r>
        <w:rPr>
          <w:rFonts w:ascii="Times New Roman" w:hAnsi="Times New Roman"/>
          <w:color w:val="000000"/>
          <w:sz w:val="24"/>
        </w:rPr>
        <w:t>220 nm</w:t>
      </w:r>
      <w:r>
        <w:rPr>
          <w:rFonts w:ascii="Times New Roman" w:hAnsi="Times New Roman"/>
          <w:color w:val="000000"/>
          <w:sz w:val="24"/>
        </w:rPr>
        <w:t>。</w:t>
      </w:r>
    </w:p>
    <w:tbl>
      <w:tblPr>
        <w:tblStyle w:val="a5"/>
        <w:tblW w:w="0" w:type="auto"/>
        <w:tblInd w:w="0" w:type="dxa"/>
        <w:tblLook w:val="0000" w:firstRow="0" w:lastRow="0" w:firstColumn="0" w:lastColumn="0" w:noHBand="0" w:noVBand="0"/>
      </w:tblPr>
      <w:tblGrid>
        <w:gridCol w:w="2129"/>
        <w:gridCol w:w="2130"/>
        <w:gridCol w:w="2130"/>
        <w:gridCol w:w="2130"/>
      </w:tblGrid>
      <w:tr w:rsidR="00F41B52" w:rsidTr="001331E4">
        <w:tc>
          <w:tcPr>
            <w:tcW w:w="2129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bookmarkStart w:id="1" w:name="OLE_LINK2"/>
            <w:r>
              <w:rPr>
                <w:rFonts w:ascii="Times New Roman" w:hAnsi="Times New Roman"/>
                <w:color w:val="000000"/>
                <w:sz w:val="24"/>
              </w:rPr>
              <w:t>时间（分钟）</w:t>
            </w:r>
          </w:p>
        </w:tc>
        <w:tc>
          <w:tcPr>
            <w:tcW w:w="2130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流动相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>
              <w:rPr>
                <w:rFonts w:ascii="Times New Roman" w:hAnsi="Times New Roman"/>
                <w:color w:val="000000"/>
                <w:sz w:val="24"/>
              </w:rPr>
              <w:t>（</w:t>
            </w:r>
            <w:r>
              <w:rPr>
                <w:rFonts w:ascii="Times New Roman" w:hAnsi="Times New Roman"/>
                <w:color w:val="000000"/>
                <w:sz w:val="24"/>
              </w:rPr>
              <w:t>%</w:t>
            </w:r>
            <w:r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2130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流动相</w:t>
            </w:r>
            <w:r>
              <w:rPr>
                <w:rFonts w:ascii="Times New Roman" w:hAnsi="Times New Roman"/>
                <w:color w:val="000000"/>
                <w:sz w:val="24"/>
              </w:rPr>
              <w:t>B</w:t>
            </w:r>
            <w:r>
              <w:rPr>
                <w:rFonts w:ascii="Times New Roman" w:hAnsi="Times New Roman"/>
                <w:color w:val="000000"/>
                <w:sz w:val="24"/>
              </w:rPr>
              <w:t>（</w:t>
            </w:r>
            <w:r>
              <w:rPr>
                <w:rFonts w:ascii="Times New Roman" w:hAnsi="Times New Roman"/>
                <w:color w:val="000000"/>
                <w:sz w:val="24"/>
              </w:rPr>
              <w:t>%</w:t>
            </w:r>
            <w:r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  <w:tc>
          <w:tcPr>
            <w:tcW w:w="2130" w:type="dxa"/>
            <w:tcBorders>
              <w:top w:val="single" w:sz="12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流动相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>
              <w:rPr>
                <w:rFonts w:ascii="Times New Roman" w:hAnsi="Times New Roman"/>
                <w:color w:val="000000"/>
                <w:sz w:val="24"/>
              </w:rPr>
              <w:t>（</w:t>
            </w:r>
            <w:r>
              <w:rPr>
                <w:rFonts w:ascii="Times New Roman" w:hAnsi="Times New Roman"/>
                <w:color w:val="000000"/>
                <w:sz w:val="24"/>
              </w:rPr>
              <w:t>%</w:t>
            </w:r>
            <w:r>
              <w:rPr>
                <w:rFonts w:ascii="Times New Roman" w:hAnsi="Times New Roman"/>
                <w:color w:val="000000"/>
                <w:sz w:val="24"/>
              </w:rPr>
              <w:t>）</w:t>
            </w:r>
          </w:p>
        </w:tc>
      </w:tr>
      <w:tr w:rsidR="00F41B52" w:rsidTr="001331E4">
        <w:tc>
          <w:tcPr>
            <w:tcW w:w="2129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1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1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30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</w:tr>
      <w:tr w:rsidR="00F41B52" w:rsidTr="001331E4"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</w:tr>
      <w:tr w:rsidR="00F41B52" w:rsidTr="001331E4"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</w:tr>
      <w:tr w:rsidR="00F41B52" w:rsidTr="001331E4">
        <w:tc>
          <w:tcPr>
            <w:tcW w:w="2129" w:type="dxa"/>
            <w:tcBorders>
              <w:top w:val="nil"/>
              <w:left w:val="nil"/>
              <w:bottom w:val="nil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130" w:type="dxa"/>
            <w:tcBorders>
              <w:top w:val="nil"/>
              <w:left w:val="nil"/>
              <w:bottom w:val="nil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</w:tr>
      <w:tr w:rsidR="00F41B52" w:rsidTr="001331E4">
        <w:tc>
          <w:tcPr>
            <w:tcW w:w="212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21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F41B52" w:rsidRDefault="00F41B52" w:rsidP="001331E4">
            <w:pPr>
              <w:spacing w:line="36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</w:tr>
    </w:tbl>
    <w:bookmarkEnd w:id="1"/>
    <w:p w:rsidR="00F41B52" w:rsidRDefault="00F41B52" w:rsidP="00F41B52">
      <w:pPr>
        <w:spacing w:line="360" w:lineRule="auto"/>
        <w:ind w:firstLineChars="200" w:firstLine="480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精密量取系统适用性溶液</w:t>
      </w:r>
      <w:r>
        <w:rPr>
          <w:rFonts w:ascii="Times New Roman" w:hAnsi="Times New Roman"/>
          <w:color w:val="000000"/>
          <w:sz w:val="24"/>
        </w:rPr>
        <w:t xml:space="preserve">20 </w:t>
      </w:r>
      <w:proofErr w:type="spellStart"/>
      <w:r>
        <w:rPr>
          <w:rFonts w:ascii="Times New Roman" w:hAnsi="Times New Roman"/>
          <w:color w:val="000000"/>
          <w:sz w:val="24"/>
        </w:rPr>
        <w:t>μl</w:t>
      </w:r>
      <w:proofErr w:type="spellEnd"/>
      <w:r>
        <w:rPr>
          <w:rFonts w:ascii="Times New Roman" w:hAnsi="Times New Roman"/>
          <w:color w:val="000000"/>
          <w:sz w:val="24"/>
        </w:rPr>
        <w:t>，注入液相色谱仪，记录色谱图，杂质</w:t>
      </w:r>
      <w:r>
        <w:rPr>
          <w:rFonts w:ascii="Times New Roman" w:hAnsi="Times New Roman"/>
          <w:color w:val="000000"/>
          <w:sz w:val="24"/>
        </w:rPr>
        <w:t>3</w:t>
      </w:r>
      <w:r>
        <w:rPr>
          <w:rFonts w:ascii="Times New Roman" w:hAnsi="Times New Roman"/>
          <w:color w:val="000000"/>
          <w:sz w:val="24"/>
        </w:rPr>
        <w:t>和酒石酸托特罗定之间的分离度不得小于</w:t>
      </w:r>
      <w:r>
        <w:rPr>
          <w:rFonts w:ascii="Times New Roman" w:hAnsi="Times New Roman" w:hint="eastAsia"/>
          <w:color w:val="000000"/>
          <w:sz w:val="24"/>
        </w:rPr>
        <w:t>4</w:t>
      </w:r>
      <w:r>
        <w:rPr>
          <w:rFonts w:ascii="Times New Roman" w:hAnsi="Times New Roman"/>
          <w:color w:val="000000"/>
          <w:sz w:val="24"/>
        </w:rPr>
        <w:t>.0</w:t>
      </w:r>
      <w:r>
        <w:rPr>
          <w:rFonts w:ascii="Times New Roman" w:hAnsi="Times New Roman"/>
          <w:color w:val="000000"/>
          <w:sz w:val="24"/>
        </w:rPr>
        <w:t>。精密量取灵敏度溶液</w:t>
      </w:r>
      <w:r>
        <w:rPr>
          <w:rFonts w:ascii="Times New Roman" w:hAnsi="Times New Roman"/>
          <w:color w:val="000000"/>
          <w:sz w:val="24"/>
        </w:rPr>
        <w:t xml:space="preserve">20 </w:t>
      </w:r>
      <w:proofErr w:type="spellStart"/>
      <w:r>
        <w:rPr>
          <w:rFonts w:ascii="Times New Roman" w:hAnsi="Times New Roman"/>
          <w:color w:val="000000"/>
          <w:sz w:val="24"/>
        </w:rPr>
        <w:t>μl</w:t>
      </w:r>
      <w:proofErr w:type="spellEnd"/>
      <w:r>
        <w:rPr>
          <w:rFonts w:ascii="Times New Roman" w:hAnsi="Times New Roman"/>
          <w:color w:val="000000"/>
          <w:sz w:val="24"/>
        </w:rPr>
        <w:t>，注入液相色谱仪，记录色谱图，主成分峰高的信噪比应大于</w:t>
      </w:r>
      <w:r>
        <w:rPr>
          <w:rFonts w:ascii="Times New Roman" w:hAnsi="Times New Roman"/>
          <w:color w:val="000000"/>
          <w:sz w:val="24"/>
        </w:rPr>
        <w:t>10</w:t>
      </w:r>
      <w:r>
        <w:rPr>
          <w:rFonts w:ascii="Times New Roman" w:hAnsi="Times New Roman"/>
          <w:color w:val="000000"/>
          <w:sz w:val="24"/>
        </w:rPr>
        <w:t>。精密量取对照品溶液和</w:t>
      </w:r>
      <w:proofErr w:type="gramStart"/>
      <w:r>
        <w:rPr>
          <w:rFonts w:ascii="Times New Roman" w:hAnsi="Times New Roman"/>
          <w:color w:val="000000"/>
          <w:sz w:val="24"/>
        </w:rPr>
        <w:t>供试品溶液</w:t>
      </w:r>
      <w:proofErr w:type="gramEnd"/>
      <w:r>
        <w:rPr>
          <w:rFonts w:ascii="Times New Roman" w:hAnsi="Times New Roman"/>
          <w:color w:val="000000"/>
          <w:sz w:val="24"/>
        </w:rPr>
        <w:t>各</w:t>
      </w:r>
      <w:r>
        <w:rPr>
          <w:rFonts w:ascii="Times New Roman" w:hAnsi="Times New Roman"/>
          <w:color w:val="000000"/>
          <w:sz w:val="24"/>
        </w:rPr>
        <w:t xml:space="preserve">20 </w:t>
      </w:r>
      <w:proofErr w:type="spellStart"/>
      <w:r>
        <w:rPr>
          <w:rFonts w:ascii="Times New Roman" w:hAnsi="Times New Roman"/>
          <w:color w:val="000000"/>
          <w:sz w:val="24"/>
        </w:rPr>
        <w:t>μl</w:t>
      </w:r>
      <w:proofErr w:type="spellEnd"/>
      <w:r>
        <w:rPr>
          <w:rFonts w:ascii="Times New Roman" w:hAnsi="Times New Roman"/>
          <w:color w:val="000000"/>
          <w:sz w:val="24"/>
        </w:rPr>
        <w:t>，分别注入液相色谱仪，</w:t>
      </w:r>
      <w:proofErr w:type="gramStart"/>
      <w:r>
        <w:rPr>
          <w:rFonts w:ascii="Times New Roman" w:hAnsi="Times New Roman"/>
          <w:color w:val="000000"/>
          <w:sz w:val="24"/>
        </w:rPr>
        <w:t>供试品溶液</w:t>
      </w:r>
      <w:proofErr w:type="gramEnd"/>
      <w:r>
        <w:rPr>
          <w:rFonts w:ascii="Times New Roman" w:hAnsi="Times New Roman"/>
          <w:color w:val="000000"/>
          <w:sz w:val="24"/>
        </w:rPr>
        <w:t>中如有杂质峰，扣除酒石酸和辅料的峰，杂质</w:t>
      </w:r>
      <w:r>
        <w:rPr>
          <w:rFonts w:ascii="Times New Roman" w:hAnsi="Times New Roman"/>
          <w:color w:val="000000"/>
          <w:sz w:val="24"/>
        </w:rPr>
        <w:t>3</w:t>
      </w:r>
      <w:r>
        <w:rPr>
          <w:rFonts w:ascii="Times New Roman" w:hAnsi="Times New Roman"/>
          <w:color w:val="000000"/>
          <w:sz w:val="24"/>
        </w:rPr>
        <w:t>校正后的峰面积（校正因子</w:t>
      </w:r>
      <w:r>
        <w:rPr>
          <w:rFonts w:ascii="Times New Roman" w:hAnsi="Times New Roman"/>
          <w:color w:val="000000"/>
          <w:sz w:val="24"/>
        </w:rPr>
        <w:t>0.625</w:t>
      </w:r>
      <w:r>
        <w:rPr>
          <w:rFonts w:ascii="Times New Roman" w:hAnsi="Times New Roman"/>
          <w:color w:val="000000"/>
          <w:sz w:val="24"/>
        </w:rPr>
        <w:t>）不得大于对照溶液主峰面积的</w:t>
      </w:r>
      <w:r>
        <w:rPr>
          <w:rFonts w:ascii="Times New Roman" w:hAnsi="Times New Roman"/>
          <w:color w:val="000000"/>
          <w:sz w:val="24"/>
        </w:rPr>
        <w:t>0.6</w:t>
      </w:r>
      <w:r>
        <w:rPr>
          <w:rFonts w:ascii="Times New Roman" w:hAnsi="Times New Roman"/>
          <w:color w:val="000000"/>
          <w:sz w:val="24"/>
        </w:rPr>
        <w:t>倍（</w:t>
      </w:r>
      <w:r>
        <w:rPr>
          <w:rFonts w:ascii="Times New Roman" w:hAnsi="Times New Roman"/>
          <w:color w:val="000000"/>
          <w:sz w:val="24"/>
        </w:rPr>
        <w:t>0.3%</w:t>
      </w:r>
      <w:r>
        <w:rPr>
          <w:rFonts w:ascii="Times New Roman" w:hAnsi="Times New Roman"/>
          <w:color w:val="000000"/>
          <w:sz w:val="24"/>
        </w:rPr>
        <w:t>），杂质</w:t>
      </w:r>
      <w:r>
        <w:rPr>
          <w:rFonts w:ascii="Times New Roman" w:hAnsi="Times New Roman"/>
          <w:color w:val="000000"/>
          <w:sz w:val="24"/>
        </w:rPr>
        <w:t>6</w:t>
      </w:r>
      <w:r>
        <w:rPr>
          <w:rFonts w:ascii="Times New Roman" w:hAnsi="Times New Roman"/>
          <w:color w:val="000000"/>
          <w:sz w:val="24"/>
        </w:rPr>
        <w:t>校正后的峰面积（校正因子</w:t>
      </w:r>
      <w:r>
        <w:rPr>
          <w:rFonts w:ascii="Times New Roman" w:hAnsi="Times New Roman"/>
          <w:color w:val="000000"/>
          <w:sz w:val="24"/>
        </w:rPr>
        <w:t>0.53</w:t>
      </w:r>
      <w:r>
        <w:rPr>
          <w:rFonts w:ascii="Times New Roman" w:hAnsi="Times New Roman"/>
          <w:color w:val="000000"/>
          <w:sz w:val="24"/>
        </w:rPr>
        <w:t>）不得大于对照溶液主峰面积（</w:t>
      </w:r>
      <w:r>
        <w:rPr>
          <w:rFonts w:ascii="Times New Roman" w:hAnsi="Times New Roman"/>
          <w:color w:val="000000"/>
          <w:sz w:val="24"/>
        </w:rPr>
        <w:t>0.5%</w:t>
      </w:r>
      <w:r>
        <w:rPr>
          <w:rFonts w:ascii="Times New Roman" w:hAnsi="Times New Roman"/>
          <w:color w:val="000000"/>
          <w:sz w:val="24"/>
        </w:rPr>
        <w:t>），其他杂质峰面积的和不得大于对照溶液主峰面积的</w:t>
      </w:r>
      <w:bookmarkStart w:id="2" w:name="OLE_LINK3"/>
      <w:r>
        <w:rPr>
          <w:rFonts w:ascii="Times New Roman" w:hAnsi="Times New Roman"/>
          <w:color w:val="000000"/>
          <w:sz w:val="24"/>
        </w:rPr>
        <w:t>0.</w:t>
      </w:r>
      <w:bookmarkEnd w:id="2"/>
      <w:r>
        <w:rPr>
          <w:rFonts w:ascii="Times New Roman" w:hAnsi="Times New Roman"/>
          <w:color w:val="000000"/>
          <w:sz w:val="24"/>
        </w:rPr>
        <w:t>6</w:t>
      </w:r>
      <w:r>
        <w:rPr>
          <w:rFonts w:ascii="Times New Roman" w:hAnsi="Times New Roman"/>
          <w:color w:val="000000"/>
          <w:sz w:val="24"/>
        </w:rPr>
        <w:t>倍（</w:t>
      </w:r>
      <w:r>
        <w:rPr>
          <w:rFonts w:ascii="Times New Roman" w:hAnsi="Times New Roman"/>
          <w:color w:val="000000"/>
          <w:sz w:val="24"/>
        </w:rPr>
        <w:t>0.3%</w:t>
      </w:r>
      <w:r>
        <w:rPr>
          <w:rFonts w:ascii="Times New Roman" w:hAnsi="Times New Roman"/>
          <w:color w:val="000000"/>
          <w:sz w:val="24"/>
        </w:rPr>
        <w:t>），校正后各杂质总量不得大于</w:t>
      </w:r>
      <w:r>
        <w:rPr>
          <w:rFonts w:ascii="Times New Roman" w:hAnsi="Times New Roman"/>
          <w:color w:val="000000"/>
          <w:sz w:val="24"/>
        </w:rPr>
        <w:t>0.8%</w:t>
      </w:r>
      <w:r>
        <w:rPr>
          <w:rFonts w:ascii="Times New Roman" w:hAnsi="Times New Roman"/>
          <w:color w:val="000000"/>
          <w:sz w:val="24"/>
        </w:rPr>
        <w:t>。</w:t>
      </w:r>
      <w:proofErr w:type="gramStart"/>
      <w:r>
        <w:rPr>
          <w:rFonts w:ascii="Times New Roman" w:hAnsi="Times New Roman"/>
          <w:color w:val="000000"/>
          <w:sz w:val="24"/>
        </w:rPr>
        <w:t>供试品溶液</w:t>
      </w:r>
      <w:proofErr w:type="gramEnd"/>
      <w:r>
        <w:rPr>
          <w:rFonts w:ascii="Times New Roman" w:hAnsi="Times New Roman"/>
          <w:color w:val="000000"/>
          <w:sz w:val="24"/>
        </w:rPr>
        <w:t>色谱图中小于对照品溶液主峰面积的</w:t>
      </w:r>
      <w:r>
        <w:rPr>
          <w:rFonts w:ascii="Times New Roman" w:hAnsi="Times New Roman"/>
          <w:color w:val="000000"/>
          <w:sz w:val="24"/>
        </w:rPr>
        <w:t>0.005</w:t>
      </w:r>
      <w:r>
        <w:rPr>
          <w:rFonts w:ascii="Times New Roman" w:hAnsi="Times New Roman"/>
          <w:color w:val="000000"/>
          <w:sz w:val="24"/>
        </w:rPr>
        <w:t>倍（</w:t>
      </w:r>
      <w:r>
        <w:rPr>
          <w:rFonts w:ascii="Times New Roman" w:hAnsi="Times New Roman"/>
          <w:color w:val="000000"/>
          <w:sz w:val="24"/>
        </w:rPr>
        <w:t>0.05%</w:t>
      </w:r>
      <w:r>
        <w:rPr>
          <w:rFonts w:ascii="Times New Roman" w:hAnsi="Times New Roman"/>
          <w:color w:val="000000"/>
          <w:sz w:val="24"/>
        </w:rPr>
        <w:t>）的峰忽略不计。</w:t>
      </w:r>
    </w:p>
    <w:p w:rsidR="000215F8" w:rsidRPr="00F41B52" w:rsidRDefault="000215F8"/>
    <w:sectPr w:rsidR="000215F8" w:rsidRPr="00F41B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7CBC" w:rsidRDefault="00617CBC" w:rsidP="00F41B52">
      <w:r>
        <w:separator/>
      </w:r>
    </w:p>
  </w:endnote>
  <w:endnote w:type="continuationSeparator" w:id="0">
    <w:p w:rsidR="00617CBC" w:rsidRDefault="00617CBC" w:rsidP="00F41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7CBC" w:rsidRDefault="00617CBC" w:rsidP="00F41B52">
      <w:r>
        <w:separator/>
      </w:r>
    </w:p>
  </w:footnote>
  <w:footnote w:type="continuationSeparator" w:id="0">
    <w:p w:rsidR="00617CBC" w:rsidRDefault="00617CBC" w:rsidP="00F41B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AC9"/>
    <w:rsid w:val="000215F8"/>
    <w:rsid w:val="000B3422"/>
    <w:rsid w:val="00105599"/>
    <w:rsid w:val="00617CBC"/>
    <w:rsid w:val="00641AC9"/>
    <w:rsid w:val="00F41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5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1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1B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1B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1B52"/>
    <w:rPr>
      <w:sz w:val="18"/>
      <w:szCs w:val="18"/>
    </w:rPr>
  </w:style>
  <w:style w:type="table" w:styleId="a5">
    <w:name w:val="Table Grid"/>
    <w:basedOn w:val="a1"/>
    <w:rsid w:val="00F41B52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B52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41B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41B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41B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41B52"/>
    <w:rPr>
      <w:sz w:val="18"/>
      <w:szCs w:val="18"/>
    </w:rPr>
  </w:style>
  <w:style w:type="table" w:styleId="a5">
    <w:name w:val="Table Grid"/>
    <w:basedOn w:val="a1"/>
    <w:rsid w:val="00F41B52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721</Characters>
  <Application>Microsoft Office Word</Application>
  <DocSecurity>0</DocSecurity>
  <Lines>6</Lines>
  <Paragraphs>1</Paragraphs>
  <ScaleCrop>false</ScaleCrop>
  <Company>P R C</Company>
  <LinksUpToDate>false</LinksUpToDate>
  <CharactersWithSpaces>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2022-11-21T06:38:00Z</dcterms:created>
  <dcterms:modified xsi:type="dcterms:W3CDTF">2022-11-21T06:38:00Z</dcterms:modified>
</cp:coreProperties>
</file>