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54B" w:rsidRDefault="0061154B" w:rsidP="00EC03C7">
      <w:pPr>
        <w:spacing w:line="360" w:lineRule="auto"/>
        <w:jc w:val="center"/>
        <w:rPr>
          <w:rFonts w:ascii="Times New Roman" w:eastAsia="宋体" w:hAnsi="Times New Roman" w:cs="Times New Roman" w:hint="eastAsia"/>
          <w:b/>
          <w:color w:val="000000"/>
          <w:kern w:val="0"/>
          <w:sz w:val="24"/>
          <w:szCs w:val="24"/>
          <w:lang w:bidi="en-US"/>
        </w:rPr>
      </w:pPr>
      <w:r w:rsidRPr="00EC03C7">
        <w:rPr>
          <w:rFonts w:ascii="Times New Roman" w:eastAsia="宋体" w:hAnsi="Times New Roman" w:cs="Times New Roman" w:hint="eastAsia"/>
          <w:b/>
          <w:color w:val="000000"/>
          <w:kern w:val="0"/>
          <w:sz w:val="24"/>
          <w:szCs w:val="24"/>
          <w:lang w:bidi="en-US"/>
        </w:rPr>
        <w:t>阿达帕林凝胶有关物质检验方法</w:t>
      </w:r>
    </w:p>
    <w:p w:rsidR="00EC03C7" w:rsidRPr="00EC03C7" w:rsidRDefault="00EC03C7" w:rsidP="00EC03C7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  <w:lang w:bidi="en-US"/>
        </w:rPr>
      </w:pPr>
      <w:bookmarkStart w:id="0" w:name="_GoBack"/>
      <w:bookmarkEnd w:id="0"/>
    </w:p>
    <w:p w:rsidR="0061154B" w:rsidRPr="00E032F4" w:rsidRDefault="0061154B" w:rsidP="0061154B">
      <w:pPr>
        <w:spacing w:line="360" w:lineRule="auto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</w:pPr>
      <w:r w:rsidRPr="00E032F4">
        <w:rPr>
          <w:rFonts w:ascii="Times New Roman" w:eastAsia="宋体" w:hAnsi="Times New Roman" w:cs="Times New Roman" w:hint="eastAsia"/>
          <w:b/>
          <w:color w:val="000000"/>
          <w:kern w:val="0"/>
          <w:sz w:val="24"/>
          <w:szCs w:val="24"/>
          <w:lang w:bidi="en-US"/>
        </w:rPr>
        <w:t>【检查】</w:t>
      </w:r>
      <w:r w:rsidRPr="00E032F4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  <w:lang w:bidi="en-US"/>
        </w:rPr>
        <w:t>有关物质：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照高效液相色谱法（中国药典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2020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年版四部通则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0512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）测定。</w:t>
      </w:r>
    </w:p>
    <w:p w:rsidR="0061154B" w:rsidRPr="00E032F4" w:rsidRDefault="0061154B" w:rsidP="0061154B">
      <w:pPr>
        <w:spacing w:line="360" w:lineRule="auto"/>
        <w:ind w:firstLineChars="200" w:firstLine="482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</w:pPr>
      <w:proofErr w:type="gramStart"/>
      <w:r w:rsidRPr="00E032F4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  <w:lang w:bidi="en-US"/>
        </w:rPr>
        <w:t>供试品溶液</w:t>
      </w:r>
      <w:proofErr w:type="gramEnd"/>
      <w:r w:rsidRPr="00E032F4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  <w:lang w:bidi="en-US"/>
        </w:rPr>
        <w:t>：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精密称取阿达帕林凝胶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4.0g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置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20ml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容量瓶中，加四氢呋喃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10ml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，强力振摇（必要时可涡旋），超声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10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分钟使匀散，放冷，加溶剂乙腈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-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四氢呋喃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-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水（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37:20:43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）</w:t>
      </w:r>
      <w:r w:rsidRPr="00E032F4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lang w:bidi="en-US"/>
        </w:rPr>
        <w:t>为溶剂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稀释至刻度，摇匀，离心，用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0.45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eastAsia="en-US" w:bidi="en-US"/>
        </w:rPr>
        <w:t>μ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m PTFE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滤膜过滤。</w:t>
      </w:r>
    </w:p>
    <w:p w:rsidR="0061154B" w:rsidRPr="00E032F4" w:rsidRDefault="0061154B" w:rsidP="0061154B">
      <w:pPr>
        <w:spacing w:line="360" w:lineRule="auto"/>
        <w:ind w:firstLineChars="200" w:firstLine="482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</w:pPr>
      <w:r w:rsidRPr="00E032F4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  <w:lang w:bidi="en-US"/>
        </w:rPr>
        <w:t>对照溶液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：精密量</w:t>
      </w:r>
      <w:proofErr w:type="gramStart"/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取供试品</w:t>
      </w:r>
      <w:proofErr w:type="gramEnd"/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溶液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1ml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至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200ml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容量瓶中，加溶剂稀释至刻度，摇匀。</w:t>
      </w:r>
    </w:p>
    <w:p w:rsidR="0061154B" w:rsidRPr="00E032F4" w:rsidRDefault="0061154B" w:rsidP="0061154B">
      <w:pPr>
        <w:spacing w:line="360" w:lineRule="auto"/>
        <w:ind w:firstLineChars="200" w:firstLine="482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</w:pPr>
      <w:r w:rsidRPr="00E032F4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  <w:lang w:bidi="en-US"/>
        </w:rPr>
        <w:t>系统适用性溶液：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取杂质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C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对照品约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2.4mg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，置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100ml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容量瓶中，加四氢呋喃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50ml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，超声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5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分钟使溶解，乙腈稀释至刻度，摇</w:t>
      </w:r>
      <w:proofErr w:type="gramStart"/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匀作为</w:t>
      </w:r>
      <w:proofErr w:type="gramEnd"/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杂质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C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对照品储备液，取阿达帕林对照品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4mg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，置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20ml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容量瓶中，精密加入杂质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C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对照品储备液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1ml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，加四氢呋喃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8ml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使溶解，加乙腈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7ml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，用水稀释至刻度，摇匀。</w:t>
      </w:r>
    </w:p>
    <w:p w:rsidR="0061154B" w:rsidRPr="00E032F4" w:rsidRDefault="0061154B" w:rsidP="0061154B">
      <w:pPr>
        <w:spacing w:line="360" w:lineRule="auto"/>
        <w:ind w:firstLineChars="200" w:firstLine="482"/>
        <w:jc w:val="left"/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  <w:lang w:bidi="en-US"/>
        </w:rPr>
      </w:pPr>
      <w:r w:rsidRPr="00E032F4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  <w:lang w:bidi="en-US"/>
        </w:rPr>
        <w:t>空白辅料溶液：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另取空白辅料，</w:t>
      </w:r>
      <w:proofErr w:type="gramStart"/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按供试品</w:t>
      </w:r>
      <w:proofErr w:type="gramEnd"/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溶液配制方法同法操作，作为空白辅料溶液。</w:t>
      </w:r>
    </w:p>
    <w:p w:rsidR="0061154B" w:rsidRPr="00E032F4" w:rsidRDefault="0061154B" w:rsidP="0061154B">
      <w:pPr>
        <w:spacing w:line="360" w:lineRule="auto"/>
        <w:ind w:firstLineChars="200" w:firstLine="482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</w:pPr>
      <w:r w:rsidRPr="00E032F4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  <w:lang w:bidi="en-US"/>
        </w:rPr>
        <w:t>灵敏度溶液：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精密量取系统适用性溶液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1ml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置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100ml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容量瓶中，加四氢呋喃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50ml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，用乙腈稀释至刻度，摇匀，再精密量取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1ml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置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20ml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容量瓶中，用溶剂稀释至刻度，摇匀。</w:t>
      </w:r>
    </w:p>
    <w:p w:rsidR="0061154B" w:rsidRPr="00E032F4" w:rsidRDefault="0061154B" w:rsidP="0061154B">
      <w:pPr>
        <w:spacing w:line="360" w:lineRule="auto"/>
        <w:ind w:firstLineChars="200" w:firstLine="482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</w:pPr>
      <w:r w:rsidRPr="00E032F4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  <w:lang w:bidi="en-US"/>
        </w:rPr>
        <w:t>色谱条件：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用</w:t>
      </w:r>
      <w:proofErr w:type="gramStart"/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苯基键合硅胶</w:t>
      </w:r>
      <w:proofErr w:type="gramEnd"/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为填充剂（</w:t>
      </w:r>
      <w:proofErr w:type="spellStart"/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Aglient</w:t>
      </w:r>
      <w:proofErr w:type="spellEnd"/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 xml:space="preserve"> ZORBAX SB-Phenyl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，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4.6×250mm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，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5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eastAsia="en-US" w:bidi="en-US"/>
        </w:rPr>
        <w:t>μ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m</w:t>
      </w:r>
      <w:r w:rsidRPr="00E032F4">
        <w:rPr>
          <w:rFonts w:ascii="Times New Roman" w:eastAsia="宋体" w:hAnsi="Times New Roman" w:cs="Times New Roman"/>
          <w:kern w:val="0"/>
          <w:sz w:val="24"/>
          <w:szCs w:val="24"/>
          <w:lang w:bidi="en-US"/>
        </w:rPr>
        <w:t>或效能相当的色谱柱）；以</w:t>
      </w:r>
      <w:r w:rsidRPr="00E032F4">
        <w:rPr>
          <w:rFonts w:ascii="Times New Roman" w:eastAsia="宋体" w:hAnsi="Times New Roman" w:cs="Times New Roman"/>
          <w:kern w:val="0"/>
          <w:sz w:val="24"/>
          <w:szCs w:val="24"/>
          <w:lang w:bidi="en-US"/>
        </w:rPr>
        <w:t>0.1%</w:t>
      </w:r>
      <w:r w:rsidRPr="00E032F4">
        <w:rPr>
          <w:rFonts w:ascii="Times New Roman" w:eastAsia="宋体" w:hAnsi="Times New Roman" w:cs="Times New Roman"/>
          <w:kern w:val="0"/>
          <w:sz w:val="24"/>
          <w:szCs w:val="24"/>
          <w:lang w:bidi="en-US"/>
        </w:rPr>
        <w:t>冰醋酸为流动相</w:t>
      </w:r>
      <w:r w:rsidRPr="00E032F4">
        <w:rPr>
          <w:rFonts w:ascii="Times New Roman" w:eastAsia="宋体" w:hAnsi="Times New Roman" w:cs="Times New Roman"/>
          <w:kern w:val="0"/>
          <w:sz w:val="24"/>
          <w:szCs w:val="24"/>
          <w:lang w:bidi="en-US"/>
        </w:rPr>
        <w:t>A</w:t>
      </w:r>
      <w:r w:rsidRPr="00E032F4">
        <w:rPr>
          <w:rFonts w:ascii="Times New Roman" w:eastAsia="宋体" w:hAnsi="Times New Roman" w:cs="Times New Roman"/>
          <w:kern w:val="0"/>
          <w:sz w:val="24"/>
          <w:szCs w:val="24"/>
          <w:lang w:bidi="en-US"/>
        </w:rPr>
        <w:t>，乙腈</w:t>
      </w:r>
      <w:r w:rsidRPr="00E032F4">
        <w:rPr>
          <w:rFonts w:ascii="Times New Roman" w:eastAsia="宋体" w:hAnsi="Times New Roman" w:cs="Times New Roman"/>
          <w:kern w:val="0"/>
          <w:sz w:val="24"/>
          <w:szCs w:val="24"/>
          <w:lang w:bidi="en-US"/>
        </w:rPr>
        <w:t>-</w:t>
      </w:r>
      <w:r w:rsidRPr="00E032F4">
        <w:rPr>
          <w:rFonts w:ascii="Times New Roman" w:eastAsia="宋体" w:hAnsi="Times New Roman" w:cs="Times New Roman"/>
          <w:kern w:val="0"/>
          <w:sz w:val="24"/>
          <w:szCs w:val="24"/>
          <w:lang w:bidi="en-US"/>
        </w:rPr>
        <w:t>四氢呋喃（</w:t>
      </w:r>
      <w:r w:rsidRPr="00E032F4">
        <w:rPr>
          <w:rFonts w:ascii="Times New Roman" w:eastAsia="宋体" w:hAnsi="Times New Roman" w:cs="Times New Roman"/>
          <w:kern w:val="0"/>
          <w:sz w:val="24"/>
          <w:szCs w:val="24"/>
          <w:lang w:bidi="en-US"/>
        </w:rPr>
        <w:t>65:35</w:t>
      </w:r>
      <w:r w:rsidRPr="00E032F4">
        <w:rPr>
          <w:rFonts w:ascii="Times New Roman" w:eastAsia="宋体" w:hAnsi="Times New Roman" w:cs="Times New Roman"/>
          <w:kern w:val="0"/>
          <w:sz w:val="24"/>
          <w:szCs w:val="24"/>
          <w:lang w:bidi="en-US"/>
        </w:rPr>
        <w:t>）为流动相</w:t>
      </w:r>
      <w:r w:rsidRPr="00E032F4">
        <w:rPr>
          <w:rFonts w:ascii="Times New Roman" w:eastAsia="宋体" w:hAnsi="Times New Roman" w:cs="Times New Roman"/>
          <w:kern w:val="0"/>
          <w:sz w:val="24"/>
          <w:szCs w:val="24"/>
          <w:lang w:bidi="en-US"/>
        </w:rPr>
        <w:t>B</w:t>
      </w:r>
      <w:r w:rsidRPr="00E032F4">
        <w:rPr>
          <w:rFonts w:ascii="Times New Roman" w:eastAsia="宋体" w:hAnsi="Times New Roman" w:cs="Times New Roman"/>
          <w:kern w:val="0"/>
          <w:sz w:val="24"/>
          <w:szCs w:val="24"/>
          <w:lang w:bidi="en-US"/>
        </w:rPr>
        <w:t>，按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下表进行梯度洗脱，</w:t>
      </w:r>
      <w:proofErr w:type="gramStart"/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柱温为</w:t>
      </w:r>
      <w:proofErr w:type="gramEnd"/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30</w:t>
      </w:r>
      <w:r w:rsidRPr="00E032F4">
        <w:rPr>
          <w:rFonts w:ascii="宋体" w:eastAsia="宋体" w:hAnsi="宋体" w:cs="宋体" w:hint="eastAsia"/>
          <w:color w:val="000000"/>
          <w:kern w:val="0"/>
          <w:sz w:val="24"/>
          <w:szCs w:val="24"/>
          <w:lang w:bidi="en-US"/>
        </w:rPr>
        <w:t>℃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，流速为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1.2ml/min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，检测波长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270nm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，进样体积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25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eastAsia="en-US" w:bidi="en-US"/>
        </w:rPr>
        <w:t>μ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l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130"/>
        <w:gridCol w:w="2130"/>
        <w:gridCol w:w="2131"/>
      </w:tblGrid>
      <w:tr w:rsidR="0061154B" w:rsidRPr="00E032F4" w:rsidTr="007646AB">
        <w:trPr>
          <w:jc w:val="center"/>
        </w:trPr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154B" w:rsidRPr="00E032F4" w:rsidRDefault="0061154B" w:rsidP="007646AB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eastAsia="en-US" w:bidi="en-US"/>
              </w:rPr>
            </w:pPr>
            <w:proofErr w:type="spellStart"/>
            <w:r w:rsidRPr="00E032F4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eastAsia="en-US" w:bidi="en-US"/>
              </w:rPr>
              <w:t>时间（</w:t>
            </w:r>
            <w:r w:rsidRPr="00E032F4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eastAsia="en-US" w:bidi="en-US"/>
              </w:rPr>
              <w:t>min</w:t>
            </w:r>
            <w:proofErr w:type="spellEnd"/>
            <w:r w:rsidRPr="00E032F4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eastAsia="en-US" w:bidi="en-US"/>
              </w:rPr>
              <w:t>）</w:t>
            </w: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154B" w:rsidRPr="00E032F4" w:rsidRDefault="0061154B" w:rsidP="007646AB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eastAsia="en-US" w:bidi="en-US"/>
              </w:rPr>
            </w:pPr>
            <w:proofErr w:type="spellStart"/>
            <w:r w:rsidRPr="00E032F4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eastAsia="en-US" w:bidi="en-US"/>
              </w:rPr>
              <w:t>流动相</w:t>
            </w:r>
            <w:r w:rsidRPr="00E032F4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eastAsia="en-US" w:bidi="en-US"/>
              </w:rPr>
              <w:t>A</w:t>
            </w:r>
            <w:proofErr w:type="spellEnd"/>
            <w:r w:rsidRPr="00E032F4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eastAsia="en-US" w:bidi="en-US"/>
              </w:rPr>
              <w:t>（</w:t>
            </w:r>
            <w:r w:rsidRPr="00E032F4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eastAsia="en-US" w:bidi="en-US"/>
              </w:rPr>
              <w:t>%</w:t>
            </w:r>
            <w:r w:rsidRPr="00E032F4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eastAsia="en-US" w:bidi="en-US"/>
              </w:rPr>
              <w:t>）</w:t>
            </w:r>
          </w:p>
        </w:tc>
        <w:tc>
          <w:tcPr>
            <w:tcW w:w="2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154B" w:rsidRPr="00E032F4" w:rsidRDefault="0061154B" w:rsidP="007646AB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eastAsia="en-US" w:bidi="en-US"/>
              </w:rPr>
            </w:pPr>
            <w:proofErr w:type="spellStart"/>
            <w:r w:rsidRPr="00E032F4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eastAsia="en-US" w:bidi="en-US"/>
              </w:rPr>
              <w:t>流动相</w:t>
            </w:r>
            <w:r w:rsidRPr="00E032F4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eastAsia="en-US" w:bidi="en-US"/>
              </w:rPr>
              <w:t>B</w:t>
            </w:r>
            <w:proofErr w:type="spellEnd"/>
            <w:r w:rsidRPr="00E032F4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eastAsia="en-US" w:bidi="en-US"/>
              </w:rPr>
              <w:t>（</w:t>
            </w:r>
            <w:r w:rsidRPr="00E032F4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eastAsia="en-US" w:bidi="en-US"/>
              </w:rPr>
              <w:t>%</w:t>
            </w:r>
            <w:r w:rsidRPr="00E032F4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eastAsia="en-US" w:bidi="en-US"/>
              </w:rPr>
              <w:t>）</w:t>
            </w:r>
          </w:p>
        </w:tc>
      </w:tr>
      <w:tr w:rsidR="0061154B" w:rsidRPr="00E032F4" w:rsidTr="007646AB">
        <w:trPr>
          <w:jc w:val="center"/>
        </w:trPr>
        <w:tc>
          <w:tcPr>
            <w:tcW w:w="2130" w:type="dxa"/>
            <w:tcBorders>
              <w:top w:val="single" w:sz="4" w:space="0" w:color="auto"/>
            </w:tcBorders>
            <w:vAlign w:val="center"/>
          </w:tcPr>
          <w:p w:rsidR="0061154B" w:rsidRPr="00E032F4" w:rsidRDefault="0061154B" w:rsidP="007646AB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eastAsia="en-US" w:bidi="en-US"/>
              </w:rPr>
            </w:pPr>
            <w:r w:rsidRPr="00E032F4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eastAsia="en-US" w:bidi="en-US"/>
              </w:rPr>
              <w:t>0</w:t>
            </w:r>
          </w:p>
        </w:tc>
        <w:tc>
          <w:tcPr>
            <w:tcW w:w="2130" w:type="dxa"/>
            <w:tcBorders>
              <w:top w:val="single" w:sz="4" w:space="0" w:color="auto"/>
            </w:tcBorders>
            <w:vAlign w:val="center"/>
          </w:tcPr>
          <w:p w:rsidR="0061154B" w:rsidRPr="00E032F4" w:rsidRDefault="0061154B" w:rsidP="007646AB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eastAsia="en-US" w:bidi="en-US"/>
              </w:rPr>
            </w:pPr>
            <w:r w:rsidRPr="00E032F4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eastAsia="en-US" w:bidi="en-US"/>
              </w:rPr>
              <w:t>60</w:t>
            </w:r>
          </w:p>
        </w:tc>
        <w:tc>
          <w:tcPr>
            <w:tcW w:w="2131" w:type="dxa"/>
            <w:tcBorders>
              <w:top w:val="single" w:sz="4" w:space="0" w:color="auto"/>
            </w:tcBorders>
            <w:vAlign w:val="center"/>
          </w:tcPr>
          <w:p w:rsidR="0061154B" w:rsidRPr="00E032F4" w:rsidRDefault="0061154B" w:rsidP="007646AB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eastAsia="en-US" w:bidi="en-US"/>
              </w:rPr>
            </w:pPr>
            <w:r w:rsidRPr="00E032F4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eastAsia="en-US" w:bidi="en-US"/>
              </w:rPr>
              <w:t>40</w:t>
            </w:r>
          </w:p>
        </w:tc>
      </w:tr>
      <w:tr w:rsidR="0061154B" w:rsidRPr="00E032F4" w:rsidTr="007646AB">
        <w:trPr>
          <w:jc w:val="center"/>
        </w:trPr>
        <w:tc>
          <w:tcPr>
            <w:tcW w:w="2130" w:type="dxa"/>
            <w:vAlign w:val="center"/>
          </w:tcPr>
          <w:p w:rsidR="0061154B" w:rsidRPr="00E032F4" w:rsidRDefault="0061154B" w:rsidP="007646AB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eastAsia="en-US" w:bidi="en-US"/>
              </w:rPr>
            </w:pPr>
            <w:r w:rsidRPr="00E032F4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eastAsia="en-US" w:bidi="en-US"/>
              </w:rPr>
              <w:t>10</w:t>
            </w:r>
          </w:p>
        </w:tc>
        <w:tc>
          <w:tcPr>
            <w:tcW w:w="2130" w:type="dxa"/>
            <w:vAlign w:val="center"/>
          </w:tcPr>
          <w:p w:rsidR="0061154B" w:rsidRPr="00E032F4" w:rsidRDefault="0061154B" w:rsidP="007646AB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eastAsia="en-US" w:bidi="en-US"/>
              </w:rPr>
            </w:pPr>
            <w:r w:rsidRPr="00E032F4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eastAsia="en-US" w:bidi="en-US"/>
              </w:rPr>
              <w:t>60</w:t>
            </w:r>
          </w:p>
        </w:tc>
        <w:tc>
          <w:tcPr>
            <w:tcW w:w="2131" w:type="dxa"/>
            <w:vAlign w:val="center"/>
          </w:tcPr>
          <w:p w:rsidR="0061154B" w:rsidRPr="00E032F4" w:rsidRDefault="0061154B" w:rsidP="007646AB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eastAsia="en-US" w:bidi="en-US"/>
              </w:rPr>
            </w:pPr>
            <w:r w:rsidRPr="00E032F4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eastAsia="en-US" w:bidi="en-US"/>
              </w:rPr>
              <w:t>40</w:t>
            </w:r>
          </w:p>
        </w:tc>
      </w:tr>
      <w:tr w:rsidR="0061154B" w:rsidRPr="00E032F4" w:rsidTr="007646AB">
        <w:trPr>
          <w:jc w:val="center"/>
        </w:trPr>
        <w:tc>
          <w:tcPr>
            <w:tcW w:w="2130" w:type="dxa"/>
            <w:vAlign w:val="center"/>
          </w:tcPr>
          <w:p w:rsidR="0061154B" w:rsidRPr="00E032F4" w:rsidRDefault="0061154B" w:rsidP="007646AB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eastAsia="en-US" w:bidi="en-US"/>
              </w:rPr>
            </w:pPr>
            <w:r w:rsidRPr="00E032F4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eastAsia="en-US" w:bidi="en-US"/>
              </w:rPr>
              <w:t>60</w:t>
            </w:r>
          </w:p>
        </w:tc>
        <w:tc>
          <w:tcPr>
            <w:tcW w:w="2130" w:type="dxa"/>
            <w:vAlign w:val="center"/>
          </w:tcPr>
          <w:p w:rsidR="0061154B" w:rsidRPr="00E032F4" w:rsidRDefault="0061154B" w:rsidP="007646AB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eastAsia="en-US" w:bidi="en-US"/>
              </w:rPr>
            </w:pPr>
            <w:r w:rsidRPr="00E032F4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eastAsia="en-US" w:bidi="en-US"/>
              </w:rPr>
              <w:t>28</w:t>
            </w:r>
          </w:p>
        </w:tc>
        <w:tc>
          <w:tcPr>
            <w:tcW w:w="2131" w:type="dxa"/>
            <w:vAlign w:val="center"/>
          </w:tcPr>
          <w:p w:rsidR="0061154B" w:rsidRPr="00E032F4" w:rsidRDefault="0061154B" w:rsidP="007646AB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eastAsia="en-US" w:bidi="en-US"/>
              </w:rPr>
            </w:pPr>
            <w:r w:rsidRPr="00E032F4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eastAsia="en-US" w:bidi="en-US"/>
              </w:rPr>
              <w:t>72</w:t>
            </w:r>
          </w:p>
        </w:tc>
      </w:tr>
      <w:tr w:rsidR="0061154B" w:rsidRPr="00E032F4" w:rsidTr="007646AB">
        <w:trPr>
          <w:jc w:val="center"/>
        </w:trPr>
        <w:tc>
          <w:tcPr>
            <w:tcW w:w="2130" w:type="dxa"/>
            <w:vAlign w:val="center"/>
          </w:tcPr>
          <w:p w:rsidR="0061154B" w:rsidRPr="00E032F4" w:rsidRDefault="0061154B" w:rsidP="007646AB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eastAsia="en-US" w:bidi="en-US"/>
              </w:rPr>
            </w:pPr>
            <w:r w:rsidRPr="00E032F4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eastAsia="en-US" w:bidi="en-US"/>
              </w:rPr>
              <w:t>75</w:t>
            </w:r>
          </w:p>
        </w:tc>
        <w:tc>
          <w:tcPr>
            <w:tcW w:w="2130" w:type="dxa"/>
            <w:vAlign w:val="center"/>
          </w:tcPr>
          <w:p w:rsidR="0061154B" w:rsidRPr="00E032F4" w:rsidRDefault="0061154B" w:rsidP="007646AB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eastAsia="en-US" w:bidi="en-US"/>
              </w:rPr>
            </w:pPr>
            <w:r w:rsidRPr="00E032F4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eastAsia="en-US" w:bidi="en-US"/>
              </w:rPr>
              <w:t>28</w:t>
            </w:r>
          </w:p>
        </w:tc>
        <w:tc>
          <w:tcPr>
            <w:tcW w:w="2131" w:type="dxa"/>
            <w:vAlign w:val="center"/>
          </w:tcPr>
          <w:p w:rsidR="0061154B" w:rsidRPr="00E032F4" w:rsidRDefault="0061154B" w:rsidP="007646AB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eastAsia="en-US" w:bidi="en-US"/>
              </w:rPr>
            </w:pPr>
            <w:r w:rsidRPr="00E032F4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eastAsia="en-US" w:bidi="en-US"/>
              </w:rPr>
              <w:t>72</w:t>
            </w:r>
          </w:p>
        </w:tc>
      </w:tr>
      <w:tr w:rsidR="0061154B" w:rsidRPr="00E032F4" w:rsidTr="007646AB">
        <w:trPr>
          <w:jc w:val="center"/>
        </w:trPr>
        <w:tc>
          <w:tcPr>
            <w:tcW w:w="2130" w:type="dxa"/>
            <w:vAlign w:val="center"/>
          </w:tcPr>
          <w:p w:rsidR="0061154B" w:rsidRPr="00E032F4" w:rsidRDefault="0061154B" w:rsidP="007646AB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eastAsia="en-US" w:bidi="en-US"/>
              </w:rPr>
            </w:pPr>
            <w:r w:rsidRPr="00E032F4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eastAsia="en-US" w:bidi="en-US"/>
              </w:rPr>
              <w:t>75.1</w:t>
            </w:r>
          </w:p>
        </w:tc>
        <w:tc>
          <w:tcPr>
            <w:tcW w:w="2130" w:type="dxa"/>
            <w:vAlign w:val="center"/>
          </w:tcPr>
          <w:p w:rsidR="0061154B" w:rsidRPr="00E032F4" w:rsidRDefault="0061154B" w:rsidP="007646AB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eastAsia="en-US" w:bidi="en-US"/>
              </w:rPr>
            </w:pPr>
            <w:r w:rsidRPr="00E032F4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eastAsia="en-US" w:bidi="en-US"/>
              </w:rPr>
              <w:t>60</w:t>
            </w:r>
          </w:p>
        </w:tc>
        <w:tc>
          <w:tcPr>
            <w:tcW w:w="2131" w:type="dxa"/>
            <w:vAlign w:val="center"/>
          </w:tcPr>
          <w:p w:rsidR="0061154B" w:rsidRPr="00E032F4" w:rsidRDefault="0061154B" w:rsidP="007646AB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eastAsia="en-US" w:bidi="en-US"/>
              </w:rPr>
            </w:pPr>
            <w:r w:rsidRPr="00E032F4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eastAsia="en-US" w:bidi="en-US"/>
              </w:rPr>
              <w:t>40</w:t>
            </w:r>
          </w:p>
        </w:tc>
      </w:tr>
      <w:tr w:rsidR="0061154B" w:rsidRPr="00E032F4" w:rsidTr="007646AB">
        <w:trPr>
          <w:jc w:val="center"/>
        </w:trPr>
        <w:tc>
          <w:tcPr>
            <w:tcW w:w="2130" w:type="dxa"/>
            <w:tcBorders>
              <w:bottom w:val="single" w:sz="4" w:space="0" w:color="auto"/>
            </w:tcBorders>
            <w:vAlign w:val="center"/>
          </w:tcPr>
          <w:p w:rsidR="0061154B" w:rsidRPr="00E032F4" w:rsidRDefault="0061154B" w:rsidP="007646AB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eastAsia="en-US" w:bidi="en-US"/>
              </w:rPr>
            </w:pPr>
            <w:r w:rsidRPr="00E032F4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eastAsia="en-US" w:bidi="en-US"/>
              </w:rPr>
              <w:t>80</w:t>
            </w:r>
          </w:p>
        </w:tc>
        <w:tc>
          <w:tcPr>
            <w:tcW w:w="2130" w:type="dxa"/>
            <w:tcBorders>
              <w:bottom w:val="single" w:sz="4" w:space="0" w:color="auto"/>
            </w:tcBorders>
            <w:vAlign w:val="center"/>
          </w:tcPr>
          <w:p w:rsidR="0061154B" w:rsidRPr="00E032F4" w:rsidRDefault="0061154B" w:rsidP="007646AB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eastAsia="en-US" w:bidi="en-US"/>
              </w:rPr>
            </w:pPr>
            <w:r w:rsidRPr="00E032F4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eastAsia="en-US" w:bidi="en-US"/>
              </w:rPr>
              <w:t>60</w:t>
            </w:r>
          </w:p>
        </w:tc>
        <w:tc>
          <w:tcPr>
            <w:tcW w:w="2131" w:type="dxa"/>
            <w:tcBorders>
              <w:bottom w:val="single" w:sz="4" w:space="0" w:color="auto"/>
            </w:tcBorders>
            <w:vAlign w:val="center"/>
          </w:tcPr>
          <w:p w:rsidR="0061154B" w:rsidRPr="00E032F4" w:rsidRDefault="0061154B" w:rsidP="007646AB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eastAsia="en-US" w:bidi="en-US"/>
              </w:rPr>
            </w:pPr>
            <w:r w:rsidRPr="00E032F4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eastAsia="en-US" w:bidi="en-US"/>
              </w:rPr>
              <w:t>40</w:t>
            </w:r>
          </w:p>
        </w:tc>
      </w:tr>
    </w:tbl>
    <w:p w:rsidR="0061154B" w:rsidRPr="00E032F4" w:rsidRDefault="0061154B" w:rsidP="0061154B">
      <w:pPr>
        <w:spacing w:line="360" w:lineRule="auto"/>
        <w:ind w:firstLineChars="200" w:firstLine="482"/>
        <w:jc w:val="left"/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  <w:lang w:bidi="en-US"/>
        </w:rPr>
      </w:pPr>
      <w:r w:rsidRPr="00E032F4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  <w:lang w:bidi="en-US"/>
        </w:rPr>
        <w:t>系统适用性要求：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系统适用性溶液色谱图中，记录色谱图，杂质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C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的（相对保留时间约为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0.90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）与阿达帕林峰分离度应大于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4.5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，杂质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C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信噪比应大于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10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。灵敏度溶液中阿达帕林峰信噪比应不小于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10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。</w:t>
      </w:r>
    </w:p>
    <w:p w:rsidR="0061154B" w:rsidRPr="00E032F4" w:rsidRDefault="0061154B" w:rsidP="0061154B">
      <w:pPr>
        <w:spacing w:line="360" w:lineRule="auto"/>
        <w:ind w:firstLineChars="200" w:firstLine="482"/>
        <w:jc w:val="left"/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  <w:lang w:bidi="en-US"/>
        </w:rPr>
      </w:pPr>
      <w:r w:rsidRPr="00E032F4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  <w:lang w:bidi="en-US"/>
        </w:rPr>
        <w:lastRenderedPageBreak/>
        <w:t>测定法：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精密量</w:t>
      </w:r>
      <w:proofErr w:type="gramStart"/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取供试品</w:t>
      </w:r>
      <w:proofErr w:type="gramEnd"/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溶液与对照溶液，分别注入液相色谱仪，记录色谱图。</w:t>
      </w:r>
    </w:p>
    <w:p w:rsidR="0061154B" w:rsidRPr="00E032F4" w:rsidRDefault="0061154B" w:rsidP="0061154B">
      <w:pPr>
        <w:spacing w:line="360" w:lineRule="auto"/>
        <w:ind w:firstLineChars="200" w:firstLine="482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</w:pPr>
      <w:r w:rsidRPr="00E032F4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  <w:lang w:bidi="en-US"/>
        </w:rPr>
        <w:t>限度：</w:t>
      </w:r>
      <w:proofErr w:type="gramStart"/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供试品溶液</w:t>
      </w:r>
      <w:proofErr w:type="gramEnd"/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色谱图中如有杂质峰，扣除空白溶剂和辅料峰，杂质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A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（相对保留时间约为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0.38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，乘以校正因子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0.63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）、杂质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C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（相对保留时间约为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0.90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，乘以校正因子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7.87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）和杂质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D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（相对保留时间约为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1.53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，乘以校正因子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1.65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）按校正后峰面积不得大于对照溶液主峰面积（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0.5%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），其他单个杂质峰面积不得大于对照溶液主峰面积（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0.5%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），各杂质峰面积的和不得大于对照溶液主峰面积的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2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倍（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1.0%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）。</w:t>
      </w:r>
      <w:proofErr w:type="gramStart"/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供试品溶液</w:t>
      </w:r>
      <w:proofErr w:type="gramEnd"/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色谱图中小于灵敏度溶液的峰忽略不计（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0.05%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）。</w:t>
      </w:r>
    </w:p>
    <w:p w:rsidR="0061154B" w:rsidRPr="00E032F4" w:rsidRDefault="0061154B" w:rsidP="0061154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24"/>
          <w:lang w:bidi="en-US"/>
        </w:rPr>
      </w:pPr>
    </w:p>
    <w:p w:rsidR="0061154B" w:rsidRPr="00E032F4" w:rsidRDefault="0061154B" w:rsidP="0061154B">
      <w:pPr>
        <w:jc w:val="left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bidi="en-US"/>
        </w:rPr>
      </w:pPr>
    </w:p>
    <w:p w:rsidR="0061154B" w:rsidRPr="00E032F4" w:rsidRDefault="0061154B" w:rsidP="0061154B">
      <w:pPr>
        <w:keepNext/>
        <w:keepLines/>
        <w:spacing w:after="180"/>
        <w:jc w:val="left"/>
        <w:outlineLvl w:val="2"/>
        <w:rPr>
          <w:rFonts w:ascii="黑体" w:eastAsia="黑体" w:hAnsi="黑体" w:cs="黑体"/>
          <w:color w:val="000000"/>
          <w:kern w:val="0"/>
          <w:sz w:val="26"/>
          <w:szCs w:val="26"/>
          <w:lang w:bidi="zh-TW"/>
        </w:rPr>
      </w:pPr>
    </w:p>
    <w:p w:rsidR="0061154B" w:rsidRPr="00E032F4" w:rsidRDefault="0061154B" w:rsidP="0061154B"/>
    <w:p w:rsidR="0061154B" w:rsidRPr="006D27B2" w:rsidRDefault="0061154B" w:rsidP="0061154B"/>
    <w:p w:rsidR="000215F8" w:rsidRPr="0061154B" w:rsidRDefault="000215F8"/>
    <w:sectPr w:rsidR="000215F8" w:rsidRPr="006115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B38" w:rsidRDefault="00A60B38" w:rsidP="0061154B">
      <w:r>
        <w:separator/>
      </w:r>
    </w:p>
  </w:endnote>
  <w:endnote w:type="continuationSeparator" w:id="0">
    <w:p w:rsidR="00A60B38" w:rsidRDefault="00A60B38" w:rsidP="00611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B38" w:rsidRDefault="00A60B38" w:rsidP="0061154B">
      <w:r>
        <w:separator/>
      </w:r>
    </w:p>
  </w:footnote>
  <w:footnote w:type="continuationSeparator" w:id="0">
    <w:p w:rsidR="00A60B38" w:rsidRDefault="00A60B38" w:rsidP="006115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60F"/>
    <w:rsid w:val="00000A04"/>
    <w:rsid w:val="000215F8"/>
    <w:rsid w:val="000B3422"/>
    <w:rsid w:val="00105599"/>
    <w:rsid w:val="0061154B"/>
    <w:rsid w:val="007C060F"/>
    <w:rsid w:val="00A60B38"/>
    <w:rsid w:val="00EC0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54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115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1154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115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1154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54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115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1154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115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1154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</Words>
  <Characters>926</Characters>
  <Application>Microsoft Office Word</Application>
  <DocSecurity>0</DocSecurity>
  <Lines>7</Lines>
  <Paragraphs>2</Paragraphs>
  <ScaleCrop>false</ScaleCrop>
  <Company>P R C</Company>
  <LinksUpToDate>false</LinksUpToDate>
  <CharactersWithSpaces>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2022-11-18T07:04:00Z</dcterms:created>
  <dcterms:modified xsi:type="dcterms:W3CDTF">2022-11-18T07:28:00Z</dcterms:modified>
</cp:coreProperties>
</file>