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90" w:rsidRDefault="00E67221">
      <w:pPr>
        <w:spacing w:line="360" w:lineRule="auto"/>
        <w:ind w:firstLineChars="200" w:firstLine="640"/>
        <w:outlineLvl w:val="0"/>
        <w:rPr>
          <w:rFonts w:ascii="Times New Roman" w:eastAsia="仿宋_GB2312" w:hAnsi="Times New Roman"/>
          <w:sz w:val="32"/>
          <w:szCs w:val="32"/>
        </w:rPr>
      </w:pPr>
      <w:bookmarkStart w:id="0" w:name="_Toc37852683"/>
      <w:bookmarkStart w:id="1" w:name="_Toc63081456"/>
      <w:bookmarkStart w:id="2" w:name="_Toc41575864"/>
      <w:bookmarkStart w:id="3" w:name="_Toc27251"/>
      <w:r>
        <w:rPr>
          <w:rFonts w:ascii="Times New Roman" w:eastAsia="仿宋_GB2312" w:hAnsi="Times New Roman" w:hint="eastAsia"/>
          <w:sz w:val="32"/>
          <w:szCs w:val="32"/>
        </w:rPr>
        <w:t>附表</w:t>
      </w:r>
      <w:bookmarkEnd w:id="0"/>
      <w:r>
        <w:rPr>
          <w:rFonts w:ascii="Times New Roman" w:eastAsia="仿宋_GB2312" w:hAnsi="Times New Roman" w:hint="eastAsia"/>
          <w:sz w:val="32"/>
          <w:szCs w:val="32"/>
        </w:rPr>
        <w:t>3</w:t>
      </w:r>
      <w:bookmarkEnd w:id="1"/>
      <w:bookmarkEnd w:id="2"/>
      <w:bookmarkEnd w:id="3"/>
    </w:p>
    <w:p w:rsidR="00BF6C90" w:rsidRDefault="00E67221">
      <w:pPr>
        <w:spacing w:line="360" w:lineRule="auto"/>
        <w:jc w:val="center"/>
        <w:outlineLvl w:val="0"/>
        <w:rPr>
          <w:rFonts w:ascii="Times New Roman" w:eastAsia="仿宋_GB2312" w:hAnsi="Times New Roman"/>
          <w:b/>
          <w:sz w:val="32"/>
          <w:szCs w:val="32"/>
        </w:rPr>
      </w:pPr>
      <w:bookmarkStart w:id="4" w:name="_Toc27632"/>
      <w:bookmarkStart w:id="5" w:name="_Toc41575865"/>
      <w:bookmarkStart w:id="6" w:name="_Toc63081457"/>
      <w:bookmarkStart w:id="7" w:name="_Toc37852684"/>
      <w:r>
        <w:rPr>
          <w:rFonts w:ascii="Times New Roman" w:eastAsia="仿宋_GB2312" w:hAnsi="Times New Roman" w:hint="eastAsia"/>
          <w:b/>
          <w:sz w:val="32"/>
          <w:szCs w:val="32"/>
        </w:rPr>
        <w:t>2020</w:t>
      </w:r>
      <w:r>
        <w:rPr>
          <w:rFonts w:ascii="Times New Roman" w:eastAsia="仿宋_GB2312" w:hAnsi="Times New Roman" w:hint="eastAsia"/>
          <w:b/>
          <w:sz w:val="32"/>
          <w:szCs w:val="32"/>
        </w:rPr>
        <w:t>年医疗器械行业标准发布清单</w:t>
      </w:r>
      <w:bookmarkEnd w:id="4"/>
      <w:bookmarkEnd w:id="5"/>
      <w:bookmarkEnd w:id="6"/>
      <w:bookmarkEnd w:id="7"/>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467"/>
        <w:gridCol w:w="2683"/>
        <w:gridCol w:w="1544"/>
        <w:gridCol w:w="1504"/>
        <w:gridCol w:w="3101"/>
        <w:gridCol w:w="2172"/>
      </w:tblGrid>
      <w:tr w:rsidR="00BF6C90">
        <w:trPr>
          <w:cantSplit/>
          <w:trHeight w:val="510"/>
          <w:tblHeader/>
          <w:jc w:val="center"/>
        </w:trPr>
        <w:tc>
          <w:tcPr>
            <w:tcW w:w="261"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序号</w:t>
            </w:r>
          </w:p>
        </w:tc>
        <w:tc>
          <w:tcPr>
            <w:tcW w:w="867"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标准号</w:t>
            </w:r>
          </w:p>
        </w:tc>
        <w:tc>
          <w:tcPr>
            <w:tcW w:w="943"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标准名称</w:t>
            </w:r>
          </w:p>
        </w:tc>
        <w:tc>
          <w:tcPr>
            <w:tcW w:w="543"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发布日期</w:t>
            </w:r>
          </w:p>
        </w:tc>
        <w:tc>
          <w:tcPr>
            <w:tcW w:w="529"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实施日期</w:t>
            </w:r>
          </w:p>
        </w:tc>
        <w:tc>
          <w:tcPr>
            <w:tcW w:w="1090"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归口单位</w:t>
            </w:r>
          </w:p>
        </w:tc>
        <w:tc>
          <w:tcPr>
            <w:tcW w:w="763" w:type="pct"/>
            <w:shd w:val="clear" w:color="auto" w:fill="auto"/>
            <w:vAlign w:val="center"/>
          </w:tcPr>
          <w:p w:rsidR="00BF6C90" w:rsidRDefault="00E67221">
            <w:pPr>
              <w:jc w:val="center"/>
              <w:rPr>
                <w:rFonts w:ascii="Times New Roman" w:eastAsia="仿宋_GB2312" w:hAnsi="Times New Roman" w:cs="宋体"/>
                <w:b/>
                <w:sz w:val="24"/>
                <w:szCs w:val="24"/>
              </w:rPr>
            </w:pPr>
            <w:r>
              <w:rPr>
                <w:rFonts w:ascii="Times New Roman" w:eastAsia="仿宋_GB2312" w:hAnsi="Times New Roman" w:cs="宋体" w:hint="eastAsia"/>
                <w:b/>
                <w:sz w:val="24"/>
                <w:szCs w:val="24"/>
              </w:rPr>
              <w:t>发布公告</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0292.1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射线辐射防护器具　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部分：材料衰减性能的测定</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全国医用电器标准化技术委员会医用</w:t>
            </w:r>
            <w:r>
              <w:rPr>
                <w:rFonts w:ascii="Times New Roman" w:eastAsia="仿宋_GB2312" w:hAnsi="Times New Roman" w:cs="仿宋_GB2312" w:hint="eastAsia"/>
                <w:sz w:val="24"/>
                <w:szCs w:val="24"/>
              </w:rPr>
              <w:t>X</w:t>
            </w:r>
            <w:r>
              <w:rPr>
                <w:rFonts w:ascii="Times New Roman" w:eastAsia="仿宋_GB2312" w:hAnsi="Times New Roman" w:cs="仿宋_GB2312" w:hint="eastAsia"/>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0292.2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射线辐射防护器具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部分：透明防护板</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全国医用电器标准化技术委员会医用</w:t>
            </w:r>
            <w:r>
              <w:rPr>
                <w:rFonts w:ascii="Times New Roman" w:eastAsia="仿宋_GB2312" w:hAnsi="Times New Roman" w:cs="仿宋_GB2312" w:hint="eastAsia"/>
                <w:sz w:val="24"/>
                <w:szCs w:val="24"/>
              </w:rPr>
              <w:t>X</w:t>
            </w:r>
            <w:r>
              <w:rPr>
                <w:rFonts w:ascii="Times New Roman" w:eastAsia="仿宋_GB2312" w:hAnsi="Times New Roman" w:cs="仿宋_GB2312" w:hint="eastAsia"/>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0450.1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一次性使用无菌血管内导管辅件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部分：导引器械</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2021-08-01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0621.2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匹配性试验</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部分：陶瓷</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陶瓷体系</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全国口腔材料和器械设备标准化技术委员会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1656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吗啡检测试剂盒（胶体金法）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1671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超声探头穿刺架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2020-02-25</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2022-03-01</w:t>
            </w:r>
          </w:p>
        </w:tc>
        <w:tc>
          <w:tcPr>
            <w:tcW w:w="1090"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全国医用电器标准化技术委员会医用超声设备分技术委员会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0086-2020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医用冷藏箱</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全国测量、控制和实验室电器设备安全标准化技术委员会医用设备分技术委员会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0513.3-2020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同种异体修复材料</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3</w:t>
            </w:r>
            <w:r>
              <w:rPr>
                <w:rFonts w:ascii="Times New Roman" w:eastAsia="仿宋_GB2312" w:hAnsi="Times New Roman" w:cs="仿宋_GB2312" w:hint="eastAsia"/>
                <w:color w:val="000000"/>
                <w:sz w:val="24"/>
                <w:szCs w:val="24"/>
              </w:rPr>
              <w:t>部分：脱矿骨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0595</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质量管理体系</w:t>
            </w:r>
            <w:r>
              <w:rPr>
                <w:rFonts w:ascii="Times New Roman" w:eastAsia="仿宋_GB2312" w:hAnsi="Times New Roman" w:cs="仿宋_GB2312" w:hint="eastAsia"/>
                <w:color w:val="000000"/>
                <w:sz w:val="24"/>
                <w:szCs w:val="24"/>
              </w:rPr>
              <w:t xml:space="preserve">YY/T 0287-2017 </w:t>
            </w:r>
            <w:r>
              <w:rPr>
                <w:rFonts w:ascii="Times New Roman" w:eastAsia="仿宋_GB2312" w:hAnsi="Times New Roman" w:cs="仿宋_GB2312" w:hint="eastAsia"/>
                <w:color w:val="000000"/>
                <w:sz w:val="24"/>
                <w:szCs w:val="24"/>
              </w:rPr>
              <w:t>应用指南</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全国医疗器械质量管理和通用要求标准化技术委员会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0734.5</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清洗消毒器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部分：对不耐高温的非介入式医疗器械进行化学消毒的清洗消毒器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要求和试验</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全国消毒技术与设备标准化技术委员会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0809.13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部分和全髋关节假体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13</w:t>
            </w:r>
            <w:r>
              <w:rPr>
                <w:rFonts w:ascii="Times New Roman" w:eastAsia="仿宋_GB2312" w:hAnsi="Times New Roman" w:cs="仿宋_GB2312" w:hint="eastAsia"/>
                <w:color w:val="000000"/>
                <w:sz w:val="24"/>
                <w:szCs w:val="24"/>
              </w:rPr>
              <w:t>部分：带柄股骨部件头部固定抗扭转力矩的测定</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全国外科植入物和矫形器械标准化技术委员会骨科植入物分技术委员会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0833-2020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肢体加压理疗设备通用技术要求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全国医用电器标准化技术委员会物理治疗设备分技术委员会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1182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核酸扩增检测用试剂</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盒</w:t>
            </w:r>
            <w:r>
              <w:rPr>
                <w:rFonts w:ascii="Times New Roman" w:eastAsia="仿宋_GB2312" w:hAnsi="Times New Roman" w:cs="仿宋_GB2312" w:hint="eastAsia"/>
                <w:color w:val="000000"/>
                <w:sz w:val="24"/>
                <w:szCs w:val="24"/>
              </w:rPr>
              <w:t>)</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1653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输液泵用管路</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全国医用电器标准化技术委员会医用电子仪器标准化分技术委员会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1680</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同种异体修复材料</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脱矿骨材料的体内成骨诱导性能评价</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1685-2020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气动脉冲振荡排痰设备</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全国医用电器标准化技术委员会物理治疗设备分技术委员会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17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1686-2020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采用机器人技术的医用电气设备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分类</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1690-2020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一次性使用聚氯乙烯输注器具中</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氯乙醇残留量测定方法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手机扭矩传送器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热熔牙胶充填机</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放射治疗用体表光学摆位设备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性能和试验方法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全国医用电器标准化技术委员会放射治疗、核医学和放射剂量学设备分技术委员会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合成水激活聚氨酯玻璃纤维矫形绷带强度及固化时间测定试验方法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全国医用卫生材料及敷料标准化技术归口单位</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组织工程医疗器械产品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壳聚糖</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增材制造</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口腔固定和活动修复用激光选区熔化金属材料</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正畸用螺旋弹簧</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1704.1-2020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一次性使用宫颈扩张器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部分：渐进式</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全国计划生育器械标准化技术委员会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27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1704.2-2020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一次性使用宫颈扩张器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部分：膨胀式</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全国计划生育器械标准化技术委员会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髋关节假体陶瓷股骨头抗冲击性能测定方法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1706.1-2020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金属外科植入物等离子喷涂纯钛涂层</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植入医疗器械用聚醚醚酮聚合物及其复合物的差示扫描量热法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20</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0167</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非吸收性外科缝线</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0573.4</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一次性使用无菌注射器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部分：防止重复使用注射器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全国医用注射器（针）标准化技术委员会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0823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氟化物防龋材料</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1116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可吸收性外科缝线</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上颌窦膜提升器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1710-2020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一次性使用腹部穿刺器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全国外科器械标准化技术委员会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37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1720-2020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组合式髋臼部件分离力试验方法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2020-02-26</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2021-03-01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全国外科植入物和矫形器械标准化技术委员会骨科植入物分技术委员会</w:t>
            </w:r>
          </w:p>
        </w:tc>
        <w:tc>
          <w:tcPr>
            <w:tcW w:w="76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w:t>
            </w:r>
            <w:r>
              <w:rPr>
                <w:rFonts w:ascii="Times New Roman" w:eastAsia="仿宋_GB2312" w:hAnsi="Times New Roman" w:cs="仿宋_GB2312" w:hint="eastAsia"/>
                <w:color w:val="000000"/>
                <w:sz w:val="24"/>
                <w:szCs w:val="24"/>
              </w:rPr>
              <w:t>年第</w:t>
            </w:r>
            <w:r>
              <w:rPr>
                <w:rFonts w:ascii="Times New Roman" w:eastAsia="仿宋_GB2312" w:hAnsi="Times New Roman" w:cs="仿宋_GB2312" w:hint="eastAsia"/>
                <w:color w:val="000000"/>
                <w:sz w:val="24"/>
                <w:szCs w:val="24"/>
              </w:rPr>
              <w:t>21</w:t>
            </w:r>
            <w:r>
              <w:rPr>
                <w:rFonts w:ascii="Times New Roman" w:eastAsia="仿宋_GB2312" w:hAnsi="Times New Roman" w:cs="仿宋_GB2312" w:hint="eastAsia"/>
                <w:color w:val="000000"/>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0286.6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专用输液器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部分：一次性使用刻度流量调节式输液器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39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0336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一次性使用无菌阴道扩张器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全国计划生育器械标准化技术委员会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0681.18-2020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无菌医疗器械包装试验方法</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18</w:t>
            </w:r>
            <w:r>
              <w:rPr>
                <w:rFonts w:ascii="Times New Roman" w:eastAsia="仿宋_GB2312" w:hAnsi="Times New Roman" w:cs="仿宋_GB2312" w:hint="eastAsia"/>
                <w:color w:val="000000"/>
                <w:sz w:val="24"/>
                <w:szCs w:val="24"/>
              </w:rPr>
              <w:t>部分：用真空衰减法无损检验包装泄漏</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0771.1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动物源医疗器械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部分：风险管理应用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0771.2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动物源医疗器械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部分：来源、收集与处置的控制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1477.5</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接触性创面敷料性能评价用标准试验模型</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部分：评价止血性能的体外模型</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全国医用卫生材料及敷料标准化技术归口单位</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1667</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肺炎衣原体</w:t>
            </w:r>
            <w:r>
              <w:rPr>
                <w:rFonts w:ascii="Times New Roman" w:eastAsia="仿宋_GB2312" w:hAnsi="Times New Roman" w:cs="仿宋_GB2312" w:hint="eastAsia"/>
                <w:color w:val="000000"/>
                <w:sz w:val="24"/>
                <w:szCs w:val="24"/>
              </w:rPr>
              <w:t>IgG</w:t>
            </w:r>
            <w:r>
              <w:rPr>
                <w:rFonts w:ascii="Times New Roman" w:eastAsia="仿宋_GB2312" w:hAnsi="Times New Roman" w:cs="仿宋_GB2312" w:hint="eastAsia"/>
                <w:color w:val="000000"/>
                <w:sz w:val="24"/>
                <w:szCs w:val="24"/>
              </w:rPr>
              <w:t>抗体检测试剂盒（酶联免疫吸附法）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1676-2020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超声内窥镜</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2022-10-01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全国医用电器标准化技术委员会医用超声设备标准化分技术委员会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46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1684-2020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牙根尖定位仪</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2021-10-01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人类辅助生殖技术用医疗器械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培养用液中氨基酸检测方法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1717-2020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核酸提取试剂盒（磁珠法）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49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1718-2020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人类体外辅助生殖技术用医疗器械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胚胎移植导管</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2020-03-31</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2021-04-01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48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0010</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口内成像牙科</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射线机专用技术条件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0286.4</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专用输液器</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一次性使用压力输液设备用输液器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0345.1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金属骨针</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0485</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一次性使用心脏停跳液灌注器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0513.2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同种异体修复材料</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部分：深低温冷冻骨和冷冻干燥骨</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55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0628</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牙科设备图形符号</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0651.3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全髋关节假体的磨损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3</w:t>
            </w:r>
            <w:r>
              <w:rPr>
                <w:rFonts w:ascii="Times New Roman" w:eastAsia="仿宋_GB2312" w:hAnsi="Times New Roman" w:cs="仿宋_GB2312" w:hint="eastAsia"/>
                <w:color w:val="000000"/>
                <w:sz w:val="24"/>
                <w:szCs w:val="24"/>
              </w:rPr>
              <w:t>部分：轨道轴承型磨损试验机的载荷和位移参数及相关的试验环境条件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0694</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球囊扩张支架弹性回缩的标准测试方法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全国外科植入物和矫形器械标准化技术委员会心血管植入物分技术委员会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0719.6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眼科光学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接触镜护理产品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部分：有效期测定指南</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59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0726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无源外科植入物联用器械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0802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医疗器械的处理</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医疗器械制造商提供的信息</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全国消毒技术与设备标准化技术委员会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0803.2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根管器械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部分：扩大钻</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0809.12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部分和全髋关节假体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12</w:t>
            </w:r>
            <w:r>
              <w:rPr>
                <w:rFonts w:ascii="Times New Roman" w:eastAsia="仿宋_GB2312" w:hAnsi="Times New Roman" w:cs="仿宋_GB2312" w:hint="eastAsia"/>
                <w:color w:val="000000"/>
                <w:sz w:val="24"/>
                <w:szCs w:val="24"/>
              </w:rPr>
              <w:t>部分：髋臼杯形变测试方法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0899</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医用微波设备附件的通用要求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全国医用电器标准化技术委员会物理治疗设备分技术委员会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64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1133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无源外科植入物联用器械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金属骨钻</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1216</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甲胎蛋白测定试剂盒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牙科学</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口内塑形刀</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全国口腔材料和器械设备标准化技术委员会齿科设备与器械分技术委员会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1698-2020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人类体外辅助生殖技术用医疗器械</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辅助生殖穿刺取卵针</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用于增材制造的医用</w:t>
            </w:r>
            <w:r>
              <w:rPr>
                <w:rFonts w:ascii="Times New Roman" w:eastAsia="仿宋_GB2312" w:hAnsi="Times New Roman" w:cs="仿宋_GB2312" w:hint="eastAsia"/>
                <w:color w:val="000000"/>
                <w:sz w:val="24"/>
                <w:szCs w:val="24"/>
              </w:rPr>
              <w:t>Ti-6Al-4V/Ti-6Al-4V ELI</w:t>
            </w:r>
            <w:r>
              <w:rPr>
                <w:rFonts w:ascii="Times New Roman" w:eastAsia="仿宋_GB2312" w:hAnsi="Times New Roman" w:cs="仿宋_GB2312" w:hint="eastAsia"/>
                <w:color w:val="000000"/>
                <w:sz w:val="24"/>
                <w:szCs w:val="24"/>
              </w:rPr>
              <w:t>粉末</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中国食品药品检定研究院</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69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1708.1-2020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射线影像设备连通性符合性基本要求</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体外诊断试剂用校准物测量不确定度评定</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放射治疗用门控接口</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全国医用电器标准化技术委员会放射治疗、核医学和放射剂量学设备分技术委员会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非组合式金属髋关节股骨柄有限元分析标准方法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73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氧化钇稳定四方氧化锆（</w:t>
            </w:r>
            <w:r>
              <w:rPr>
                <w:rFonts w:ascii="Times New Roman" w:eastAsia="仿宋_GB2312" w:hAnsi="Times New Roman" w:cs="仿宋_GB2312" w:hint="eastAsia"/>
                <w:color w:val="000000"/>
                <w:sz w:val="24"/>
                <w:szCs w:val="24"/>
              </w:rPr>
              <w:t>Y-TZP</w:t>
            </w:r>
            <w:r>
              <w:rPr>
                <w:rFonts w:ascii="Times New Roman" w:eastAsia="仿宋_GB2312" w:hAnsi="Times New Roman" w:cs="仿宋_GB2312" w:hint="eastAsia"/>
                <w:color w:val="000000"/>
                <w:sz w:val="24"/>
                <w:szCs w:val="24"/>
              </w:rPr>
              <w:t>）陶瓷材料</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组织工程医疗器械产品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陶瓷和矿物质支架的表征</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游离甲状腺素测定试剂盒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前白蛋白测定试剂盒（免疫比浊法）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高通量基因测序仪</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游离三碘甲状腺原氨酸测定试剂盒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79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细菌和真菌感染多重核酸检测试剂盒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浓度梯度琼脂扩散药敏条</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81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1727-2020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口腔黏膜渗出液人类免疫缺陷病毒抗体检测试剂盒（胶体金免疫层析法）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1729-2020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真菌</w:t>
            </w:r>
            <w:r>
              <w:rPr>
                <w:rFonts w:ascii="Times New Roman" w:eastAsia="仿宋_GB2312" w:hAnsi="Times New Roman" w:cs="仿宋_GB2312" w:hint="eastAsia"/>
                <w:color w:val="000000"/>
                <w:sz w:val="24"/>
                <w:szCs w:val="24"/>
              </w:rPr>
              <w:t>(1-3)-</w:t>
            </w:r>
            <w:r>
              <w:rPr>
                <w:rFonts w:ascii="Times New Roman" w:eastAsia="仿宋_GB2312" w:hAnsi="Times New Roman" w:cs="仿宋_GB2312" w:hint="eastAsia"/>
                <w:color w:val="000000"/>
                <w:sz w:val="24"/>
                <w:szCs w:val="24"/>
              </w:rPr>
              <w:t>β</w:t>
            </w:r>
            <w:r>
              <w:rPr>
                <w:rFonts w:ascii="Times New Roman" w:eastAsia="仿宋_GB2312" w:hAnsi="Times New Roman" w:cs="仿宋_GB2312" w:hint="eastAsia"/>
                <w:color w:val="000000"/>
                <w:sz w:val="24"/>
                <w:szCs w:val="24"/>
              </w:rPr>
              <w:t>-D</w:t>
            </w:r>
            <w:r>
              <w:rPr>
                <w:rFonts w:ascii="Times New Roman" w:eastAsia="仿宋_GB2312" w:hAnsi="Times New Roman" w:cs="仿宋_GB2312" w:hint="eastAsia"/>
                <w:color w:val="000000"/>
                <w:sz w:val="24"/>
                <w:szCs w:val="24"/>
              </w:rPr>
              <w:t>葡聚糖测定试剂盒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1730-2020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一次性使用血液透析导管</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人基因单核苷酸多态性（</w:t>
            </w:r>
            <w:r>
              <w:rPr>
                <w:rFonts w:ascii="Times New Roman" w:eastAsia="仿宋_GB2312" w:hAnsi="Times New Roman" w:cs="仿宋_GB2312" w:hint="eastAsia"/>
                <w:color w:val="000000"/>
                <w:sz w:val="24"/>
                <w:szCs w:val="24"/>
              </w:rPr>
              <w:t>SNP</w:t>
            </w:r>
            <w:r>
              <w:rPr>
                <w:rFonts w:ascii="Times New Roman" w:eastAsia="仿宋_GB2312" w:hAnsi="Times New Roman" w:cs="仿宋_GB2312" w:hint="eastAsia"/>
                <w:color w:val="000000"/>
                <w:sz w:val="24"/>
                <w:szCs w:val="24"/>
              </w:rPr>
              <w:t>）检测试剂盒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口腔曲面体层</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射线机专用技术条件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腹膜透析用碘液保护帽</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评价高屈曲条件下膝关节胫骨衬垫耐久性和变形试验方法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心肺转流系统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离心泵泵头</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2021-12-01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全国医用体外循环设备标准化技术委员会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89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医疗器械唯一标识数据库基本数据集</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2020-10-01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国家药品监督管理局信息中心</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医疗器械唯一标识数据库填报指南</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2020-06-30</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2020-10-01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国家药品监督管理局信息中心</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76</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91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0105</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皮内针</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全国医用电器标准化技术委员会物理治疗设备分技术委员会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0285.6-2020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血管内导管</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一次性使用无菌导管第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部分：皮下植入式给药装置</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0341.1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无源外科植入物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骨接合与脊柱植入物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部分：骨接合植入物特殊要求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0341.2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无源外科植入物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骨接合与脊柱植入物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部分：脊柱植入物特殊要求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0342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接骨板弯曲强度和刚度的测定</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0611</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一次性使用静脉营养输液袋</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0616.7-2020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一次性使用医用手套</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7</w:t>
            </w:r>
            <w:r>
              <w:rPr>
                <w:rFonts w:ascii="Times New Roman" w:eastAsia="仿宋_GB2312" w:hAnsi="Times New Roman" w:cs="仿宋_GB2312" w:hint="eastAsia"/>
                <w:color w:val="000000"/>
                <w:sz w:val="24"/>
                <w:szCs w:val="24"/>
              </w:rPr>
              <w:t>部分：抗原性蛋白质含量免疫学测定方法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全国医用卫生材料及敷料标准化技术归口单位</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0651.2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全髋关节假体的磨损</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部分：测量方法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99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0664</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医疗器械软件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软件生存周期过程</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全国医疗器械质量管理和通用要求标准化技术委员会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100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0707</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移动式摄影</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射线机专用技术条件</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0809.2</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外科植入物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部分和全髋关节假体</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部分：金属、陶瓷及塑料关节面</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0953</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医用羧甲基壳聚糖</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1293.6-2020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接触性创面敷料</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部分：贻贝黏蛋白敷料</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全国医用卫生材料及敷料标准化技术归口单位</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1477.6-2020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接触性创面敷料性能评价用标准试验模型</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6</w:t>
            </w:r>
            <w:r>
              <w:rPr>
                <w:rFonts w:ascii="Times New Roman" w:eastAsia="仿宋_GB2312" w:hAnsi="Times New Roman" w:cs="仿宋_GB2312" w:hint="eastAsia"/>
                <w:color w:val="000000"/>
                <w:sz w:val="24"/>
                <w:szCs w:val="24"/>
              </w:rPr>
              <w:t>部分：评价促创面愈合性能的动物</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型糖尿病难愈创面模型</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lang w:bidi="ar"/>
              </w:rPr>
              <w:t>全国医用卫生材料及敷料标准化技术归口单位</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1629.4-2020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电动骨组织手术设备刀具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4</w:t>
            </w:r>
            <w:r>
              <w:rPr>
                <w:rFonts w:ascii="Times New Roman" w:eastAsia="仿宋_GB2312" w:hAnsi="Times New Roman" w:cs="仿宋_GB2312" w:hint="eastAsia"/>
                <w:color w:val="000000"/>
                <w:sz w:val="24"/>
                <w:szCs w:val="24"/>
              </w:rPr>
              <w:t>部分：铣刀</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1629.5-2020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电动骨组织手术设备刀具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5</w:t>
            </w:r>
            <w:r>
              <w:rPr>
                <w:rFonts w:ascii="Times New Roman" w:eastAsia="仿宋_GB2312" w:hAnsi="Times New Roman" w:cs="仿宋_GB2312" w:hint="eastAsia"/>
                <w:color w:val="000000"/>
                <w:sz w:val="24"/>
                <w:szCs w:val="24"/>
              </w:rPr>
              <w:t>部分：锯片</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全国医用电器标准化技术委员会医用电子仪器标准化分技术委员会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1631.2-2020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输血器与血液成分相容性测定</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部分：血液成分损伤评定</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108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1708.2-2020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医用诊断</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射线影像设备连通性符合性基本要求</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射线计算机体层摄影设备</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w:t>
            </w:r>
            <w:r>
              <w:rPr>
                <w:rFonts w:ascii="Times New Roman" w:eastAsia="仿宋_GB2312" w:hAnsi="Times New Roman" w:cs="仿宋_GB2312" w:hint="eastAsia"/>
                <w:color w:val="000000"/>
                <w:sz w:val="24"/>
                <w:szCs w:val="24"/>
              </w:rPr>
              <w:t>X</w:t>
            </w:r>
            <w:r>
              <w:rPr>
                <w:rFonts w:ascii="Times New Roman" w:eastAsia="仿宋_GB2312" w:hAnsi="Times New Roman" w:cs="仿宋_GB2312" w:hint="eastAsia"/>
                <w:color w:val="000000"/>
                <w:sz w:val="24"/>
                <w:szCs w:val="24"/>
              </w:rPr>
              <w:t>射线设备及用具分技术委员会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109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1713-2020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胶体金免疫层析法检测试剂盒</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全国医用临床检验实验室和体外诊断系统标准化技术委员会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1733-2020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医疗器械辐射灭菌</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辐照装置剂量分布测试指南</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2022-06-01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全国消毒技术与设备标准化技术委员会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1737-2020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医疗器械生物负载控制水平的分析方法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全国消毒技术与设备标准化技术委员会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 xml:space="preserve">YY/T </w:t>
            </w:r>
            <w:r>
              <w:rPr>
                <w:rFonts w:ascii="Times New Roman" w:eastAsia="仿宋_GB2312" w:hAnsi="Times New Roman" w:cs="仿宋_GB2312" w:hint="eastAsia"/>
                <w:color w:val="000000"/>
                <w:sz w:val="24"/>
                <w:szCs w:val="24"/>
              </w:rPr>
              <w:t>1738-2020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医用电气设备能耗测量方法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1744-2020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组织工程医疗器械产品</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生物活性陶瓷</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多孔材料中细胞迁移的测量方法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全国外科植入物和矫形器械标准化技术委员会组织工程医疗器械产品分技术委员会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1746-2020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可吸收性外科缝线</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体外水解后断裂强力试验方法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全国外科器械标准化技术委员会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1749-2020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基于外部振动的肝组织超声弹性测量设备</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全国医用电器标准化技术委员会医用超声设备标准化分技术委员会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116</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1750-2020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超声软组织切割止血手术设备</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2022-09-01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全国医用电器标准化技术委员会医用超声设备标准化分技术委员会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lastRenderedPageBreak/>
              <w:t>117</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激光治疗设备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半导体激光鼻腔内照射治疗仪</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118</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1754.1-2020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医疗器械临床前动物研究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1</w:t>
            </w:r>
            <w:r>
              <w:rPr>
                <w:rFonts w:ascii="Times New Roman" w:eastAsia="仿宋_GB2312" w:hAnsi="Times New Roman" w:cs="仿宋_GB2312" w:hint="eastAsia"/>
                <w:color w:val="000000"/>
                <w:sz w:val="24"/>
                <w:szCs w:val="24"/>
              </w:rPr>
              <w:t>部分：通用要求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119</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1754.2-2020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医疗器械临床前动物研究</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w:t>
            </w:r>
            <w:r>
              <w:rPr>
                <w:rFonts w:ascii="Times New Roman" w:eastAsia="仿宋_GB2312" w:hAnsi="Times New Roman" w:cs="仿宋_GB2312" w:hint="eastAsia"/>
                <w:color w:val="000000"/>
                <w:sz w:val="24"/>
                <w:szCs w:val="24"/>
              </w:rPr>
              <w:t>部分</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诱导糖尿病大鼠皮肤缺损模型</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全国医疗器械生物学评价标准化技术委员会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120</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1758-2020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心血管植入物</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肺动脉带瓣管道</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全国外科植入物和矫形器械标准化技术委员会心血管植入物分技术委员会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121</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1759-2020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医疗器械软性初包装设计与评价指南</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全国医用输液器具标准化技术委员会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122</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1762-2020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单髁膝关节置换假体金属胫骨托部件动态疲劳性能试验方法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123</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1765-2020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全膝关节假体约束度测试方法</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2021-09-01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全国外科植入物和矫形器械标准化技术委员会骨科植入物分技术委员会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124</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 9706.241-2020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医用电气设备</w:t>
            </w:r>
            <w:r>
              <w:rPr>
                <w:rFonts w:ascii="Times New Roman" w:eastAsia="仿宋_GB2312" w:hAnsi="Times New Roman" w:cs="仿宋_GB2312" w:hint="eastAsia"/>
                <w:color w:val="000000"/>
                <w:sz w:val="24"/>
                <w:szCs w:val="24"/>
              </w:rPr>
              <w:t xml:space="preserve"> </w:t>
            </w:r>
            <w:r>
              <w:rPr>
                <w:rFonts w:ascii="Times New Roman" w:eastAsia="仿宋_GB2312" w:hAnsi="Times New Roman" w:cs="仿宋_GB2312" w:hint="eastAsia"/>
                <w:color w:val="000000"/>
                <w:sz w:val="24"/>
                <w:szCs w:val="24"/>
              </w:rPr>
              <w:t>第</w:t>
            </w:r>
            <w:r>
              <w:rPr>
                <w:rFonts w:ascii="Times New Roman" w:eastAsia="仿宋_GB2312" w:hAnsi="Times New Roman" w:cs="仿宋_GB2312" w:hint="eastAsia"/>
                <w:color w:val="000000"/>
                <w:sz w:val="24"/>
                <w:szCs w:val="24"/>
              </w:rPr>
              <w:t>2-41</w:t>
            </w:r>
            <w:r>
              <w:rPr>
                <w:rFonts w:ascii="Times New Roman" w:eastAsia="仿宋_GB2312" w:hAnsi="Times New Roman" w:cs="仿宋_GB2312" w:hint="eastAsia"/>
                <w:color w:val="000000"/>
                <w:sz w:val="24"/>
                <w:szCs w:val="24"/>
              </w:rPr>
              <w:t>部分：手术无影灯和诊断用照明灯的基本安全和基本性能专用要求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2020-09-27</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2023-05-01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全国医用光学和仪器标准化分技术委员会</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108</w:t>
            </w:r>
            <w:r>
              <w:rPr>
                <w:rFonts w:ascii="Times New Roman" w:eastAsia="仿宋_GB2312" w:hAnsi="Times New Roman" w:cs="仿宋_GB2312" w:hint="eastAsia"/>
                <w:sz w:val="24"/>
                <w:szCs w:val="24"/>
              </w:rPr>
              <w:t>号</w:t>
            </w:r>
          </w:p>
        </w:tc>
      </w:tr>
      <w:tr w:rsidR="00BF6C90">
        <w:trPr>
          <w:cantSplit/>
          <w:trHeight w:val="510"/>
          <w:jc w:val="center"/>
        </w:trPr>
        <w:tc>
          <w:tcPr>
            <w:tcW w:w="261"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125</w:t>
            </w:r>
          </w:p>
        </w:tc>
        <w:tc>
          <w:tcPr>
            <w:tcW w:w="867"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YY/T 1799</w:t>
            </w:r>
            <w:r>
              <w:rPr>
                <w:rFonts w:ascii="Times New Roman" w:eastAsia="仿宋_GB2312" w:hAnsi="Times New Roman" w:cs="仿宋_GB2312" w:hint="eastAsia"/>
                <w:color w:val="000000"/>
                <w:sz w:val="24"/>
                <w:szCs w:val="24"/>
              </w:rPr>
              <w:t>—</w:t>
            </w:r>
            <w:r>
              <w:rPr>
                <w:rFonts w:ascii="Times New Roman" w:eastAsia="仿宋_GB2312" w:hAnsi="Times New Roman" w:cs="仿宋_GB2312" w:hint="eastAsia"/>
                <w:color w:val="000000"/>
                <w:sz w:val="24"/>
                <w:szCs w:val="24"/>
              </w:rPr>
              <w:t>2020</w:t>
            </w:r>
          </w:p>
        </w:tc>
        <w:tc>
          <w:tcPr>
            <w:tcW w:w="9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可重复使用医用防护服技术要求</w:t>
            </w:r>
          </w:p>
        </w:tc>
        <w:tc>
          <w:tcPr>
            <w:tcW w:w="543"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2020-12-22</w:t>
            </w:r>
          </w:p>
        </w:tc>
        <w:tc>
          <w:tcPr>
            <w:tcW w:w="529"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2021-01-01</w:t>
            </w:r>
          </w:p>
        </w:tc>
        <w:tc>
          <w:tcPr>
            <w:tcW w:w="1090" w:type="pct"/>
            <w:shd w:val="clear" w:color="auto" w:fill="auto"/>
            <w:vAlign w:val="center"/>
          </w:tcPr>
          <w:p w:rsidR="00BF6C90" w:rsidRDefault="00E67221">
            <w:pPr>
              <w:jc w:val="center"/>
              <w:textAlignment w:val="center"/>
              <w:rPr>
                <w:rFonts w:ascii="Times New Roman" w:eastAsia="仿宋_GB2312" w:hAnsi="Times New Roman" w:cs="仿宋_GB2312"/>
                <w:sz w:val="24"/>
                <w:szCs w:val="24"/>
              </w:rPr>
            </w:pPr>
            <w:r>
              <w:rPr>
                <w:rFonts w:ascii="Times New Roman" w:eastAsia="仿宋_GB2312" w:hAnsi="Times New Roman" w:cs="仿宋_GB2312" w:hint="eastAsia"/>
                <w:color w:val="000000"/>
                <w:sz w:val="24"/>
                <w:szCs w:val="24"/>
              </w:rPr>
              <w:t>医用生物防护产品标准化技术归口单位</w:t>
            </w:r>
          </w:p>
        </w:tc>
        <w:tc>
          <w:tcPr>
            <w:tcW w:w="763" w:type="pct"/>
            <w:shd w:val="clear" w:color="auto" w:fill="auto"/>
            <w:vAlign w:val="center"/>
          </w:tcPr>
          <w:p w:rsidR="00BF6C90" w:rsidRDefault="00E67221">
            <w:pPr>
              <w:jc w:val="center"/>
              <w:rPr>
                <w:rFonts w:ascii="Times New Roman" w:eastAsia="仿宋_GB2312" w:hAnsi="Times New Roman" w:cs="仿宋_GB2312"/>
                <w:sz w:val="24"/>
                <w:szCs w:val="24"/>
              </w:rPr>
            </w:pPr>
            <w:r>
              <w:rPr>
                <w:rFonts w:ascii="Times New Roman" w:eastAsia="仿宋_GB2312" w:hAnsi="Times New Roman" w:cs="仿宋_GB2312" w:hint="eastAsia"/>
                <w:sz w:val="24"/>
                <w:szCs w:val="24"/>
              </w:rPr>
              <w:t>2020</w:t>
            </w:r>
            <w:r>
              <w:rPr>
                <w:rFonts w:ascii="Times New Roman" w:eastAsia="仿宋_GB2312" w:hAnsi="Times New Roman" w:cs="仿宋_GB2312" w:hint="eastAsia"/>
                <w:sz w:val="24"/>
                <w:szCs w:val="24"/>
              </w:rPr>
              <w:t>年第</w:t>
            </w:r>
            <w:r>
              <w:rPr>
                <w:rFonts w:ascii="Times New Roman" w:eastAsia="仿宋_GB2312" w:hAnsi="Times New Roman" w:cs="仿宋_GB2312" w:hint="eastAsia"/>
                <w:sz w:val="24"/>
                <w:szCs w:val="24"/>
              </w:rPr>
              <w:t>140</w:t>
            </w:r>
            <w:r>
              <w:rPr>
                <w:rFonts w:ascii="Times New Roman" w:eastAsia="仿宋_GB2312" w:hAnsi="Times New Roman" w:cs="仿宋_GB2312" w:hint="eastAsia"/>
                <w:sz w:val="24"/>
                <w:szCs w:val="24"/>
              </w:rPr>
              <w:t>号</w:t>
            </w:r>
          </w:p>
        </w:tc>
      </w:tr>
    </w:tbl>
    <w:p w:rsidR="00BF6C90" w:rsidRDefault="00BF6C90">
      <w:pPr>
        <w:spacing w:line="360" w:lineRule="auto"/>
        <w:ind w:firstLineChars="200" w:firstLine="640"/>
        <w:rPr>
          <w:rFonts w:ascii="Times New Roman" w:eastAsia="仿宋_GB2312" w:hAnsi="Times New Roman"/>
          <w:sz w:val="32"/>
          <w:szCs w:val="32"/>
        </w:rPr>
      </w:pPr>
      <w:bookmarkStart w:id="8" w:name="_GoBack"/>
      <w:bookmarkEnd w:id="8"/>
    </w:p>
    <w:sectPr w:rsidR="00BF6C90">
      <w:footerReference w:type="even" r:id="rId10"/>
      <w:footnotePr>
        <w:numRestart w:val="eachPage"/>
      </w:footnotePr>
      <w:pgSz w:w="16838" w:h="11906" w:orient="landscape"/>
      <w:pgMar w:top="1361" w:right="1474" w:bottom="1361" w:left="1361" w:header="851" w:footer="992" w:gutter="0"/>
      <w:cols w:space="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221">
      <w:r>
        <w:separator/>
      </w:r>
    </w:p>
  </w:endnote>
  <w:endnote w:type="continuationSeparator" w:id="0">
    <w:p w:rsidR="00000000" w:rsidRDefault="00E6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06663"/>
    </w:sdtPr>
    <w:sdtEndPr>
      <w:rPr>
        <w:rFonts w:asciiTheme="minorEastAsia" w:eastAsiaTheme="minorEastAsia" w:hAnsiTheme="minorEastAsia"/>
        <w:sz w:val="28"/>
        <w:szCs w:val="28"/>
      </w:rPr>
    </w:sdtEndPr>
    <w:sdtContent>
      <w:p w:rsidR="00BF6C90" w:rsidRDefault="00E67221">
        <w:pPr>
          <w:pStyle w:val="a9"/>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54 -</w:t>
        </w:r>
        <w:r>
          <w:rPr>
            <w:rFonts w:asciiTheme="minorEastAsia" w:eastAsiaTheme="minorEastAsia" w:hAnsiTheme="minorEastAsia"/>
            <w:sz w:val="28"/>
            <w:szCs w:val="28"/>
          </w:rPr>
          <w:fldChar w:fldCharType="end"/>
        </w:r>
      </w:p>
    </w:sdtContent>
  </w:sdt>
  <w:p w:rsidR="00BF6C90" w:rsidRDefault="00BF6C90">
    <w:pPr>
      <w:pStyle w:val="a9"/>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221">
      <w:r>
        <w:separator/>
      </w:r>
    </w:p>
  </w:footnote>
  <w:footnote w:type="continuationSeparator" w:id="0">
    <w:p w:rsidR="00000000" w:rsidRDefault="00E6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chineseCountingThousand"/>
      <w:pStyle w:val="a"/>
      <w:lvlText w:val="(%1)"/>
      <w:lvlJc w:val="left"/>
      <w:pPr>
        <w:ind w:left="1047" w:hanging="420"/>
      </w:p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00000005"/>
    <w:multiLevelType w:val="multilevel"/>
    <w:tmpl w:val="00000005"/>
    <w:lvl w:ilvl="0">
      <w:start w:val="1"/>
      <w:numFmt w:val="decimal"/>
      <w:pStyle w:val="a0"/>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2">
    <w:nsid w:val="02EE0E3D"/>
    <w:multiLevelType w:val="multilevel"/>
    <w:tmpl w:val="02EE0E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420"/>
  <w:drawingGridHorizontalSpacing w:val="97"/>
  <w:drawingGridVerticalSpacing w:val="287"/>
  <w:noPunctuationKerning/>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57"/>
    <w:rsid w:val="00012C23"/>
    <w:rsid w:val="00054775"/>
    <w:rsid w:val="00070B40"/>
    <w:rsid w:val="00081D42"/>
    <w:rsid w:val="000C057E"/>
    <w:rsid w:val="00114BA0"/>
    <w:rsid w:val="00191EA8"/>
    <w:rsid w:val="001966F4"/>
    <w:rsid w:val="001C5F85"/>
    <w:rsid w:val="001D797B"/>
    <w:rsid w:val="001E5CCF"/>
    <w:rsid w:val="00286C8A"/>
    <w:rsid w:val="002A1505"/>
    <w:rsid w:val="002A35B0"/>
    <w:rsid w:val="002C6921"/>
    <w:rsid w:val="002E199C"/>
    <w:rsid w:val="003C2957"/>
    <w:rsid w:val="003D0AC5"/>
    <w:rsid w:val="003E6AE0"/>
    <w:rsid w:val="004F1F08"/>
    <w:rsid w:val="00597AB8"/>
    <w:rsid w:val="006058E7"/>
    <w:rsid w:val="006222E6"/>
    <w:rsid w:val="0068230C"/>
    <w:rsid w:val="006B1179"/>
    <w:rsid w:val="006F2694"/>
    <w:rsid w:val="00700A2E"/>
    <w:rsid w:val="0070697D"/>
    <w:rsid w:val="007159A9"/>
    <w:rsid w:val="007437D6"/>
    <w:rsid w:val="00752A12"/>
    <w:rsid w:val="00772916"/>
    <w:rsid w:val="0078217A"/>
    <w:rsid w:val="007D4AB7"/>
    <w:rsid w:val="0080711A"/>
    <w:rsid w:val="00851E9C"/>
    <w:rsid w:val="00863876"/>
    <w:rsid w:val="008F031A"/>
    <w:rsid w:val="008F6DBC"/>
    <w:rsid w:val="009471AA"/>
    <w:rsid w:val="00970C00"/>
    <w:rsid w:val="009C7F38"/>
    <w:rsid w:val="00A1176D"/>
    <w:rsid w:val="00A367D8"/>
    <w:rsid w:val="00A704ED"/>
    <w:rsid w:val="00AC0710"/>
    <w:rsid w:val="00AC2683"/>
    <w:rsid w:val="00B5008F"/>
    <w:rsid w:val="00B50595"/>
    <w:rsid w:val="00BF6C90"/>
    <w:rsid w:val="00C17180"/>
    <w:rsid w:val="00C54B74"/>
    <w:rsid w:val="00CE0AF1"/>
    <w:rsid w:val="00D04C96"/>
    <w:rsid w:val="00D76DEA"/>
    <w:rsid w:val="00D83FC5"/>
    <w:rsid w:val="00D84B22"/>
    <w:rsid w:val="00D94307"/>
    <w:rsid w:val="00E67221"/>
    <w:rsid w:val="00EA000E"/>
    <w:rsid w:val="00ED77F9"/>
    <w:rsid w:val="00F06AC5"/>
    <w:rsid w:val="00F84066"/>
    <w:rsid w:val="00F96266"/>
    <w:rsid w:val="00FB002B"/>
    <w:rsid w:val="00FD3CDC"/>
    <w:rsid w:val="00FF6CE7"/>
    <w:rsid w:val="00FF75F8"/>
    <w:rsid w:val="03E074C5"/>
    <w:rsid w:val="07593DF7"/>
    <w:rsid w:val="0F5357E6"/>
    <w:rsid w:val="13EA1747"/>
    <w:rsid w:val="25FE5A6E"/>
    <w:rsid w:val="264855B4"/>
    <w:rsid w:val="28147589"/>
    <w:rsid w:val="34197737"/>
    <w:rsid w:val="35155921"/>
    <w:rsid w:val="3B4715A0"/>
    <w:rsid w:val="418B1817"/>
    <w:rsid w:val="43B9413D"/>
    <w:rsid w:val="488310F9"/>
    <w:rsid w:val="48B107A4"/>
    <w:rsid w:val="4C545A6C"/>
    <w:rsid w:val="4FF16BA9"/>
    <w:rsid w:val="537F3A9B"/>
    <w:rsid w:val="5BAE0E5F"/>
    <w:rsid w:val="5E393B73"/>
    <w:rsid w:val="5F1B3BA5"/>
    <w:rsid w:val="62835017"/>
    <w:rsid w:val="64C5344F"/>
    <w:rsid w:val="660C5D7E"/>
    <w:rsid w:val="69193630"/>
    <w:rsid w:val="6AEC4AC6"/>
    <w:rsid w:val="7AFA7B5B"/>
    <w:rsid w:val="7EFA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rFonts w:ascii="Calibri" w:hAnsi="Calibri"/>
    </w:rPr>
  </w:style>
  <w:style w:type="paragraph" w:styleId="1">
    <w:name w:val="heading 1"/>
    <w:basedOn w:val="a1"/>
    <w:next w:val="a1"/>
    <w:link w:val="1Char"/>
    <w:uiPriority w:val="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1"/>
    <w:next w:val="a1"/>
    <w:link w:val="2Char"/>
    <w:uiPriority w:val="9"/>
    <w:qFormat/>
    <w:pPr>
      <w:keepNext/>
      <w:keepLines/>
      <w:spacing w:before="260" w:after="260" w:line="416" w:lineRule="auto"/>
      <w:outlineLvl w:val="1"/>
    </w:pPr>
    <w:rPr>
      <w:rFonts w:ascii="Cambria" w:hAnsi="Cambria"/>
      <w:b/>
      <w:bCs/>
      <w:kern w:val="2"/>
      <w:sz w:val="32"/>
      <w:szCs w:val="32"/>
    </w:rPr>
  </w:style>
  <w:style w:type="paragraph" w:styleId="3">
    <w:name w:val="heading 3"/>
    <w:basedOn w:val="a1"/>
    <w:next w:val="a1"/>
    <w:link w:val="3Char"/>
    <w:uiPriority w:val="9"/>
    <w:qFormat/>
    <w:pPr>
      <w:keepNext/>
      <w:keepLines/>
      <w:spacing w:before="260" w:after="260" w:line="416" w:lineRule="auto"/>
      <w:outlineLvl w:val="2"/>
    </w:pPr>
    <w:rPr>
      <w:rFonts w:ascii="Times New Roman" w:hAnsi="Times New Roman"/>
      <w:b/>
      <w:bCs/>
      <w:kern w:val="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
    <w:name w:val="toc 7"/>
    <w:basedOn w:val="a1"/>
    <w:next w:val="a1"/>
    <w:uiPriority w:val="39"/>
    <w:qFormat/>
    <w:pPr>
      <w:ind w:left="1200"/>
      <w:jc w:val="left"/>
    </w:pPr>
    <w:rPr>
      <w:rFonts w:cs="Calibri"/>
      <w:sz w:val="18"/>
      <w:szCs w:val="18"/>
    </w:rPr>
  </w:style>
  <w:style w:type="paragraph" w:styleId="a5">
    <w:name w:val="caption"/>
    <w:basedOn w:val="a1"/>
    <w:next w:val="a1"/>
    <w:uiPriority w:val="35"/>
    <w:qFormat/>
    <w:rPr>
      <w:rFonts w:ascii="Cambria" w:eastAsia="黑体" w:hAnsi="Cambria"/>
    </w:rPr>
  </w:style>
  <w:style w:type="paragraph" w:styleId="a6">
    <w:name w:val="annotation text"/>
    <w:basedOn w:val="a1"/>
    <w:link w:val="Char"/>
    <w:uiPriority w:val="99"/>
    <w:semiHidden/>
    <w:unhideWhenUsed/>
    <w:qFormat/>
    <w:pPr>
      <w:jc w:val="left"/>
    </w:pPr>
  </w:style>
  <w:style w:type="paragraph" w:styleId="5">
    <w:name w:val="toc 5"/>
    <w:basedOn w:val="a1"/>
    <w:next w:val="a1"/>
    <w:uiPriority w:val="39"/>
    <w:qFormat/>
    <w:pPr>
      <w:ind w:left="800"/>
      <w:jc w:val="left"/>
    </w:pPr>
    <w:rPr>
      <w:rFonts w:cs="Calibri"/>
      <w:sz w:val="18"/>
      <w:szCs w:val="18"/>
    </w:rPr>
  </w:style>
  <w:style w:type="paragraph" w:styleId="30">
    <w:name w:val="toc 3"/>
    <w:basedOn w:val="a1"/>
    <w:next w:val="a1"/>
    <w:uiPriority w:val="39"/>
    <w:qFormat/>
    <w:pPr>
      <w:ind w:left="400"/>
      <w:jc w:val="left"/>
    </w:pPr>
    <w:rPr>
      <w:rFonts w:cs="Calibri"/>
      <w:i/>
      <w:iCs/>
    </w:rPr>
  </w:style>
  <w:style w:type="paragraph" w:styleId="8">
    <w:name w:val="toc 8"/>
    <w:basedOn w:val="a1"/>
    <w:next w:val="a1"/>
    <w:uiPriority w:val="39"/>
    <w:qFormat/>
    <w:pPr>
      <w:ind w:left="1400"/>
      <w:jc w:val="left"/>
    </w:pPr>
    <w:rPr>
      <w:rFonts w:cs="Calibri"/>
      <w:sz w:val="18"/>
      <w:szCs w:val="18"/>
    </w:rPr>
  </w:style>
  <w:style w:type="paragraph" w:styleId="a7">
    <w:name w:val="Date"/>
    <w:basedOn w:val="a1"/>
    <w:next w:val="a1"/>
    <w:link w:val="Char0"/>
    <w:uiPriority w:val="99"/>
    <w:qFormat/>
    <w:pPr>
      <w:ind w:leftChars="2500" w:left="100"/>
    </w:pPr>
    <w:rPr>
      <w:rFonts w:ascii="Times New Roman" w:hAnsi="Times New Roman"/>
      <w:kern w:val="2"/>
      <w:sz w:val="21"/>
      <w:szCs w:val="24"/>
    </w:rPr>
  </w:style>
  <w:style w:type="paragraph" w:styleId="a8">
    <w:name w:val="Balloon Text"/>
    <w:basedOn w:val="a1"/>
    <w:link w:val="Char1"/>
    <w:uiPriority w:val="99"/>
    <w:qFormat/>
    <w:rPr>
      <w:rFonts w:ascii="Times New Roman" w:hAnsi="Times New Roman"/>
      <w:sz w:val="18"/>
      <w:szCs w:val="18"/>
    </w:rPr>
  </w:style>
  <w:style w:type="paragraph" w:styleId="a9">
    <w:name w:val="footer"/>
    <w:basedOn w:val="a1"/>
    <w:link w:val="Char2"/>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1"/>
    <w:link w:val="Char3"/>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1"/>
    <w:next w:val="a1"/>
    <w:uiPriority w:val="39"/>
    <w:qFormat/>
    <w:pPr>
      <w:spacing w:before="120" w:after="120"/>
      <w:jc w:val="left"/>
    </w:pPr>
    <w:rPr>
      <w:rFonts w:cs="Calibri"/>
      <w:b/>
      <w:bCs/>
      <w:caps/>
    </w:rPr>
  </w:style>
  <w:style w:type="paragraph" w:styleId="4">
    <w:name w:val="toc 4"/>
    <w:basedOn w:val="a1"/>
    <w:next w:val="a1"/>
    <w:uiPriority w:val="39"/>
    <w:qFormat/>
    <w:pPr>
      <w:ind w:left="600"/>
      <w:jc w:val="left"/>
    </w:pPr>
    <w:rPr>
      <w:rFonts w:cs="Calibri"/>
      <w:sz w:val="18"/>
      <w:szCs w:val="18"/>
    </w:rPr>
  </w:style>
  <w:style w:type="paragraph" w:styleId="ab">
    <w:name w:val="footnote text"/>
    <w:basedOn w:val="a1"/>
    <w:link w:val="Char4"/>
    <w:uiPriority w:val="99"/>
    <w:qFormat/>
    <w:pPr>
      <w:snapToGrid w:val="0"/>
      <w:jc w:val="left"/>
    </w:pPr>
    <w:rPr>
      <w:kern w:val="2"/>
      <w:sz w:val="18"/>
      <w:szCs w:val="18"/>
    </w:rPr>
  </w:style>
  <w:style w:type="paragraph" w:styleId="6">
    <w:name w:val="toc 6"/>
    <w:basedOn w:val="a1"/>
    <w:next w:val="a1"/>
    <w:uiPriority w:val="39"/>
    <w:qFormat/>
    <w:pPr>
      <w:ind w:left="1000"/>
      <w:jc w:val="left"/>
    </w:pPr>
    <w:rPr>
      <w:rFonts w:cs="Calibri"/>
      <w:sz w:val="18"/>
      <w:szCs w:val="18"/>
    </w:rPr>
  </w:style>
  <w:style w:type="paragraph" w:styleId="ac">
    <w:name w:val="table of figures"/>
    <w:basedOn w:val="a1"/>
    <w:next w:val="a1"/>
    <w:uiPriority w:val="99"/>
    <w:qFormat/>
    <w:pPr>
      <w:ind w:leftChars="200" w:left="200" w:hangingChars="200" w:hanging="200"/>
    </w:pPr>
  </w:style>
  <w:style w:type="paragraph" w:styleId="20">
    <w:name w:val="toc 2"/>
    <w:basedOn w:val="a1"/>
    <w:next w:val="a1"/>
    <w:uiPriority w:val="39"/>
    <w:qFormat/>
    <w:pPr>
      <w:ind w:left="200"/>
      <w:jc w:val="left"/>
    </w:pPr>
    <w:rPr>
      <w:rFonts w:cs="Calibri"/>
      <w:smallCaps/>
    </w:rPr>
  </w:style>
  <w:style w:type="paragraph" w:styleId="9">
    <w:name w:val="toc 9"/>
    <w:basedOn w:val="a1"/>
    <w:next w:val="a1"/>
    <w:uiPriority w:val="39"/>
    <w:qFormat/>
    <w:pPr>
      <w:ind w:left="1600"/>
      <w:jc w:val="left"/>
    </w:pPr>
    <w:rPr>
      <w:rFonts w:cs="Calibri"/>
      <w:sz w:val="18"/>
      <w:szCs w:val="18"/>
    </w:rPr>
  </w:style>
  <w:style w:type="paragraph" w:styleId="ad">
    <w:name w:val="Normal (Web)"/>
    <w:basedOn w:val="a1"/>
    <w:uiPriority w:val="99"/>
    <w:qFormat/>
    <w:pPr>
      <w:widowControl/>
      <w:spacing w:before="100" w:beforeAutospacing="1" w:after="100" w:afterAutospacing="1"/>
      <w:jc w:val="left"/>
    </w:pPr>
    <w:rPr>
      <w:rFonts w:ascii="宋体" w:hAnsi="宋体" w:cs="宋体"/>
      <w:sz w:val="24"/>
      <w:szCs w:val="24"/>
    </w:rPr>
  </w:style>
  <w:style w:type="table" w:styleId="ae">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basedOn w:val="a2"/>
    <w:qFormat/>
  </w:style>
  <w:style w:type="character" w:styleId="af1">
    <w:name w:val="FollowedHyperlink"/>
    <w:uiPriority w:val="99"/>
    <w:qFormat/>
    <w:rPr>
      <w:color w:val="800080"/>
      <w:u w:val="single"/>
    </w:rPr>
  </w:style>
  <w:style w:type="character" w:styleId="af2">
    <w:name w:val="Hyperlink"/>
    <w:uiPriority w:val="99"/>
    <w:qFormat/>
    <w:rPr>
      <w:color w:val="0000FF"/>
      <w:u w:val="single"/>
    </w:rPr>
  </w:style>
  <w:style w:type="character" w:styleId="af3">
    <w:name w:val="annotation reference"/>
    <w:basedOn w:val="a2"/>
    <w:uiPriority w:val="99"/>
    <w:semiHidden/>
    <w:unhideWhenUsed/>
    <w:qFormat/>
    <w:rPr>
      <w:sz w:val="21"/>
      <w:szCs w:val="21"/>
    </w:rPr>
  </w:style>
  <w:style w:type="character" w:styleId="af4">
    <w:name w:val="footnote reference"/>
    <w:uiPriority w:val="99"/>
    <w:qFormat/>
    <w:rPr>
      <w:vertAlign w:val="superscript"/>
    </w:rPr>
  </w:style>
  <w:style w:type="character" w:customStyle="1" w:styleId="Char5">
    <w:name w:val="新二级标题 Char"/>
    <w:link w:val="a"/>
    <w:qFormat/>
    <w:rPr>
      <w:rFonts w:ascii="楷体" w:eastAsia="楷体" w:hAnsi="楷体"/>
      <w:sz w:val="32"/>
    </w:rPr>
  </w:style>
  <w:style w:type="paragraph" w:customStyle="1" w:styleId="a">
    <w:name w:val="新二级标题"/>
    <w:basedOn w:val="a1"/>
    <w:link w:val="Char5"/>
    <w:qFormat/>
    <w:pPr>
      <w:numPr>
        <w:numId w:val="1"/>
      </w:numPr>
    </w:pPr>
    <w:rPr>
      <w:rFonts w:ascii="楷体" w:eastAsia="楷体" w:hAnsi="楷体"/>
      <w:sz w:val="32"/>
    </w:rPr>
  </w:style>
  <w:style w:type="character" w:customStyle="1" w:styleId="3Char">
    <w:name w:val="标题 3 Char"/>
    <w:link w:val="3"/>
    <w:uiPriority w:val="9"/>
    <w:qFormat/>
    <w:rPr>
      <w:rFonts w:ascii="Times New Roman" w:hAnsi="Times New Roman"/>
      <w:b/>
      <w:bCs/>
      <w:kern w:val="2"/>
      <w:sz w:val="32"/>
      <w:szCs w:val="32"/>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Char1">
    <w:name w:val="批注框文本 Char"/>
    <w:link w:val="a8"/>
    <w:uiPriority w:val="99"/>
    <w:qFormat/>
    <w:rPr>
      <w:rFonts w:ascii="Times New Roman" w:eastAsia="宋体" w:hAnsi="Times New Roman" w:cs="Times New Roman"/>
      <w:sz w:val="18"/>
      <w:szCs w:val="18"/>
    </w:rPr>
  </w:style>
  <w:style w:type="character" w:customStyle="1" w:styleId="Char6">
    <w:name w:val="段 Char"/>
    <w:link w:val="af5"/>
    <w:qFormat/>
    <w:rPr>
      <w:rFonts w:ascii="宋体" w:hAnsi="Times New Roman"/>
      <w:kern w:val="2"/>
      <w:sz w:val="22"/>
      <w:szCs w:val="22"/>
      <w:lang w:val="en-US" w:eastAsia="zh-CN" w:bidi="ar-SA"/>
    </w:rPr>
  </w:style>
  <w:style w:type="paragraph" w:customStyle="1" w:styleId="af5">
    <w:name w:val="段"/>
    <w:link w:val="Char6"/>
    <w:qFormat/>
    <w:pPr>
      <w:tabs>
        <w:tab w:val="center" w:pos="4201"/>
        <w:tab w:val="right" w:leader="dot" w:pos="9298"/>
      </w:tabs>
      <w:autoSpaceDE w:val="0"/>
      <w:autoSpaceDN w:val="0"/>
      <w:ind w:firstLineChars="200" w:firstLine="420"/>
      <w:jc w:val="both"/>
    </w:pPr>
    <w:rPr>
      <w:rFonts w:ascii="宋体"/>
      <w:kern w:val="2"/>
      <w:sz w:val="22"/>
      <w:szCs w:val="22"/>
    </w:rPr>
  </w:style>
  <w:style w:type="character" w:customStyle="1" w:styleId="Char3">
    <w:name w:val="页眉 Char"/>
    <w:link w:val="aa"/>
    <w:uiPriority w:val="99"/>
    <w:qFormat/>
    <w:rPr>
      <w:rFonts w:ascii="Times New Roman" w:eastAsia="宋体" w:hAnsi="Times New Roman" w:cs="Times New Roman"/>
      <w:sz w:val="18"/>
      <w:szCs w:val="18"/>
    </w:rPr>
  </w:style>
  <w:style w:type="character" w:customStyle="1" w:styleId="Char4">
    <w:name w:val="脚注文本 Char"/>
    <w:link w:val="ab"/>
    <w:uiPriority w:val="99"/>
    <w:qFormat/>
    <w:rPr>
      <w:kern w:val="2"/>
      <w:sz w:val="18"/>
      <w:szCs w:val="18"/>
    </w:rPr>
  </w:style>
  <w:style w:type="character" w:customStyle="1" w:styleId="Char7">
    <w:name w:val="二级标题 Char"/>
    <w:qFormat/>
    <w:rPr>
      <w:rFonts w:ascii="楷体" w:eastAsia="楷体" w:hAnsi="楷体"/>
      <w:color w:val="000000"/>
      <w:kern w:val="2"/>
      <w:sz w:val="32"/>
      <w:szCs w:val="32"/>
    </w:rPr>
  </w:style>
  <w:style w:type="character" w:customStyle="1" w:styleId="Char2">
    <w:name w:val="页脚 Char"/>
    <w:link w:val="a9"/>
    <w:uiPriority w:val="99"/>
    <w:qFormat/>
    <w:rPr>
      <w:rFonts w:ascii="Times New Roman" w:eastAsia="宋体" w:hAnsi="Times New Roman" w:cs="Times New Roman"/>
      <w:sz w:val="18"/>
      <w:szCs w:val="18"/>
    </w:rPr>
  </w:style>
  <w:style w:type="character" w:customStyle="1" w:styleId="Char8">
    <w:name w:val="列出段落 Char"/>
    <w:link w:val="af6"/>
    <w:uiPriority w:val="34"/>
    <w:qFormat/>
    <w:rPr>
      <w:rFonts w:ascii="Times New Roman" w:eastAsia="仿宋" w:hAnsi="Times New Roman"/>
      <w:kern w:val="2"/>
      <w:sz w:val="32"/>
      <w:szCs w:val="24"/>
    </w:rPr>
  </w:style>
  <w:style w:type="paragraph" w:styleId="af6">
    <w:name w:val="List Paragraph"/>
    <w:basedOn w:val="a1"/>
    <w:link w:val="Char8"/>
    <w:uiPriority w:val="34"/>
    <w:qFormat/>
    <w:pPr>
      <w:ind w:firstLineChars="200" w:firstLine="420"/>
    </w:pPr>
    <w:rPr>
      <w:rFonts w:ascii="Times New Roman" w:eastAsia="仿宋" w:hAnsi="Times New Roman"/>
      <w:kern w:val="2"/>
      <w:sz w:val="32"/>
      <w:szCs w:val="2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Char9">
    <w:name w:val="无间隔 Char"/>
    <w:uiPriority w:val="1"/>
    <w:qFormat/>
    <w:rPr>
      <w:rFonts w:eastAsia="仿宋"/>
      <w:sz w:val="32"/>
    </w:rPr>
  </w:style>
  <w:style w:type="character" w:customStyle="1" w:styleId="Char0">
    <w:name w:val="日期 Char"/>
    <w:link w:val="a7"/>
    <w:uiPriority w:val="99"/>
    <w:qFormat/>
    <w:rPr>
      <w:rFonts w:ascii="Times New Roman" w:hAnsi="Times New Roman"/>
      <w:kern w:val="2"/>
      <w:sz w:val="21"/>
      <w:szCs w:val="24"/>
    </w:rPr>
  </w:style>
  <w:style w:type="paragraph" w:customStyle="1" w:styleId="xl92">
    <w:name w:val="xl92"/>
    <w:basedOn w:val="a1"/>
    <w:qFormat/>
    <w:pPr>
      <w:widowControl/>
      <w:spacing w:before="100" w:beforeAutospacing="1" w:after="100" w:afterAutospacing="1"/>
      <w:jc w:val="left"/>
    </w:pPr>
    <w:rPr>
      <w:rFonts w:ascii="宋体" w:hAnsi="宋体" w:cs="宋体"/>
      <w:sz w:val="18"/>
      <w:szCs w:val="18"/>
    </w:rPr>
  </w:style>
  <w:style w:type="paragraph" w:customStyle="1" w:styleId="xl72">
    <w:name w:val="xl72"/>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font5">
    <w:name w:val="font5"/>
    <w:basedOn w:val="a1"/>
    <w:qFormat/>
    <w:pPr>
      <w:widowControl/>
      <w:spacing w:before="100" w:beforeAutospacing="1" w:after="100" w:afterAutospacing="1"/>
      <w:jc w:val="left"/>
    </w:pPr>
    <w:rPr>
      <w:rFonts w:ascii="宋体" w:hAnsi="宋体" w:cs="宋体"/>
      <w:sz w:val="18"/>
      <w:szCs w:val="18"/>
    </w:rPr>
  </w:style>
  <w:style w:type="paragraph" w:customStyle="1" w:styleId="TOC1">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xl76">
    <w:name w:val="xl76"/>
    <w:basedOn w:val="a1"/>
    <w:qFormat/>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CharCharCharChar">
    <w:name w:val="Char Char Char Char"/>
    <w:basedOn w:val="a1"/>
    <w:qFormat/>
    <w:pPr>
      <w:widowControl/>
      <w:spacing w:after="160" w:line="240" w:lineRule="exact"/>
      <w:jc w:val="left"/>
    </w:pPr>
  </w:style>
  <w:style w:type="paragraph" w:customStyle="1" w:styleId="xl83">
    <w:name w:val="xl83"/>
    <w:basedOn w:val="a1"/>
    <w:qFormat/>
    <w:pPr>
      <w:widowControl/>
      <w:pBdr>
        <w:top w:val="single" w:sz="4" w:space="0" w:color="000000"/>
        <w:lef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91">
    <w:name w:val="xl91"/>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8">
    <w:name w:val="xl78"/>
    <w:basedOn w:val="a1"/>
    <w:qFormat/>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0">
    <w:name w:val="xl80"/>
    <w:basedOn w:val="a1"/>
    <w:qFormat/>
    <w:pPr>
      <w:widowControl/>
      <w:pBdr>
        <w:top w:val="single" w:sz="4" w:space="0" w:color="000000"/>
        <w:left w:val="single" w:sz="4" w:space="0" w:color="000000"/>
        <w:bottom w:val="single" w:sz="4" w:space="0" w:color="000000"/>
        <w:right w:val="single" w:sz="4" w:space="0" w:color="000000"/>
      </w:pBdr>
      <w:shd w:val="clear" w:color="000000" w:fill="9BBB59"/>
      <w:spacing w:before="100" w:beforeAutospacing="1" w:after="100" w:afterAutospacing="1"/>
      <w:jc w:val="left"/>
    </w:pPr>
    <w:rPr>
      <w:rFonts w:ascii="宋体" w:hAnsi="宋体" w:cs="宋体"/>
      <w:color w:val="000000"/>
      <w:sz w:val="18"/>
      <w:szCs w:val="18"/>
    </w:rPr>
  </w:style>
  <w:style w:type="paragraph" w:customStyle="1" w:styleId="xl77">
    <w:name w:val="xl77"/>
    <w:basedOn w:val="a1"/>
    <w:qFormat/>
    <w:pPr>
      <w:widowControl/>
      <w:pBdr>
        <w:top w:val="single" w:sz="4" w:space="0" w:color="auto"/>
        <w:left w:val="single" w:sz="4" w:space="0" w:color="auto"/>
        <w:right w:val="single" w:sz="4" w:space="0" w:color="auto"/>
      </w:pBdr>
      <w:shd w:val="clear" w:color="000000" w:fill="EEECE1"/>
      <w:spacing w:before="100" w:beforeAutospacing="1" w:after="100" w:afterAutospacing="1"/>
      <w:jc w:val="left"/>
    </w:pPr>
    <w:rPr>
      <w:rFonts w:ascii="宋体" w:hAnsi="宋体" w:cs="宋体"/>
      <w:color w:val="000000"/>
      <w:sz w:val="18"/>
      <w:szCs w:val="18"/>
    </w:rPr>
  </w:style>
  <w:style w:type="paragraph" w:customStyle="1" w:styleId="xl81">
    <w:name w:val="xl81"/>
    <w:basedOn w:val="a1"/>
    <w:qFormat/>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pPr>
    <w:rPr>
      <w:rFonts w:ascii="宋体" w:hAnsi="宋体" w:cs="宋体"/>
      <w:color w:val="000000"/>
      <w:sz w:val="18"/>
      <w:szCs w:val="18"/>
    </w:rPr>
  </w:style>
  <w:style w:type="paragraph" w:customStyle="1" w:styleId="xl90">
    <w:name w:val="xl90"/>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4">
    <w:name w:val="xl74"/>
    <w:basedOn w:val="a1"/>
    <w:qFormat/>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2">
    <w:name w:val="xl82"/>
    <w:basedOn w:val="a1"/>
    <w:qFormat/>
    <w:pPr>
      <w:widowControl/>
      <w:pBdr>
        <w:top w:val="single" w:sz="4" w:space="0" w:color="000000"/>
        <w:left w:val="single" w:sz="4" w:space="0" w:color="000000"/>
        <w:bottom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84">
    <w:name w:val="xl84"/>
    <w:basedOn w:val="a1"/>
    <w:qFormat/>
    <w:pPr>
      <w:widowControl/>
      <w:pBdr>
        <w:top w:val="single" w:sz="4" w:space="0" w:color="000000"/>
        <w:left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7">
    <w:name w:val="xl87"/>
    <w:basedOn w:val="a1"/>
    <w:qFormat/>
    <w:pPr>
      <w:widowControl/>
      <w:pBdr>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79">
    <w:name w:val="xl79"/>
    <w:basedOn w:val="a1"/>
    <w:qFormat/>
    <w:pPr>
      <w:widowControl/>
      <w:pBdr>
        <w:top w:val="single" w:sz="4" w:space="0" w:color="000000"/>
        <w:left w:val="single" w:sz="4" w:space="0" w:color="000000"/>
        <w:bottom w:val="single" w:sz="4" w:space="0" w:color="000000"/>
        <w:right w:val="single" w:sz="4" w:space="0" w:color="000000"/>
      </w:pBdr>
      <w:shd w:val="clear" w:color="000000" w:fill="DDD9C3"/>
      <w:spacing w:before="100" w:beforeAutospacing="1" w:after="100" w:afterAutospacing="1"/>
      <w:jc w:val="left"/>
    </w:pPr>
    <w:rPr>
      <w:rFonts w:ascii="宋体" w:hAnsi="宋体" w:cs="宋体"/>
      <w:color w:val="000000"/>
      <w:sz w:val="18"/>
      <w:szCs w:val="18"/>
    </w:rPr>
  </w:style>
  <w:style w:type="paragraph" w:customStyle="1" w:styleId="xl85">
    <w:name w:val="xl85"/>
    <w:basedOn w:val="a1"/>
    <w:qFormat/>
    <w:pPr>
      <w:widowControl/>
      <w:pBdr>
        <w:top w:val="single" w:sz="4" w:space="0" w:color="auto"/>
        <w:left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xl88">
    <w:name w:val="xl88"/>
    <w:basedOn w:val="a1"/>
    <w:qFormat/>
    <w:pPr>
      <w:widowControl/>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pPr>
    <w:rPr>
      <w:rFonts w:ascii="宋体" w:hAnsi="宋体" w:cs="宋体"/>
      <w:color w:val="000000"/>
      <w:sz w:val="18"/>
      <w:szCs w:val="18"/>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sz w:val="18"/>
      <w:szCs w:val="18"/>
    </w:rPr>
  </w:style>
  <w:style w:type="paragraph" w:customStyle="1" w:styleId="xl73">
    <w:name w:val="xl73"/>
    <w:basedOn w:val="a1"/>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p0">
    <w:name w:val="p0"/>
    <w:basedOn w:val="a1"/>
    <w:qFormat/>
    <w:pPr>
      <w:widowControl/>
    </w:pPr>
    <w:rPr>
      <w:rFonts w:cs="宋体"/>
      <w:sz w:val="21"/>
      <w:szCs w:val="21"/>
    </w:rPr>
  </w:style>
  <w:style w:type="paragraph" w:customStyle="1" w:styleId="xl70">
    <w:name w:val="xl70"/>
    <w:basedOn w:val="a1"/>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color w:val="000000"/>
      <w:sz w:val="18"/>
      <w:szCs w:val="18"/>
    </w:rPr>
  </w:style>
  <w:style w:type="paragraph" w:customStyle="1" w:styleId="xl69">
    <w:name w:val="xl69"/>
    <w:basedOn w:val="a1"/>
    <w:qFormat/>
    <w:pPr>
      <w:widowControl/>
      <w:spacing w:before="100" w:beforeAutospacing="1" w:after="100" w:afterAutospacing="1"/>
      <w:jc w:val="left"/>
    </w:pPr>
    <w:rPr>
      <w:rFonts w:ascii="宋体" w:hAnsi="宋体" w:cs="宋体"/>
      <w:sz w:val="18"/>
      <w:szCs w:val="18"/>
    </w:rPr>
  </w:style>
  <w:style w:type="paragraph" w:customStyle="1" w:styleId="xl71">
    <w:name w:val="xl71"/>
    <w:basedOn w:val="a1"/>
    <w:qFormat/>
    <w:pPr>
      <w:widowControl/>
      <w:pBdr>
        <w:top w:val="single" w:sz="4" w:space="0" w:color="000000"/>
        <w:left w:val="single" w:sz="4" w:space="0" w:color="000000"/>
        <w:bottom w:val="single" w:sz="4" w:space="0" w:color="000000"/>
        <w:right w:val="single" w:sz="4" w:space="0" w:color="000000"/>
      </w:pBdr>
      <w:shd w:val="clear" w:color="000000" w:fill="F79646"/>
      <w:spacing w:before="100" w:beforeAutospacing="1" w:after="100" w:afterAutospacing="1"/>
      <w:jc w:val="left"/>
    </w:pPr>
    <w:rPr>
      <w:rFonts w:ascii="宋体" w:hAnsi="宋体" w:cs="宋体"/>
      <w:color w:val="000000"/>
      <w:sz w:val="18"/>
      <w:szCs w:val="18"/>
    </w:rPr>
  </w:style>
  <w:style w:type="paragraph" w:customStyle="1" w:styleId="a0">
    <w:name w:val="章标题"/>
    <w:next w:val="af5"/>
    <w:uiPriority w:val="99"/>
    <w:qFormat/>
    <w:pPr>
      <w:numPr>
        <w:numId w:val="2"/>
      </w:numPr>
      <w:spacing w:beforeLines="100" w:afterLines="100"/>
      <w:jc w:val="both"/>
      <w:outlineLvl w:val="1"/>
    </w:pPr>
    <w:rPr>
      <w:rFonts w:ascii="黑体" w:eastAsia="黑体"/>
      <w:sz w:val="21"/>
    </w:rPr>
  </w:style>
  <w:style w:type="character" w:customStyle="1" w:styleId="bjh-p">
    <w:name w:val="bjh-p"/>
    <w:basedOn w:val="a2"/>
  </w:style>
  <w:style w:type="character" w:customStyle="1" w:styleId="font11">
    <w:name w:val="font11"/>
    <w:basedOn w:val="a2"/>
    <w:rPr>
      <w:rFonts w:ascii="宋体" w:eastAsia="宋体" w:hAnsi="宋体" w:cs="宋体" w:hint="eastAsia"/>
      <w:color w:val="000000"/>
      <w:sz w:val="22"/>
      <w:szCs w:val="22"/>
      <w:u w:val="none"/>
    </w:rPr>
  </w:style>
  <w:style w:type="paragraph" w:customStyle="1" w:styleId="TOC11">
    <w:name w:val="TOC 标题11"/>
    <w:basedOn w:val="1"/>
    <w:next w:val="a1"/>
    <w:uiPriority w:val="39"/>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Char">
    <w:name w:val="批注文字 Char"/>
    <w:basedOn w:val="a2"/>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E6534-1C0E-4A16-B5F0-3EFD0C26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6634</Words>
  <Characters>5594</Characters>
  <Application>Microsoft Office Word</Application>
  <DocSecurity>0</DocSecurity>
  <Lines>46</Lines>
  <Paragraphs>24</Paragraphs>
  <ScaleCrop>false</ScaleCrop>
  <Company>Hewlett-Packard Company</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芦菁</dc:creator>
  <cp:lastModifiedBy>许慧雯</cp:lastModifiedBy>
  <cp:revision>3</cp:revision>
  <cp:lastPrinted>2021-02-01T08:51:00Z</cp:lastPrinted>
  <dcterms:created xsi:type="dcterms:W3CDTF">2021-02-05T02:15:00Z</dcterms:created>
  <dcterms:modified xsi:type="dcterms:W3CDTF">2021-02-05T02:16:00Z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