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305D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7DDDF1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 w14:paraId="5BBB6C4B"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药品实验室质量管理高级培训班报名二维码</w:t>
      </w:r>
    </w:p>
    <w:p w14:paraId="6CF26DC0"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</w:p>
    <w:p w14:paraId="33628EF9"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drawing>
          <wp:inline distT="0" distB="0" distL="114300" distR="114300">
            <wp:extent cx="3810000" cy="3810000"/>
            <wp:effectExtent l="0" t="0" r="0" b="0"/>
            <wp:docPr id="1" name="图片 1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B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2026-03-25T04:47:28Z</dcterms:created>
  <dc:creator>LiuJun</dc:creator>
  <cp:lastModifiedBy>zpb</cp:lastModifiedBy>
  <dcterms:modified xsi:type="dcterms:W3CDTF">2026-03-25T04:48:54Z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eyJoZGlkIjoiNWY2ZDE4NGYzOGYxNDRiZjkxZjRhMzc3YTE1MzUzODciLCJ1c2VySWQiOiIyNzc1MTgxODUifQ==</vt:lpwstr>
  </property>
  <property fmtid="{D5CDD505-2E9C-101B-9397-08002B2CF9AE}" pid="4" name="ICV">
    <vt:lpwstr>8B598517EFAB426296BB419B23243EDB_12</vt:lpwstr>
  </property>
</Properties>
</file>