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61" w:rsidRDefault="00C4016E">
      <w:pPr>
        <w:spacing w:line="360" w:lineRule="auto"/>
        <w:ind w:firstLineChars="200" w:firstLine="640"/>
        <w:outlineLvl w:val="0"/>
        <w:rPr>
          <w:rFonts w:ascii="Times New Roman" w:eastAsia="仿宋_GB2312" w:hAnsi="Times New Roman"/>
          <w:sz w:val="32"/>
          <w:szCs w:val="32"/>
        </w:rPr>
      </w:pPr>
      <w:bookmarkStart w:id="0" w:name="_Toc45109066"/>
      <w:bookmarkStart w:id="1" w:name="_Toc14731"/>
      <w:bookmarkStart w:id="2" w:name="_Toc63081463"/>
      <w:r>
        <w:rPr>
          <w:rFonts w:ascii="Times New Roman" w:eastAsia="仿宋_GB2312" w:hAnsi="Times New Roman" w:hint="eastAsia"/>
          <w:sz w:val="32"/>
          <w:szCs w:val="32"/>
        </w:rPr>
        <w:t>附表</w:t>
      </w:r>
      <w:bookmarkEnd w:id="0"/>
      <w:r>
        <w:rPr>
          <w:rFonts w:ascii="Times New Roman" w:eastAsia="仿宋_GB2312" w:hAnsi="Times New Roman" w:hint="eastAsia"/>
          <w:sz w:val="32"/>
          <w:szCs w:val="32"/>
        </w:rPr>
        <w:t>6</w:t>
      </w:r>
      <w:bookmarkStart w:id="3" w:name="_GoBack"/>
      <w:bookmarkEnd w:id="1"/>
      <w:bookmarkEnd w:id="2"/>
      <w:bookmarkEnd w:id="3"/>
    </w:p>
    <w:p w:rsidR="00D80861" w:rsidRDefault="00C4016E">
      <w:pPr>
        <w:spacing w:line="360" w:lineRule="auto"/>
        <w:jc w:val="center"/>
        <w:outlineLvl w:val="0"/>
        <w:rPr>
          <w:rFonts w:ascii="Times New Roman" w:eastAsia="仿宋_GB2312" w:hAnsi="Times New Roman"/>
          <w:b/>
          <w:sz w:val="32"/>
          <w:szCs w:val="32"/>
        </w:rPr>
      </w:pPr>
      <w:bookmarkStart w:id="4" w:name="_Toc24049"/>
      <w:bookmarkStart w:id="5" w:name="_Toc45109067"/>
      <w:bookmarkStart w:id="6" w:name="_Toc63081464"/>
      <w:r>
        <w:rPr>
          <w:rFonts w:ascii="Times New Roman" w:eastAsia="仿宋_GB2312" w:hAnsi="Times New Roman" w:hint="eastAsia"/>
          <w:b/>
          <w:sz w:val="32"/>
          <w:szCs w:val="32"/>
        </w:rPr>
        <w:t>医疗器械标准化（分）技术委员会及技术归口单位列表</w:t>
      </w:r>
      <w:bookmarkEnd w:id="4"/>
      <w:bookmarkEnd w:id="5"/>
      <w:bookmarkEnd w:id="6"/>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174"/>
        <w:gridCol w:w="3249"/>
        <w:gridCol w:w="2814"/>
        <w:gridCol w:w="2176"/>
      </w:tblGrid>
      <w:tr w:rsidR="00D80861">
        <w:trPr>
          <w:cantSplit/>
          <w:trHeight w:val="510"/>
          <w:tblHeader/>
          <w:jc w:val="center"/>
        </w:trPr>
        <w:tc>
          <w:tcPr>
            <w:tcW w:w="281" w:type="pct"/>
            <w:shd w:val="clear" w:color="auto" w:fill="auto"/>
            <w:vAlign w:val="center"/>
          </w:tcPr>
          <w:p w:rsidR="00D80861" w:rsidRDefault="00C4016E">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序号</w:t>
            </w:r>
          </w:p>
        </w:tc>
        <w:tc>
          <w:tcPr>
            <w:tcW w:w="1819" w:type="pct"/>
            <w:shd w:val="clear" w:color="auto" w:fill="auto"/>
            <w:vAlign w:val="center"/>
          </w:tcPr>
          <w:p w:rsidR="00D80861" w:rsidRDefault="00C4016E">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标委会</w:t>
            </w:r>
            <w:r>
              <w:rPr>
                <w:rFonts w:ascii="Times New Roman" w:eastAsia="仿宋_GB2312" w:hAnsi="Times New Roman" w:cs="宋体" w:hint="eastAsia"/>
                <w:b/>
                <w:sz w:val="24"/>
                <w:szCs w:val="24"/>
              </w:rPr>
              <w:t>/</w:t>
            </w:r>
            <w:r>
              <w:rPr>
                <w:rFonts w:ascii="Times New Roman" w:eastAsia="仿宋_GB2312" w:hAnsi="Times New Roman" w:cs="宋体" w:hint="eastAsia"/>
                <w:b/>
                <w:sz w:val="24"/>
                <w:szCs w:val="24"/>
              </w:rPr>
              <w:t>归口单位（代号）</w:t>
            </w:r>
          </w:p>
        </w:tc>
        <w:tc>
          <w:tcPr>
            <w:tcW w:w="1143" w:type="pct"/>
            <w:shd w:val="clear" w:color="auto" w:fill="auto"/>
            <w:vAlign w:val="center"/>
          </w:tcPr>
          <w:p w:rsidR="00D80861" w:rsidRDefault="00C4016E">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秘书处承担单位</w:t>
            </w:r>
          </w:p>
        </w:tc>
        <w:tc>
          <w:tcPr>
            <w:tcW w:w="990" w:type="pct"/>
            <w:vAlign w:val="center"/>
          </w:tcPr>
          <w:p w:rsidR="00D80861" w:rsidRDefault="00C4016E">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地址</w:t>
            </w:r>
          </w:p>
        </w:tc>
        <w:tc>
          <w:tcPr>
            <w:tcW w:w="765" w:type="pct"/>
            <w:vAlign w:val="center"/>
          </w:tcPr>
          <w:p w:rsidR="00D80861" w:rsidRDefault="00C4016E">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联系电话</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w:t>
            </w:r>
            <w:r>
              <w:rPr>
                <w:rFonts w:ascii="Times New Roman" w:eastAsia="仿宋_GB2312" w:hAnsi="Times New Roman" w:cs="宋体" w:hint="eastAsia"/>
                <w:sz w:val="24"/>
                <w:szCs w:val="24"/>
              </w:rPr>
              <w:t xml:space="preserve">SAC/TC10 </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hint="eastAsia"/>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射线设备及用具分技术委员会（</w:t>
            </w:r>
            <w:r>
              <w:rPr>
                <w:rFonts w:ascii="Times New Roman" w:eastAsia="仿宋_GB2312" w:hAnsi="Times New Roman" w:cs="宋体" w:hint="eastAsia"/>
                <w:sz w:val="24"/>
                <w:szCs w:val="24"/>
              </w:rPr>
              <w:t>SAC/TC10/SC1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辽宁省医疗器械检验检测院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辽宁省沈阳市</w:t>
            </w:r>
            <w:proofErr w:type="gramStart"/>
            <w:r>
              <w:rPr>
                <w:rFonts w:ascii="Times New Roman" w:eastAsia="仿宋_GB2312" w:hAnsi="Times New Roman" w:cs="宋体" w:hint="eastAsia"/>
                <w:sz w:val="24"/>
                <w:szCs w:val="24"/>
              </w:rPr>
              <w:t>浑</w:t>
            </w:r>
            <w:proofErr w:type="gramEnd"/>
            <w:r>
              <w:rPr>
                <w:rFonts w:ascii="Times New Roman" w:eastAsia="仿宋_GB2312" w:hAnsi="Times New Roman" w:cs="宋体" w:hint="eastAsia"/>
                <w:sz w:val="24"/>
                <w:szCs w:val="24"/>
              </w:rPr>
              <w:t>南区麦子屯</w:t>
            </w:r>
            <w:r>
              <w:rPr>
                <w:rFonts w:ascii="Times New Roman" w:eastAsia="仿宋_GB2312" w:hAnsi="Times New Roman" w:cs="宋体" w:hint="eastAsia"/>
                <w:sz w:val="24"/>
                <w:szCs w:val="24"/>
              </w:rPr>
              <w:t>600-1</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024-83781002</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全国医用电器标准化技术委员会医用超声设备标准化分技术委员会（</w:t>
            </w:r>
            <w:r>
              <w:rPr>
                <w:rFonts w:ascii="Times New Roman" w:eastAsia="仿宋_GB2312" w:hAnsi="Times New Roman" w:cs="宋体" w:hint="eastAsia"/>
                <w:sz w:val="24"/>
                <w:szCs w:val="24"/>
              </w:rPr>
              <w:t>SAC/TC10/SC2</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湖北省医疗器械质量监督检验研究院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湖北省武汉市高新大道</w:t>
            </w:r>
            <w:r>
              <w:rPr>
                <w:rFonts w:ascii="Times New Roman" w:eastAsia="仿宋_GB2312" w:hAnsi="Times New Roman" w:cs="宋体" w:hint="eastAsia"/>
                <w:sz w:val="24"/>
                <w:szCs w:val="24"/>
              </w:rPr>
              <w:t>666</w:t>
            </w:r>
            <w:r>
              <w:rPr>
                <w:rFonts w:ascii="Times New Roman" w:eastAsia="仿宋_GB2312" w:hAnsi="Times New Roman" w:cs="宋体" w:hint="eastAsia"/>
                <w:sz w:val="24"/>
                <w:szCs w:val="24"/>
              </w:rPr>
              <w:t>号</w:t>
            </w:r>
            <w:r>
              <w:rPr>
                <w:rFonts w:ascii="Times New Roman" w:eastAsia="仿宋_GB2312" w:hAnsi="Times New Roman" w:cs="宋体" w:hint="eastAsia"/>
                <w:sz w:val="24"/>
                <w:szCs w:val="24"/>
              </w:rPr>
              <w:t>G</w:t>
            </w:r>
            <w:r>
              <w:rPr>
                <w:rFonts w:ascii="Times New Roman" w:eastAsia="仿宋_GB2312" w:hAnsi="Times New Roman" w:cs="宋体" w:hint="eastAsia"/>
                <w:sz w:val="24"/>
                <w:szCs w:val="24"/>
              </w:rPr>
              <w:t>区</w:t>
            </w:r>
            <w:r>
              <w:rPr>
                <w:rFonts w:ascii="Times New Roman" w:eastAsia="仿宋_GB2312" w:hAnsi="Times New Roman" w:cs="宋体" w:hint="eastAsia"/>
                <w:sz w:val="24"/>
                <w:szCs w:val="24"/>
              </w:rPr>
              <w:t>G1</w:t>
            </w:r>
            <w:r>
              <w:rPr>
                <w:rFonts w:ascii="Times New Roman" w:eastAsia="仿宋_GB2312" w:hAnsi="Times New Roman" w:cs="宋体" w:hint="eastAsia"/>
                <w:sz w:val="24"/>
                <w:szCs w:val="24"/>
              </w:rPr>
              <w:t>栋</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027-86777791-1395</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全国医用电器标准化技术委员会放射治疗、核医学和放射剂量学设备分技术委员会（</w:t>
            </w:r>
            <w:r>
              <w:rPr>
                <w:rFonts w:ascii="Times New Roman" w:eastAsia="仿宋_GB2312" w:hAnsi="Times New Roman" w:cs="宋体" w:hint="eastAsia"/>
                <w:sz w:val="24"/>
                <w:szCs w:val="24"/>
              </w:rPr>
              <w:t>SAC/TC10/SC3</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010-57901585</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全国医用电器标准化技术委员会物理治疗设备分技术委员会（</w:t>
            </w:r>
            <w:r>
              <w:rPr>
                <w:rFonts w:ascii="Times New Roman" w:eastAsia="仿宋_GB2312" w:hAnsi="Times New Roman" w:cs="宋体" w:hint="eastAsia"/>
                <w:sz w:val="24"/>
                <w:szCs w:val="24"/>
              </w:rPr>
              <w:t>SAC/TC10/SC4</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022-87175598</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全国医用电器标准化技术委员会医用电子仪器标准化分技术委员会（</w:t>
            </w:r>
            <w:r>
              <w:rPr>
                <w:rFonts w:ascii="Times New Roman" w:eastAsia="仿宋_GB2312" w:hAnsi="Times New Roman" w:cs="宋体" w:hint="eastAsia"/>
                <w:sz w:val="24"/>
                <w:szCs w:val="24"/>
              </w:rPr>
              <w:t>SAC/TC10/SC5</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Merge w:val="restar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全国外科器械标准化技术委员会（</w:t>
            </w:r>
            <w:r>
              <w:rPr>
                <w:rFonts w:ascii="Times New Roman" w:eastAsia="仿宋_GB2312" w:hAnsi="Times New Roman" w:cs="宋体" w:hint="eastAsia"/>
                <w:sz w:val="24"/>
                <w:szCs w:val="24"/>
              </w:rPr>
              <w:t>SAC/TC94</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Merge/>
            <w:vAlign w:val="center"/>
          </w:tcPr>
          <w:p w:rsidR="00D80861" w:rsidRDefault="00D80861">
            <w:pPr>
              <w:jc w:val="center"/>
              <w:rPr>
                <w:rFonts w:ascii="Times New Roman" w:eastAsia="仿宋_GB2312" w:hAnsi="Times New Roman" w:cs="宋体"/>
                <w:sz w:val="24"/>
                <w:szCs w:val="24"/>
              </w:rPr>
            </w:pP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021-38019900-1221</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全国医用注射器（针）标准化技术委员会（</w:t>
            </w:r>
            <w:r>
              <w:rPr>
                <w:rFonts w:ascii="Times New Roman" w:eastAsia="仿宋_GB2312" w:hAnsi="Times New Roman" w:cs="宋体" w:hint="eastAsia"/>
                <w:sz w:val="24"/>
                <w:szCs w:val="24"/>
              </w:rPr>
              <w:t>SAC/TC95</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021-38019900-6113</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全国口腔材料和器械设备标准化技术委员会（</w:t>
            </w:r>
            <w:r>
              <w:rPr>
                <w:rFonts w:ascii="Times New Roman" w:eastAsia="仿宋_GB2312" w:hAnsi="Times New Roman" w:cs="宋体" w:hint="eastAsia"/>
                <w:sz w:val="24"/>
                <w:szCs w:val="24"/>
              </w:rPr>
              <w:t>SAC/TC99</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北京大学口腔医学院口腔医疗器械检验中心</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北京市海淀区中关村南大街</w:t>
            </w:r>
            <w:r>
              <w:rPr>
                <w:rFonts w:ascii="Times New Roman" w:eastAsia="仿宋_GB2312" w:hAnsi="Times New Roman" w:cs="宋体" w:hint="eastAsia"/>
                <w:sz w:val="24"/>
                <w:szCs w:val="24"/>
              </w:rPr>
              <w:t>22</w:t>
            </w:r>
            <w:r>
              <w:rPr>
                <w:rFonts w:ascii="Times New Roman" w:eastAsia="仿宋_GB2312" w:hAnsi="Times New Roman" w:cs="宋体" w:hint="eastAsia"/>
                <w:sz w:val="24"/>
                <w:szCs w:val="24"/>
              </w:rPr>
              <w:t>号科研楼</w:t>
            </w:r>
            <w:r>
              <w:rPr>
                <w:rFonts w:ascii="Times New Roman" w:eastAsia="仿宋_GB2312" w:hAnsi="Times New Roman" w:cs="宋体" w:hint="eastAsia"/>
                <w:sz w:val="24"/>
                <w:szCs w:val="24"/>
              </w:rPr>
              <w:t>6</w:t>
            </w:r>
            <w:r>
              <w:rPr>
                <w:rFonts w:ascii="Times New Roman" w:eastAsia="仿宋_GB2312" w:hAnsi="Times New Roman" w:cs="宋体" w:hint="eastAsia"/>
                <w:sz w:val="24"/>
                <w:szCs w:val="24"/>
              </w:rPr>
              <w:t>层</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010-82195747</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全国口腔材料和器械设备标准化技术委员会齿科设备与器械分技术委员会</w:t>
            </w:r>
          </w:p>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SAC/TC99/SC1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020-66602870</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全国医用光学和仪器标准化分技术委员会</w:t>
            </w:r>
          </w:p>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SAC/TC103/SC1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浙江省医疗器械检验研究院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浙江省杭州市下沙经济开发区</w:t>
            </w:r>
            <w:r>
              <w:rPr>
                <w:rFonts w:ascii="Times New Roman" w:eastAsia="仿宋_GB2312" w:hAnsi="Times New Roman" w:cs="宋体" w:hint="eastAsia"/>
                <w:sz w:val="24"/>
                <w:szCs w:val="24"/>
              </w:rPr>
              <w:t>25</w:t>
            </w:r>
            <w:r>
              <w:rPr>
                <w:rFonts w:ascii="Times New Roman" w:eastAsia="仿宋_GB2312" w:hAnsi="Times New Roman" w:cs="宋体" w:hint="eastAsia"/>
                <w:sz w:val="24"/>
                <w:szCs w:val="24"/>
              </w:rPr>
              <w:t>号大街</w:t>
            </w:r>
            <w:r>
              <w:rPr>
                <w:rFonts w:ascii="Times New Roman" w:eastAsia="仿宋_GB2312" w:hAnsi="Times New Roman" w:cs="宋体" w:hint="eastAsia"/>
                <w:sz w:val="24"/>
                <w:szCs w:val="24"/>
              </w:rPr>
              <w:t>379</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0571-86002820</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全国医用输液器具标准化技术委员会（</w:t>
            </w:r>
            <w:r>
              <w:rPr>
                <w:rFonts w:ascii="Times New Roman" w:eastAsia="仿宋_GB2312" w:hAnsi="Times New Roman" w:cs="宋体" w:hint="eastAsia"/>
                <w:sz w:val="24"/>
                <w:szCs w:val="24"/>
              </w:rPr>
              <w:t>SAC/TC106</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0531-82682906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w:t>
            </w:r>
          </w:p>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SAC/TC110</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022-87175226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全国外科植入物和矫形器械标准化技术委员会骨科植入物分技术委员会（</w:t>
            </w:r>
            <w:r>
              <w:rPr>
                <w:rFonts w:ascii="Times New Roman" w:eastAsia="仿宋_GB2312" w:hAnsi="Times New Roman" w:cs="宋体" w:hint="eastAsia"/>
                <w:sz w:val="24"/>
                <w:szCs w:val="24"/>
              </w:rPr>
              <w:t>SAC/TC110/SC1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990" w:type="pct"/>
            <w:vMerge w:val="restar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022-87175536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全国外科植入物和矫形器械标准化技术委员会心血管植入物分技术委员会（</w:t>
            </w:r>
            <w:r>
              <w:rPr>
                <w:rFonts w:ascii="Times New Roman" w:eastAsia="仿宋_GB2312" w:hAnsi="Times New Roman" w:cs="宋体" w:hint="eastAsia"/>
                <w:sz w:val="24"/>
                <w:szCs w:val="24"/>
              </w:rPr>
              <w:t>SAC/TC110/SC2</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990" w:type="pct"/>
            <w:vMerge/>
            <w:vAlign w:val="center"/>
          </w:tcPr>
          <w:p w:rsidR="00D80861" w:rsidRDefault="00D80861">
            <w:pPr>
              <w:jc w:val="center"/>
              <w:rPr>
                <w:rFonts w:ascii="Times New Roman" w:eastAsia="仿宋_GB2312" w:hAnsi="Times New Roman" w:cs="宋体"/>
                <w:sz w:val="24"/>
                <w:szCs w:val="24"/>
              </w:rPr>
            </w:pP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022-87175568</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全国外科植入物和矫形器械标准化技术委员会组织工程医疗器械产品分技术委员会（</w:t>
            </w:r>
            <w:r>
              <w:rPr>
                <w:rFonts w:ascii="Times New Roman" w:eastAsia="仿宋_GB2312" w:hAnsi="Times New Roman" w:cs="宋体" w:hint="eastAsia"/>
                <w:sz w:val="24"/>
                <w:szCs w:val="24"/>
              </w:rPr>
              <w:t>SAC/TC110/SC3</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010-53852554</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全国外科植入物和矫形器械标准化技术委员会有源植入物分技术委员会（</w:t>
            </w:r>
            <w:r>
              <w:rPr>
                <w:rFonts w:ascii="Times New Roman" w:eastAsia="仿宋_GB2312" w:hAnsi="Times New Roman" w:cs="宋体" w:hint="eastAsia"/>
                <w:sz w:val="24"/>
                <w:szCs w:val="24"/>
              </w:rPr>
              <w:t>SAC/TC110/SC4</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021-38019900-1255</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全国麻醉和呼吸设备标准化技术委员会（</w:t>
            </w:r>
            <w:r>
              <w:rPr>
                <w:rFonts w:ascii="Times New Roman" w:eastAsia="仿宋_GB2312" w:hAnsi="Times New Roman" w:cs="宋体" w:hint="eastAsia"/>
                <w:sz w:val="24"/>
                <w:szCs w:val="24"/>
              </w:rPr>
              <w:t>SAC/TC116</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全国医用临床检验实验室和体外诊断系统标准化技术委员会（</w:t>
            </w:r>
            <w:r>
              <w:rPr>
                <w:rFonts w:ascii="Times New Roman" w:eastAsia="仿宋_GB2312" w:hAnsi="Times New Roman" w:cs="宋体" w:hint="eastAsia"/>
                <w:sz w:val="24"/>
                <w:szCs w:val="24"/>
              </w:rPr>
              <w:t>SAC/TC136</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p w:rsidR="00D80861" w:rsidRDefault="00D80861">
            <w:pPr>
              <w:jc w:val="center"/>
              <w:rPr>
                <w:rFonts w:ascii="Times New Roman" w:eastAsia="仿宋_GB2312" w:hAnsi="Times New Roman" w:cs="宋体"/>
                <w:sz w:val="24"/>
                <w:szCs w:val="24"/>
              </w:rPr>
            </w:pP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010-57901389</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全国医用体外循环设备标准化技术委员会（</w:t>
            </w:r>
            <w:r>
              <w:rPr>
                <w:rFonts w:ascii="Times New Roman" w:eastAsia="仿宋_GB2312" w:hAnsi="Times New Roman" w:cs="宋体" w:hint="eastAsia"/>
                <w:sz w:val="24"/>
                <w:szCs w:val="24"/>
              </w:rPr>
              <w:t>SAC/TC158</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020-66602872</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全国计划生育器械标准化技术委员会（</w:t>
            </w:r>
            <w:r>
              <w:rPr>
                <w:rFonts w:ascii="Times New Roman" w:eastAsia="仿宋_GB2312" w:hAnsi="Times New Roman" w:cs="宋体" w:hint="eastAsia"/>
                <w:sz w:val="24"/>
                <w:szCs w:val="24"/>
              </w:rPr>
              <w:t>SAC/TC169</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上海市医疗器械检验研究院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021-38019900-1221</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全国消毒技术与设备标准化技术委员会（</w:t>
            </w:r>
            <w:r>
              <w:rPr>
                <w:rFonts w:ascii="Times New Roman" w:eastAsia="仿宋_GB2312" w:hAnsi="Times New Roman" w:cs="宋体" w:hint="eastAsia"/>
                <w:sz w:val="24"/>
                <w:szCs w:val="24"/>
              </w:rPr>
              <w:t>SAC/TC200</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020-66602873</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全国医疗器械质量管理和通用要求标准化技术委员会（</w:t>
            </w:r>
            <w:r>
              <w:rPr>
                <w:rFonts w:ascii="Times New Roman" w:eastAsia="仿宋_GB2312" w:hAnsi="Times New Roman" w:cs="宋体" w:hint="eastAsia"/>
                <w:sz w:val="24"/>
                <w:szCs w:val="24"/>
              </w:rPr>
              <w:t>SAC/TC221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w:t>
            </w:r>
            <w:proofErr w:type="gramStart"/>
            <w:r>
              <w:rPr>
                <w:rFonts w:ascii="Times New Roman" w:eastAsia="仿宋_GB2312" w:hAnsi="Times New Roman" w:cs="宋体" w:hint="eastAsia"/>
                <w:sz w:val="24"/>
                <w:szCs w:val="24"/>
              </w:rPr>
              <w:t>国医械华光</w:t>
            </w:r>
            <w:proofErr w:type="gramEnd"/>
            <w:r>
              <w:rPr>
                <w:rFonts w:ascii="Times New Roman" w:eastAsia="仿宋_GB2312" w:hAnsi="Times New Roman" w:cs="宋体" w:hint="eastAsia"/>
                <w:sz w:val="24"/>
                <w:szCs w:val="24"/>
              </w:rPr>
              <w:t>认证有限公司</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北京市东城区安定门外大街甲</w:t>
            </w:r>
            <w:r>
              <w:rPr>
                <w:rFonts w:ascii="Times New Roman" w:eastAsia="仿宋_GB2312" w:hAnsi="Times New Roman" w:cs="宋体" w:hint="eastAsia"/>
                <w:sz w:val="24"/>
                <w:szCs w:val="24"/>
              </w:rPr>
              <w:t>88</w:t>
            </w:r>
            <w:r>
              <w:rPr>
                <w:rFonts w:ascii="Times New Roman" w:eastAsia="仿宋_GB2312" w:hAnsi="Times New Roman" w:cs="宋体" w:hint="eastAsia"/>
                <w:sz w:val="24"/>
                <w:szCs w:val="24"/>
              </w:rPr>
              <w:t>号中联大厦五层</w:t>
            </w:r>
          </w:p>
          <w:p w:rsidR="00D80861" w:rsidRDefault="00D80861">
            <w:pPr>
              <w:jc w:val="center"/>
              <w:rPr>
                <w:rFonts w:ascii="Times New Roman" w:eastAsia="仿宋_GB2312" w:hAnsi="Times New Roman" w:cs="宋体"/>
                <w:sz w:val="24"/>
                <w:szCs w:val="24"/>
              </w:rPr>
            </w:pP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010-62368716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全国医疗器械生物学评价标准化技术委员会（</w:t>
            </w:r>
            <w:r>
              <w:rPr>
                <w:rFonts w:ascii="Times New Roman" w:eastAsia="仿宋_GB2312" w:hAnsi="Times New Roman" w:cs="宋体" w:hint="eastAsia"/>
                <w:sz w:val="24"/>
                <w:szCs w:val="24"/>
              </w:rPr>
              <w:t>SAC/TC248</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0531-82682916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全国医疗器械生物学评价标准化技术委员会纳米医疗器械生物学评价分技术委员会（</w:t>
            </w:r>
            <w:r>
              <w:rPr>
                <w:rFonts w:ascii="Times New Roman" w:eastAsia="仿宋_GB2312" w:hAnsi="Times New Roman" w:cs="宋体" w:hint="eastAsia"/>
                <w:sz w:val="24"/>
                <w:szCs w:val="24"/>
              </w:rPr>
              <w:t>SAC/TC248/SC1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010-53852629</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全国测量、控制和实验室电器设备安全标准化技术委员会医用设备分技术委员会（</w:t>
            </w:r>
            <w:r>
              <w:rPr>
                <w:rFonts w:ascii="Times New Roman" w:eastAsia="仿宋_GB2312" w:hAnsi="Times New Roman" w:cs="宋体" w:hint="eastAsia"/>
                <w:sz w:val="24"/>
                <w:szCs w:val="24"/>
              </w:rPr>
              <w:t>SAC/TC338/SC1</w:t>
            </w:r>
            <w:r>
              <w:rPr>
                <w:rFonts w:ascii="Times New Roman" w:eastAsia="仿宋_GB2312" w:hAnsi="Times New Roman" w:cs="宋体" w:hint="eastAsia"/>
                <w:sz w:val="24"/>
                <w:szCs w:val="24"/>
              </w:rPr>
              <w:t>）</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010-57901419</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辅助生殖医疗器械产品标准化技术归口单位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010-53852588</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医用生物防护产品标准化技术归口单位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010-57901367</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医用卫生材料及敷料标准化技术归口单位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0531-82682906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医用增材制造</w:t>
            </w:r>
            <w:proofErr w:type="gramEnd"/>
            <w:r>
              <w:rPr>
                <w:rFonts w:ascii="Times New Roman" w:eastAsia="仿宋_GB2312" w:hAnsi="Times New Roman" w:cs="宋体" w:hint="eastAsia"/>
                <w:sz w:val="24"/>
                <w:szCs w:val="24"/>
              </w:rPr>
              <w:t>技术标准化技术归口单位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990" w:type="pct"/>
            <w:vMerge w:val="restar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010-53852592</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人工智能医疗器械标准化技术归口单位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990" w:type="pct"/>
            <w:vMerge/>
            <w:vAlign w:val="center"/>
          </w:tcPr>
          <w:p w:rsidR="00D80861" w:rsidRDefault="00D80861">
            <w:pPr>
              <w:jc w:val="center"/>
              <w:rPr>
                <w:rFonts w:ascii="Times New Roman" w:eastAsia="仿宋_GB2312" w:hAnsi="Times New Roman" w:cs="宋体"/>
                <w:sz w:val="24"/>
                <w:szCs w:val="24"/>
              </w:rPr>
            </w:pP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010-53852531</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sz w:val="24"/>
              </w:rPr>
            </w:pPr>
          </w:p>
        </w:tc>
        <w:tc>
          <w:tcPr>
            <w:tcW w:w="1819"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医用电声设备标准化技术归口单位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江苏省医疗器械检验所</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江苏省南京市建</w:t>
            </w:r>
            <w:proofErr w:type="gramStart"/>
            <w:r>
              <w:rPr>
                <w:rFonts w:ascii="Times New Roman" w:eastAsia="仿宋_GB2312" w:hAnsi="Times New Roman" w:cs="宋体" w:hint="eastAsia"/>
                <w:sz w:val="24"/>
                <w:szCs w:val="24"/>
              </w:rPr>
              <w:t>邺</w:t>
            </w:r>
            <w:proofErr w:type="gramEnd"/>
            <w:r>
              <w:rPr>
                <w:rFonts w:ascii="Times New Roman" w:eastAsia="仿宋_GB2312" w:hAnsi="Times New Roman" w:cs="宋体" w:hint="eastAsia"/>
                <w:sz w:val="24"/>
                <w:szCs w:val="24"/>
              </w:rPr>
              <w:t>区康文路</w:t>
            </w:r>
            <w:r>
              <w:rPr>
                <w:rFonts w:ascii="Times New Roman" w:eastAsia="仿宋_GB2312" w:hAnsi="Times New Roman" w:cs="宋体" w:hint="eastAsia"/>
                <w:sz w:val="24"/>
                <w:szCs w:val="24"/>
              </w:rPr>
              <w:t>17</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sz w:val="24"/>
                <w:szCs w:val="24"/>
              </w:rPr>
              <w:t>025-69655986</w:t>
            </w:r>
          </w:p>
        </w:tc>
      </w:tr>
      <w:tr w:rsidR="00D80861">
        <w:trPr>
          <w:cantSplit/>
          <w:trHeight w:val="510"/>
          <w:jc w:val="center"/>
        </w:trPr>
        <w:tc>
          <w:tcPr>
            <w:tcW w:w="281" w:type="pct"/>
            <w:shd w:val="clear" w:color="auto" w:fill="auto"/>
            <w:vAlign w:val="center"/>
          </w:tcPr>
          <w:p w:rsidR="00D80861" w:rsidRDefault="00D80861">
            <w:pPr>
              <w:pStyle w:val="af6"/>
              <w:numPr>
                <w:ilvl w:val="0"/>
                <w:numId w:val="3"/>
              </w:numPr>
              <w:ind w:left="0" w:firstLineChars="50" w:firstLine="120"/>
              <w:jc w:val="center"/>
              <w:rPr>
                <w:rFonts w:eastAsia="仿宋_GB2312" w:cs="宋体"/>
                <w:kern w:val="0"/>
                <w:sz w:val="24"/>
              </w:rPr>
            </w:pPr>
          </w:p>
        </w:tc>
        <w:tc>
          <w:tcPr>
            <w:tcW w:w="1819" w:type="pct"/>
            <w:shd w:val="clear" w:color="auto" w:fill="auto"/>
            <w:vAlign w:val="center"/>
          </w:tcPr>
          <w:p w:rsidR="00D80861" w:rsidRDefault="00C4016E">
            <w:pPr>
              <w:pStyle w:val="ad"/>
              <w:widowControl w:val="0"/>
              <w:spacing w:line="288" w:lineRule="atLeast"/>
              <w:jc w:val="center"/>
              <w:rPr>
                <w:rFonts w:ascii="Times New Roman" w:eastAsia="仿宋_GB2312" w:hAnsi="Times New Roman"/>
              </w:rPr>
            </w:pPr>
            <w:r>
              <w:rPr>
                <w:rFonts w:ascii="Times New Roman" w:eastAsia="仿宋_GB2312" w:hAnsi="Times New Roman" w:hint="eastAsia"/>
              </w:rPr>
              <w:t>医用机器人标准化技术归口单位</w:t>
            </w:r>
          </w:p>
        </w:tc>
        <w:tc>
          <w:tcPr>
            <w:tcW w:w="1143" w:type="pct"/>
            <w:shd w:val="clear" w:color="auto" w:fill="auto"/>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990"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p>
        </w:tc>
        <w:tc>
          <w:tcPr>
            <w:tcW w:w="765" w:type="pct"/>
            <w:vAlign w:val="center"/>
          </w:tcPr>
          <w:p w:rsidR="00D80861" w:rsidRDefault="00C4016E">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010-53852530</w:t>
            </w:r>
          </w:p>
        </w:tc>
      </w:tr>
    </w:tbl>
    <w:p w:rsidR="00D80861" w:rsidRDefault="00D80861">
      <w:pPr>
        <w:spacing w:line="360" w:lineRule="auto"/>
        <w:ind w:firstLineChars="200" w:firstLine="640"/>
        <w:outlineLvl w:val="0"/>
        <w:rPr>
          <w:rFonts w:ascii="Times New Roman" w:eastAsia="仿宋_GB2312" w:hAnsi="Times New Roman"/>
          <w:sz w:val="32"/>
          <w:szCs w:val="32"/>
        </w:rPr>
      </w:pPr>
    </w:p>
    <w:sectPr w:rsidR="00D80861">
      <w:footerReference w:type="even" r:id="rId10"/>
      <w:footnotePr>
        <w:numRestart w:val="eachPage"/>
      </w:footnotePr>
      <w:pgSz w:w="16838" w:h="11906" w:orient="landscape"/>
      <w:pgMar w:top="1361" w:right="1474" w:bottom="1361" w:left="1361" w:header="851" w:footer="992" w:gutter="0"/>
      <w:cols w:space="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016E">
      <w:r>
        <w:separator/>
      </w:r>
    </w:p>
  </w:endnote>
  <w:endnote w:type="continuationSeparator" w:id="0">
    <w:p w:rsidR="00000000" w:rsidRDefault="00C4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6663"/>
    </w:sdtPr>
    <w:sdtEndPr>
      <w:rPr>
        <w:rFonts w:asciiTheme="minorEastAsia" w:eastAsiaTheme="minorEastAsia" w:hAnsiTheme="minorEastAsia"/>
        <w:sz w:val="28"/>
        <w:szCs w:val="28"/>
      </w:rPr>
    </w:sdtEndPr>
    <w:sdtContent>
      <w:p w:rsidR="00D80861" w:rsidRDefault="00C4016E">
        <w:pPr>
          <w:pStyle w:val="a9"/>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54 -</w:t>
        </w:r>
        <w:r>
          <w:rPr>
            <w:rFonts w:asciiTheme="minorEastAsia" w:eastAsiaTheme="minorEastAsia" w:hAnsiTheme="minorEastAsia"/>
            <w:sz w:val="28"/>
            <w:szCs w:val="28"/>
          </w:rPr>
          <w:fldChar w:fldCharType="end"/>
        </w:r>
      </w:p>
    </w:sdtContent>
  </w:sdt>
  <w:p w:rsidR="00D80861" w:rsidRDefault="00D80861">
    <w:pPr>
      <w:pStyle w:val="a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016E">
      <w:r>
        <w:separator/>
      </w:r>
    </w:p>
  </w:footnote>
  <w:footnote w:type="continuationSeparator" w:id="0">
    <w:p w:rsidR="00000000" w:rsidRDefault="00C40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00000005"/>
    <w:multiLevelType w:val="multilevel"/>
    <w:tmpl w:val="00000005"/>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420"/>
  <w:drawingGridHorizontalSpacing w:val="97"/>
  <w:drawingGridVerticalSpacing w:val="287"/>
  <w:noPunctuationKerning/>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57"/>
    <w:rsid w:val="00012C23"/>
    <w:rsid w:val="00054775"/>
    <w:rsid w:val="00070B40"/>
    <w:rsid w:val="00081D42"/>
    <w:rsid w:val="000C057E"/>
    <w:rsid w:val="00114BA0"/>
    <w:rsid w:val="00191EA8"/>
    <w:rsid w:val="001966F4"/>
    <w:rsid w:val="001C5F85"/>
    <w:rsid w:val="001D797B"/>
    <w:rsid w:val="00286C8A"/>
    <w:rsid w:val="002A1505"/>
    <w:rsid w:val="002A35B0"/>
    <w:rsid w:val="002C6921"/>
    <w:rsid w:val="002E199C"/>
    <w:rsid w:val="003C2957"/>
    <w:rsid w:val="003D0AC5"/>
    <w:rsid w:val="003E6AE0"/>
    <w:rsid w:val="004F1F08"/>
    <w:rsid w:val="00597AB8"/>
    <w:rsid w:val="006058E7"/>
    <w:rsid w:val="006222E6"/>
    <w:rsid w:val="0068230C"/>
    <w:rsid w:val="006B1179"/>
    <w:rsid w:val="006F2694"/>
    <w:rsid w:val="00700A2E"/>
    <w:rsid w:val="0070697D"/>
    <w:rsid w:val="007159A9"/>
    <w:rsid w:val="007437D6"/>
    <w:rsid w:val="00752A12"/>
    <w:rsid w:val="00772916"/>
    <w:rsid w:val="0078217A"/>
    <w:rsid w:val="007D4AB7"/>
    <w:rsid w:val="0080711A"/>
    <w:rsid w:val="00851E9C"/>
    <w:rsid w:val="00863876"/>
    <w:rsid w:val="008F031A"/>
    <w:rsid w:val="008F6DBC"/>
    <w:rsid w:val="009471AA"/>
    <w:rsid w:val="00970C00"/>
    <w:rsid w:val="009C7F38"/>
    <w:rsid w:val="00A1176D"/>
    <w:rsid w:val="00A367D8"/>
    <w:rsid w:val="00A704ED"/>
    <w:rsid w:val="00AC0710"/>
    <w:rsid w:val="00AC2683"/>
    <w:rsid w:val="00B052E4"/>
    <w:rsid w:val="00B5008F"/>
    <w:rsid w:val="00B50595"/>
    <w:rsid w:val="00C17180"/>
    <w:rsid w:val="00C4016E"/>
    <w:rsid w:val="00C54B74"/>
    <w:rsid w:val="00CE0AF1"/>
    <w:rsid w:val="00D04C96"/>
    <w:rsid w:val="00D2158B"/>
    <w:rsid w:val="00D41232"/>
    <w:rsid w:val="00D76DEA"/>
    <w:rsid w:val="00D80861"/>
    <w:rsid w:val="00D83FC5"/>
    <w:rsid w:val="00D84B22"/>
    <w:rsid w:val="00D94307"/>
    <w:rsid w:val="00EA000E"/>
    <w:rsid w:val="00ED77F9"/>
    <w:rsid w:val="00F06AC5"/>
    <w:rsid w:val="00F84066"/>
    <w:rsid w:val="00F96266"/>
    <w:rsid w:val="00FB002B"/>
    <w:rsid w:val="00FD3CDC"/>
    <w:rsid w:val="00FF6CE7"/>
    <w:rsid w:val="00FF75F8"/>
    <w:rsid w:val="03E074C5"/>
    <w:rsid w:val="07593DF7"/>
    <w:rsid w:val="0F5357E6"/>
    <w:rsid w:val="13EA1747"/>
    <w:rsid w:val="25FE5A6E"/>
    <w:rsid w:val="264855B4"/>
    <w:rsid w:val="28147589"/>
    <w:rsid w:val="34197737"/>
    <w:rsid w:val="35155921"/>
    <w:rsid w:val="3B4715A0"/>
    <w:rsid w:val="418B1817"/>
    <w:rsid w:val="43B9413D"/>
    <w:rsid w:val="488310F9"/>
    <w:rsid w:val="48B107A4"/>
    <w:rsid w:val="4C545A6C"/>
    <w:rsid w:val="4FF16BA9"/>
    <w:rsid w:val="537F3A9B"/>
    <w:rsid w:val="5BAE0E5F"/>
    <w:rsid w:val="5E393B73"/>
    <w:rsid w:val="5F1B3BA5"/>
    <w:rsid w:val="62835017"/>
    <w:rsid w:val="64C5344F"/>
    <w:rsid w:val="660C5D7E"/>
    <w:rsid w:val="69193630"/>
    <w:rsid w:val="6AEC4AC6"/>
    <w:rsid w:val="7AFA7B5B"/>
    <w:rsid w:val="7EF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A2697-7619-4966-BB7E-1250C2B6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1904</Words>
  <Characters>881</Characters>
  <Application>Microsoft Office Word</Application>
  <DocSecurity>0</DocSecurity>
  <Lines>7</Lines>
  <Paragraphs>5</Paragraphs>
  <ScaleCrop>false</ScaleCrop>
  <Company>Hewlett-Packard Company</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芦菁</dc:creator>
  <cp:lastModifiedBy>许慧雯</cp:lastModifiedBy>
  <cp:revision>5</cp:revision>
  <cp:lastPrinted>2021-02-01T08:51:00Z</cp:lastPrinted>
  <dcterms:created xsi:type="dcterms:W3CDTF">2021-02-05T02:23:00Z</dcterms:created>
  <dcterms:modified xsi:type="dcterms:W3CDTF">2021-02-05T02:27:00Z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