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附件</w:t>
      </w:r>
      <w:r>
        <w:rPr>
          <w:rFonts w:hint="eastAsia" w:ascii="Times New Roman" w:hAnsi="Times New Roman" w:eastAsia="仿宋_GB2312"/>
          <w:sz w:val="32"/>
          <w:szCs w:val="32"/>
          <w:highlight w:val="none"/>
          <w:lang w:val="en-US" w:eastAsia="zh-CN"/>
        </w:rPr>
        <w:t>1</w:t>
      </w:r>
    </w:p>
    <w:p>
      <w:pPr>
        <w:snapToGrid w:val="0"/>
        <w:spacing w:line="288" w:lineRule="auto"/>
        <w:jc w:val="center"/>
        <w:rPr>
          <w:rFonts w:ascii="黑体" w:hAnsi="黑体" w:eastAsia="黑体" w:cs="黑体"/>
          <w:b/>
          <w:bCs/>
          <w:sz w:val="56"/>
          <w:szCs w:val="56"/>
          <w:highlight w:val="none"/>
        </w:rPr>
      </w:pPr>
    </w:p>
    <w:p>
      <w:pPr>
        <w:snapToGrid w:val="0"/>
        <w:spacing w:line="288" w:lineRule="auto"/>
        <w:jc w:val="center"/>
        <w:rPr>
          <w:rFonts w:ascii="黑体" w:hAnsi="黑体" w:eastAsia="黑体" w:cs="黑体"/>
          <w:b/>
          <w:bCs/>
          <w:sz w:val="56"/>
          <w:szCs w:val="56"/>
          <w:highlight w:val="none"/>
        </w:rPr>
      </w:pPr>
    </w:p>
    <w:p>
      <w:pPr>
        <w:snapToGrid w:val="0"/>
        <w:spacing w:line="288" w:lineRule="auto"/>
        <w:jc w:val="center"/>
        <w:rPr>
          <w:rFonts w:ascii="黑体" w:hAnsi="黑体" w:eastAsia="黑体" w:cs="黑体"/>
          <w:b/>
          <w:bCs/>
          <w:sz w:val="52"/>
          <w:szCs w:val="52"/>
          <w:highlight w:val="none"/>
        </w:rPr>
      </w:pPr>
      <w:r>
        <w:rPr>
          <w:rFonts w:hint="eastAsia" w:ascii="黑体" w:hAnsi="黑体" w:eastAsia="黑体" w:cs="黑体"/>
          <w:b/>
          <w:bCs/>
          <w:sz w:val="56"/>
          <w:szCs w:val="56"/>
          <w:highlight w:val="none"/>
        </w:rPr>
        <w:t>免疫毒性试验技术指导原则</w:t>
      </w:r>
    </w:p>
    <w:p>
      <w:pPr>
        <w:snapToGrid w:val="0"/>
        <w:spacing w:line="288" w:lineRule="auto"/>
        <w:jc w:val="center"/>
        <w:rPr>
          <w:rFonts w:ascii="黑体" w:hAnsi="黑体" w:eastAsia="黑体" w:cs="黑体"/>
          <w:b/>
          <w:bCs/>
          <w:sz w:val="48"/>
          <w:szCs w:val="48"/>
          <w:highlight w:val="none"/>
        </w:rPr>
      </w:pPr>
    </w:p>
    <w:p>
      <w:pPr>
        <w:snapToGrid w:val="0"/>
        <w:spacing w:line="288" w:lineRule="auto"/>
        <w:jc w:val="center"/>
        <w:rPr>
          <w:rFonts w:ascii="黑体" w:hAnsi="黑体" w:eastAsia="黑体" w:cs="黑体"/>
          <w:b/>
          <w:bCs/>
          <w:sz w:val="48"/>
          <w:szCs w:val="48"/>
          <w:highlight w:val="none"/>
        </w:rPr>
      </w:pPr>
      <w:r>
        <w:rPr>
          <w:rFonts w:hint="eastAsia" w:ascii="黑体" w:hAnsi="黑体" w:eastAsia="黑体" w:cs="黑体"/>
          <w:b/>
          <w:bCs/>
          <w:sz w:val="48"/>
          <w:szCs w:val="48"/>
          <w:highlight w:val="none"/>
        </w:rPr>
        <w:t>（征求意见稿）</w:t>
      </w: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Times New Roman" w:hAnsi="Times New Roman" w:eastAsia="楷体"/>
          <w:sz w:val="44"/>
          <w:szCs w:val="44"/>
          <w:highlight w:val="none"/>
        </w:rPr>
      </w:pPr>
      <w:r>
        <w:rPr>
          <w:rFonts w:ascii="Times New Roman" w:hAnsi="Times New Roman" w:eastAsia="楷体"/>
          <w:sz w:val="44"/>
          <w:szCs w:val="44"/>
          <w:highlight w:val="none"/>
        </w:rPr>
        <w:t>中国食品药品检定研究院</w:t>
      </w:r>
    </w:p>
    <w:p>
      <w:pPr>
        <w:snapToGrid w:val="0"/>
        <w:spacing w:line="360" w:lineRule="auto"/>
        <w:jc w:val="center"/>
        <w:rPr>
          <w:rFonts w:hint="default" w:ascii="Times New Roman" w:hAnsi="Times New Roman" w:eastAsia="楷体" w:cs="Times New Roman"/>
          <w:sz w:val="44"/>
          <w:szCs w:val="44"/>
          <w:highlight w:val="none"/>
        </w:rPr>
      </w:pPr>
      <w:bookmarkStart w:id="174" w:name="_GoBack"/>
      <w:r>
        <w:rPr>
          <w:rFonts w:hint="default" w:ascii="Times New Roman" w:hAnsi="Times New Roman" w:eastAsia="楷体" w:cs="Times New Roman"/>
          <w:color w:val="000000"/>
          <w:sz w:val="40"/>
          <w:szCs w:val="40"/>
          <w:highlight w:val="none"/>
        </w:rPr>
        <w:t>2023年9月</w:t>
      </w:r>
    </w:p>
    <w:bookmarkEnd w:id="174"/>
    <w:p>
      <w:pPr>
        <w:snapToGrid w:val="0"/>
        <w:spacing w:line="360" w:lineRule="auto"/>
        <w:jc w:val="center"/>
        <w:rPr>
          <w:rFonts w:ascii="仿宋" w:hAnsi="仿宋" w:eastAsia="仿宋" w:cs="仿宋"/>
          <w:sz w:val="44"/>
          <w:szCs w:val="44"/>
          <w:highlight w:val="none"/>
        </w:rPr>
      </w:pPr>
    </w:p>
    <w:p>
      <w:pPr>
        <w:jc w:val="center"/>
        <w:rPr>
          <w:rFonts w:ascii="黑体" w:hAnsi="黑体" w:eastAsia="黑体" w:cs="黑体"/>
          <w:b/>
          <w:bCs/>
          <w:sz w:val="36"/>
          <w:szCs w:val="44"/>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rPr>
          <w:rFonts w:ascii="黑体" w:hAnsi="黑体" w:eastAsia="黑体" w:cs="黑体"/>
          <w:b/>
          <w:bCs/>
          <w:sz w:val="30"/>
          <w:szCs w:val="30"/>
          <w:highlight w:val="none"/>
        </w:rPr>
      </w:pPr>
      <w:r>
        <w:rPr>
          <w:rFonts w:hint="eastAsia" w:ascii="黑体" w:hAnsi="黑体" w:eastAsia="黑体" w:cs="黑体"/>
          <w:b/>
          <w:bCs/>
          <w:sz w:val="30"/>
          <w:szCs w:val="30"/>
          <w:highlight w:val="none"/>
        </w:rPr>
        <w:t>目</w:t>
      </w:r>
      <w:r>
        <w:rPr>
          <w:rFonts w:ascii="黑体" w:hAnsi="黑体" w:eastAsia="黑体" w:cs="黑体"/>
          <w:b/>
          <w:bCs/>
          <w:sz w:val="30"/>
          <w:szCs w:val="30"/>
          <w:highlight w:val="none"/>
        </w:rPr>
        <w:t xml:space="preserve">  </w:t>
      </w:r>
      <w:r>
        <w:rPr>
          <w:rFonts w:hint="eastAsia" w:ascii="黑体" w:hAnsi="黑体" w:eastAsia="黑体" w:cs="黑体"/>
          <w:b/>
          <w:bCs/>
          <w:sz w:val="30"/>
          <w:szCs w:val="30"/>
          <w:highlight w:val="none"/>
        </w:rPr>
        <w:t>录</w:t>
      </w:r>
    </w:p>
    <w:p>
      <w:pPr>
        <w:jc w:val="center"/>
        <w:rPr>
          <w:rFonts w:ascii="黑体" w:hAnsi="黑体" w:eastAsia="黑体" w:cs="黑体"/>
          <w:b/>
          <w:bCs/>
          <w:sz w:val="30"/>
          <w:szCs w:val="30"/>
          <w:highlight w:val="none"/>
        </w:rPr>
      </w:pPr>
    </w:p>
    <w:p>
      <w:pPr>
        <w:pStyle w:val="9"/>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TOC \o "1-4" \h \u </w:instrText>
      </w:r>
      <w:r>
        <w:rPr>
          <w:rFonts w:ascii="黑体" w:hAnsi="黑体" w:eastAsia="黑体"/>
          <w:sz w:val="24"/>
          <w:szCs w:val="24"/>
          <w:highlight w:val="none"/>
        </w:rPr>
        <w:fldChar w:fldCharType="separate"/>
      </w: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_Toc13669 </w:instrText>
      </w:r>
      <w:r>
        <w:rPr>
          <w:rFonts w:ascii="黑体" w:hAnsi="黑体" w:eastAsia="黑体"/>
          <w:sz w:val="24"/>
          <w:szCs w:val="24"/>
          <w:highlight w:val="none"/>
        </w:rPr>
        <w:fldChar w:fldCharType="separate"/>
      </w:r>
      <w:r>
        <w:rPr>
          <w:rFonts w:hint="eastAsia" w:ascii="黑体" w:hAnsi="黑体" w:eastAsia="黑体" w:cs="黑体"/>
          <w:sz w:val="24"/>
          <w:szCs w:val="24"/>
          <w:highlight w:val="none"/>
        </w:rPr>
        <w:t>一、概述</w:t>
      </w:r>
      <w:r>
        <w:rPr>
          <w:sz w:val="24"/>
          <w:szCs w:val="24"/>
        </w:rPr>
        <w:tab/>
      </w:r>
      <w:r>
        <w:rPr>
          <w:sz w:val="24"/>
          <w:szCs w:val="24"/>
        </w:rPr>
        <w:fldChar w:fldCharType="begin"/>
      </w:r>
      <w:r>
        <w:rPr>
          <w:sz w:val="24"/>
          <w:szCs w:val="24"/>
        </w:rPr>
        <w:instrText xml:space="preserve"> PAGEREF _Toc13669 \h </w:instrText>
      </w:r>
      <w:r>
        <w:rPr>
          <w:sz w:val="24"/>
          <w:szCs w:val="24"/>
        </w:rPr>
        <w:fldChar w:fldCharType="separate"/>
      </w:r>
      <w:r>
        <w:rPr>
          <w:sz w:val="24"/>
          <w:szCs w:val="24"/>
        </w:rPr>
        <w:t>1</w:t>
      </w:r>
      <w:r>
        <w:rPr>
          <w:sz w:val="24"/>
          <w:szCs w:val="24"/>
        </w:rPr>
        <w:fldChar w:fldCharType="end"/>
      </w:r>
      <w:r>
        <w:rPr>
          <w:rFonts w:ascii="黑体" w:hAnsi="黑体" w:eastAsia="黑体"/>
          <w:sz w:val="24"/>
          <w:szCs w:val="24"/>
          <w:highlight w:val="none"/>
        </w:rPr>
        <w:fldChar w:fldCharType="end"/>
      </w:r>
    </w:p>
    <w:p>
      <w:pPr>
        <w:pStyle w:val="9"/>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_Toc6297 </w:instrText>
      </w:r>
      <w:r>
        <w:rPr>
          <w:rFonts w:ascii="黑体" w:hAnsi="黑体" w:eastAsia="黑体"/>
          <w:sz w:val="24"/>
          <w:szCs w:val="24"/>
          <w:highlight w:val="none"/>
        </w:rPr>
        <w:fldChar w:fldCharType="separate"/>
      </w:r>
      <w:r>
        <w:rPr>
          <w:rFonts w:hint="eastAsia" w:ascii="黑体" w:hAnsi="黑体" w:eastAsia="黑体" w:cs="黑体"/>
          <w:sz w:val="24"/>
          <w:szCs w:val="24"/>
          <w:highlight w:val="none"/>
        </w:rPr>
        <w:t>二、基本原则</w:t>
      </w:r>
      <w:r>
        <w:rPr>
          <w:sz w:val="24"/>
          <w:szCs w:val="24"/>
        </w:rPr>
        <w:tab/>
      </w:r>
      <w:r>
        <w:rPr>
          <w:sz w:val="24"/>
          <w:szCs w:val="24"/>
        </w:rPr>
        <w:fldChar w:fldCharType="begin"/>
      </w:r>
      <w:r>
        <w:rPr>
          <w:sz w:val="24"/>
          <w:szCs w:val="24"/>
        </w:rPr>
        <w:instrText xml:space="preserve"> PAGEREF _Toc6297 \h </w:instrText>
      </w:r>
      <w:r>
        <w:rPr>
          <w:sz w:val="24"/>
          <w:szCs w:val="24"/>
        </w:rPr>
        <w:fldChar w:fldCharType="separate"/>
      </w:r>
      <w:r>
        <w:rPr>
          <w:sz w:val="24"/>
          <w:szCs w:val="24"/>
        </w:rPr>
        <w:t>1</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_Toc356 </w:instrText>
      </w:r>
      <w:r>
        <w:rPr>
          <w:rFonts w:ascii="黑体" w:hAnsi="黑体" w:eastAsia="黑体"/>
          <w:sz w:val="24"/>
          <w:szCs w:val="24"/>
          <w:highlight w:val="none"/>
        </w:rPr>
        <w:fldChar w:fldCharType="separate"/>
      </w:r>
      <w:r>
        <w:rPr>
          <w:rFonts w:ascii="Times New Roman" w:hAnsi="Times New Roman" w:eastAsia="仿宋" w:cs="Times New Roman"/>
          <w:sz w:val="24"/>
          <w:szCs w:val="24"/>
          <w:highlight w:val="none"/>
        </w:rPr>
        <w:t>（一）一般原则</w:t>
      </w:r>
      <w:r>
        <w:rPr>
          <w:sz w:val="24"/>
          <w:szCs w:val="24"/>
        </w:rPr>
        <w:tab/>
      </w:r>
      <w:r>
        <w:rPr>
          <w:sz w:val="24"/>
          <w:szCs w:val="24"/>
        </w:rPr>
        <w:fldChar w:fldCharType="begin"/>
      </w:r>
      <w:r>
        <w:rPr>
          <w:sz w:val="24"/>
          <w:szCs w:val="24"/>
        </w:rPr>
        <w:instrText xml:space="preserve"> PAGEREF _Toc356 \h </w:instrText>
      </w:r>
      <w:r>
        <w:rPr>
          <w:sz w:val="24"/>
          <w:szCs w:val="24"/>
        </w:rPr>
        <w:fldChar w:fldCharType="separate"/>
      </w:r>
      <w:r>
        <w:rPr>
          <w:sz w:val="24"/>
          <w:szCs w:val="24"/>
        </w:rPr>
        <w:t>1</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_Toc8193 </w:instrText>
      </w:r>
      <w:r>
        <w:rPr>
          <w:rFonts w:ascii="黑体" w:hAnsi="黑体" w:eastAsia="黑体"/>
          <w:sz w:val="24"/>
          <w:szCs w:val="24"/>
          <w:highlight w:val="none"/>
        </w:rPr>
        <w:fldChar w:fldCharType="separate"/>
      </w:r>
      <w:r>
        <w:rPr>
          <w:rFonts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rPr>
        <w:t>二</w:t>
      </w:r>
      <w:r>
        <w:rPr>
          <w:rFonts w:ascii="Times New Roman" w:hAnsi="Times New Roman" w:eastAsia="仿宋" w:cs="Times New Roman"/>
          <w:sz w:val="24"/>
          <w:szCs w:val="24"/>
          <w:highlight w:val="none"/>
        </w:rPr>
        <w:t>）具体问题具体分析</w:t>
      </w:r>
      <w:r>
        <w:rPr>
          <w:sz w:val="24"/>
          <w:szCs w:val="24"/>
        </w:rPr>
        <w:tab/>
      </w:r>
      <w:r>
        <w:rPr>
          <w:sz w:val="24"/>
          <w:szCs w:val="24"/>
        </w:rPr>
        <w:fldChar w:fldCharType="begin"/>
      </w:r>
      <w:r>
        <w:rPr>
          <w:sz w:val="24"/>
          <w:szCs w:val="24"/>
        </w:rPr>
        <w:instrText xml:space="preserve"> PAGEREF _Toc8193 \h </w:instrText>
      </w:r>
      <w:r>
        <w:rPr>
          <w:sz w:val="24"/>
          <w:szCs w:val="24"/>
        </w:rPr>
        <w:fldChar w:fldCharType="separate"/>
      </w:r>
      <w:r>
        <w:rPr>
          <w:sz w:val="24"/>
          <w:szCs w:val="24"/>
        </w:rPr>
        <w:t>1</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_Toc18593 </w:instrText>
      </w:r>
      <w:r>
        <w:rPr>
          <w:rFonts w:ascii="黑体" w:hAnsi="黑体" w:eastAsia="黑体"/>
          <w:sz w:val="24"/>
          <w:szCs w:val="24"/>
          <w:highlight w:val="none"/>
        </w:rPr>
        <w:fldChar w:fldCharType="separate"/>
      </w:r>
      <w:r>
        <w:rPr>
          <w:rFonts w:hint="eastAsia" w:ascii="Times New Roman" w:hAnsi="Times New Roman" w:eastAsia="仿宋" w:cs="Times New Roman"/>
          <w:sz w:val="24"/>
          <w:szCs w:val="24"/>
          <w:highlight w:val="none"/>
        </w:rPr>
        <w:t>（三）试验研究策略</w:t>
      </w:r>
      <w:r>
        <w:rPr>
          <w:sz w:val="24"/>
          <w:szCs w:val="24"/>
        </w:rPr>
        <w:tab/>
      </w:r>
      <w:r>
        <w:rPr>
          <w:sz w:val="24"/>
          <w:szCs w:val="24"/>
        </w:rPr>
        <w:fldChar w:fldCharType="begin"/>
      </w:r>
      <w:r>
        <w:rPr>
          <w:sz w:val="24"/>
          <w:szCs w:val="24"/>
        </w:rPr>
        <w:instrText xml:space="preserve"> PAGEREF _Toc18593 \h </w:instrText>
      </w:r>
      <w:r>
        <w:rPr>
          <w:sz w:val="24"/>
          <w:szCs w:val="24"/>
        </w:rPr>
        <w:fldChar w:fldCharType="separate"/>
      </w:r>
      <w:r>
        <w:rPr>
          <w:sz w:val="24"/>
          <w:szCs w:val="24"/>
        </w:rPr>
        <w:t>2</w:t>
      </w:r>
      <w:r>
        <w:rPr>
          <w:sz w:val="24"/>
          <w:szCs w:val="24"/>
        </w:rPr>
        <w:fldChar w:fldCharType="end"/>
      </w:r>
      <w:r>
        <w:rPr>
          <w:rFonts w:ascii="黑体" w:hAnsi="黑体" w:eastAsia="黑体"/>
          <w:sz w:val="24"/>
          <w:szCs w:val="24"/>
          <w:highlight w:val="none"/>
        </w:rPr>
        <w:fldChar w:fldCharType="end"/>
      </w:r>
    </w:p>
    <w:p>
      <w:pPr>
        <w:pStyle w:val="9"/>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_Toc21255 </w:instrText>
      </w:r>
      <w:r>
        <w:rPr>
          <w:rFonts w:ascii="黑体" w:hAnsi="黑体" w:eastAsia="黑体"/>
          <w:sz w:val="24"/>
          <w:szCs w:val="24"/>
          <w:highlight w:val="none"/>
        </w:rPr>
        <w:fldChar w:fldCharType="separate"/>
      </w:r>
      <w:r>
        <w:rPr>
          <w:rFonts w:hint="eastAsia" w:ascii="黑体" w:hAnsi="黑体" w:eastAsia="黑体" w:cs="黑体"/>
          <w:sz w:val="24"/>
          <w:szCs w:val="24"/>
          <w:highlight w:val="none"/>
        </w:rPr>
        <w:t>三、基本内容</w:t>
      </w:r>
      <w:r>
        <w:rPr>
          <w:sz w:val="24"/>
          <w:szCs w:val="24"/>
        </w:rPr>
        <w:tab/>
      </w:r>
      <w:r>
        <w:rPr>
          <w:sz w:val="24"/>
          <w:szCs w:val="24"/>
        </w:rPr>
        <w:fldChar w:fldCharType="begin"/>
      </w:r>
      <w:r>
        <w:rPr>
          <w:sz w:val="24"/>
          <w:szCs w:val="24"/>
        </w:rPr>
        <w:instrText xml:space="preserve"> PAGEREF _Toc21255 \h </w:instrText>
      </w:r>
      <w:r>
        <w:rPr>
          <w:sz w:val="24"/>
          <w:szCs w:val="24"/>
        </w:rPr>
        <w:fldChar w:fldCharType="separate"/>
      </w:r>
      <w:r>
        <w:rPr>
          <w:sz w:val="24"/>
          <w:szCs w:val="24"/>
        </w:rPr>
        <w:t>2</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_Toc12787 </w:instrText>
      </w:r>
      <w:r>
        <w:rPr>
          <w:rFonts w:ascii="黑体" w:hAnsi="黑体" w:eastAsia="黑体"/>
          <w:sz w:val="24"/>
          <w:szCs w:val="24"/>
          <w:highlight w:val="none"/>
        </w:rPr>
        <w:fldChar w:fldCharType="separate"/>
      </w:r>
      <w:r>
        <w:rPr>
          <w:rFonts w:hint="eastAsia" w:ascii="Times New Roman" w:hAnsi="Times New Roman" w:eastAsia="仿宋" w:cs="Times New Roman"/>
          <w:bCs/>
          <w:sz w:val="24"/>
          <w:szCs w:val="24"/>
          <w:highlight w:val="none"/>
        </w:rPr>
        <w:t>（一）免疫毒性评价应考虑的因素</w:t>
      </w:r>
      <w:r>
        <w:rPr>
          <w:sz w:val="24"/>
          <w:szCs w:val="24"/>
        </w:rPr>
        <w:tab/>
      </w:r>
      <w:r>
        <w:rPr>
          <w:sz w:val="24"/>
          <w:szCs w:val="24"/>
        </w:rPr>
        <w:fldChar w:fldCharType="begin"/>
      </w:r>
      <w:r>
        <w:rPr>
          <w:sz w:val="24"/>
          <w:szCs w:val="24"/>
        </w:rPr>
        <w:instrText xml:space="preserve"> PAGEREF _Toc12787 \h </w:instrText>
      </w:r>
      <w:r>
        <w:rPr>
          <w:sz w:val="24"/>
          <w:szCs w:val="24"/>
        </w:rPr>
        <w:fldChar w:fldCharType="separate"/>
      </w:r>
      <w:r>
        <w:rPr>
          <w:sz w:val="24"/>
          <w:szCs w:val="24"/>
        </w:rPr>
        <w:t>2</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_Toc14853 </w:instrText>
      </w:r>
      <w:r>
        <w:rPr>
          <w:rFonts w:ascii="黑体" w:hAnsi="黑体" w:eastAsia="黑体"/>
          <w:sz w:val="24"/>
          <w:szCs w:val="24"/>
          <w:highlight w:val="none"/>
        </w:rPr>
        <w:fldChar w:fldCharType="separate"/>
      </w:r>
      <w:r>
        <w:rPr>
          <w:rFonts w:hint="eastAsia" w:ascii="Times New Roman" w:hAnsi="Times New Roman" w:eastAsia="仿宋" w:cs="Times New Roman"/>
          <w:bCs/>
          <w:sz w:val="24"/>
          <w:szCs w:val="24"/>
          <w:highlight w:val="none"/>
        </w:rPr>
        <w:t>（二）证据权重分析</w:t>
      </w:r>
      <w:r>
        <w:rPr>
          <w:sz w:val="24"/>
          <w:szCs w:val="24"/>
        </w:rPr>
        <w:tab/>
      </w:r>
      <w:r>
        <w:rPr>
          <w:sz w:val="24"/>
          <w:szCs w:val="24"/>
        </w:rPr>
        <w:fldChar w:fldCharType="begin"/>
      </w:r>
      <w:r>
        <w:rPr>
          <w:sz w:val="24"/>
          <w:szCs w:val="24"/>
        </w:rPr>
        <w:instrText xml:space="preserve"> PAGEREF _Toc14853 \h </w:instrText>
      </w:r>
      <w:r>
        <w:rPr>
          <w:sz w:val="24"/>
          <w:szCs w:val="24"/>
        </w:rPr>
        <w:fldChar w:fldCharType="separate"/>
      </w:r>
      <w:r>
        <w:rPr>
          <w:sz w:val="24"/>
          <w:szCs w:val="24"/>
        </w:rPr>
        <w:t>3</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_Toc5567 </w:instrText>
      </w:r>
      <w:r>
        <w:rPr>
          <w:rFonts w:ascii="黑体" w:hAnsi="黑体" w:eastAsia="黑体"/>
          <w:sz w:val="24"/>
          <w:szCs w:val="24"/>
          <w:highlight w:val="none"/>
        </w:rPr>
        <w:fldChar w:fldCharType="separate"/>
      </w:r>
      <w:r>
        <w:rPr>
          <w:rFonts w:hint="eastAsia" w:ascii="Times New Roman" w:hAnsi="Times New Roman" w:eastAsia="仿宋" w:cs="Times New Roman"/>
          <w:bCs/>
          <w:sz w:val="24"/>
          <w:szCs w:val="24"/>
          <w:highlight w:val="none"/>
        </w:rPr>
        <w:t>（三）</w:t>
      </w:r>
      <w:r>
        <w:rPr>
          <w:rFonts w:hint="eastAsia" w:ascii="Times New Roman" w:hAnsi="Times New Roman" w:eastAsia="仿宋" w:cs="Times New Roman"/>
          <w:sz w:val="24"/>
          <w:szCs w:val="24"/>
          <w:highlight w:val="none"/>
        </w:rPr>
        <w:t>初始筛选免疫毒性试验</w:t>
      </w:r>
      <w:r>
        <w:rPr>
          <w:sz w:val="24"/>
          <w:szCs w:val="24"/>
        </w:rPr>
        <w:tab/>
      </w:r>
      <w:r>
        <w:rPr>
          <w:sz w:val="24"/>
          <w:szCs w:val="24"/>
        </w:rPr>
        <w:fldChar w:fldCharType="begin"/>
      </w:r>
      <w:r>
        <w:rPr>
          <w:sz w:val="24"/>
          <w:szCs w:val="24"/>
        </w:rPr>
        <w:instrText xml:space="preserve"> PAGEREF _Toc5567 \h </w:instrText>
      </w:r>
      <w:r>
        <w:rPr>
          <w:sz w:val="24"/>
          <w:szCs w:val="24"/>
        </w:rPr>
        <w:fldChar w:fldCharType="separate"/>
      </w:r>
      <w:r>
        <w:rPr>
          <w:sz w:val="24"/>
          <w:szCs w:val="24"/>
        </w:rPr>
        <w:t>3</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_Toc16245 </w:instrText>
      </w:r>
      <w:r>
        <w:rPr>
          <w:rFonts w:ascii="黑体" w:hAnsi="黑体" w:eastAsia="黑体"/>
          <w:sz w:val="24"/>
          <w:szCs w:val="24"/>
          <w:highlight w:val="none"/>
        </w:rPr>
        <w:fldChar w:fldCharType="separate"/>
      </w:r>
      <w:r>
        <w:rPr>
          <w:rFonts w:hint="eastAsia" w:ascii="Times New Roman" w:hAnsi="Times New Roman" w:eastAsia="仿宋" w:cs="Times New Roman"/>
          <w:bCs/>
          <w:sz w:val="24"/>
          <w:szCs w:val="24"/>
          <w:highlight w:val="none"/>
        </w:rPr>
        <w:t>（四）附加免疫毒性试验设计及方法选择</w:t>
      </w:r>
      <w:r>
        <w:rPr>
          <w:sz w:val="24"/>
          <w:szCs w:val="24"/>
        </w:rPr>
        <w:tab/>
      </w:r>
      <w:r>
        <w:rPr>
          <w:sz w:val="24"/>
          <w:szCs w:val="24"/>
        </w:rPr>
        <w:fldChar w:fldCharType="begin"/>
      </w:r>
      <w:r>
        <w:rPr>
          <w:sz w:val="24"/>
          <w:szCs w:val="24"/>
        </w:rPr>
        <w:instrText xml:space="preserve"> PAGEREF _Toc16245 \h </w:instrText>
      </w:r>
      <w:r>
        <w:rPr>
          <w:sz w:val="24"/>
          <w:szCs w:val="24"/>
        </w:rPr>
        <w:fldChar w:fldCharType="separate"/>
      </w:r>
      <w:r>
        <w:rPr>
          <w:sz w:val="24"/>
          <w:szCs w:val="24"/>
        </w:rPr>
        <w:t>5</w:t>
      </w:r>
      <w:r>
        <w:rPr>
          <w:sz w:val="24"/>
          <w:szCs w:val="24"/>
        </w:rPr>
        <w:fldChar w:fldCharType="end"/>
      </w:r>
      <w:r>
        <w:rPr>
          <w:rFonts w:ascii="黑体" w:hAnsi="黑体" w:eastAsia="黑体"/>
          <w:sz w:val="24"/>
          <w:szCs w:val="24"/>
          <w:highlight w:val="none"/>
        </w:rPr>
        <w:fldChar w:fldCharType="end"/>
      </w:r>
    </w:p>
    <w:p>
      <w:pPr>
        <w:pStyle w:val="9"/>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_Toc404 </w:instrText>
      </w:r>
      <w:r>
        <w:rPr>
          <w:rFonts w:ascii="黑体" w:hAnsi="黑体" w:eastAsia="黑体"/>
          <w:sz w:val="24"/>
          <w:szCs w:val="24"/>
          <w:highlight w:val="none"/>
        </w:rPr>
        <w:fldChar w:fldCharType="separate"/>
      </w:r>
      <w:r>
        <w:rPr>
          <w:rFonts w:hint="eastAsia" w:ascii="黑体" w:hAnsi="黑体" w:eastAsia="黑体" w:cs="黑体"/>
          <w:sz w:val="24"/>
          <w:szCs w:val="24"/>
          <w:highlight w:val="none"/>
        </w:rPr>
        <w:t>四、免疫毒性评价要点</w:t>
      </w:r>
      <w:r>
        <w:rPr>
          <w:sz w:val="24"/>
          <w:szCs w:val="24"/>
        </w:rPr>
        <w:tab/>
      </w:r>
      <w:r>
        <w:rPr>
          <w:sz w:val="24"/>
          <w:szCs w:val="24"/>
        </w:rPr>
        <w:fldChar w:fldCharType="begin"/>
      </w:r>
      <w:r>
        <w:rPr>
          <w:sz w:val="24"/>
          <w:szCs w:val="24"/>
        </w:rPr>
        <w:instrText xml:space="preserve"> PAGEREF _Toc404 \h </w:instrText>
      </w:r>
      <w:r>
        <w:rPr>
          <w:sz w:val="24"/>
          <w:szCs w:val="24"/>
        </w:rPr>
        <w:fldChar w:fldCharType="separate"/>
      </w:r>
      <w:r>
        <w:rPr>
          <w:sz w:val="24"/>
          <w:szCs w:val="24"/>
        </w:rPr>
        <w:t>8</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_Toc23459 </w:instrText>
      </w:r>
      <w:r>
        <w:rPr>
          <w:rFonts w:ascii="黑体" w:hAnsi="黑体" w:eastAsia="黑体"/>
          <w:sz w:val="24"/>
          <w:szCs w:val="24"/>
          <w:highlight w:val="none"/>
        </w:rPr>
        <w:fldChar w:fldCharType="separate"/>
      </w:r>
      <w:r>
        <w:rPr>
          <w:rFonts w:hint="eastAsia" w:ascii="Times New Roman" w:hAnsi="Times New Roman" w:eastAsia="仿宋" w:cs="Times New Roman"/>
          <w:bCs/>
          <w:sz w:val="24"/>
          <w:szCs w:val="24"/>
          <w:highlight w:val="none"/>
        </w:rPr>
        <w:t>（一）免疫抑制</w:t>
      </w:r>
      <w:r>
        <w:rPr>
          <w:sz w:val="24"/>
          <w:szCs w:val="24"/>
        </w:rPr>
        <w:tab/>
      </w:r>
      <w:r>
        <w:rPr>
          <w:sz w:val="24"/>
          <w:szCs w:val="24"/>
        </w:rPr>
        <w:fldChar w:fldCharType="begin"/>
      </w:r>
      <w:r>
        <w:rPr>
          <w:sz w:val="24"/>
          <w:szCs w:val="24"/>
        </w:rPr>
        <w:instrText xml:space="preserve"> PAGEREF _Toc23459 \h </w:instrText>
      </w:r>
      <w:r>
        <w:rPr>
          <w:sz w:val="24"/>
          <w:szCs w:val="24"/>
        </w:rPr>
        <w:fldChar w:fldCharType="separate"/>
      </w:r>
      <w:r>
        <w:rPr>
          <w:sz w:val="24"/>
          <w:szCs w:val="24"/>
        </w:rPr>
        <w:t>8</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_Toc4518 </w:instrText>
      </w:r>
      <w:r>
        <w:rPr>
          <w:rFonts w:ascii="黑体" w:hAnsi="黑体" w:eastAsia="黑体"/>
          <w:sz w:val="24"/>
          <w:szCs w:val="24"/>
          <w:highlight w:val="none"/>
        </w:rPr>
        <w:fldChar w:fldCharType="separate"/>
      </w:r>
      <w:r>
        <w:rPr>
          <w:rFonts w:hint="eastAsia" w:ascii="Times New Roman" w:hAnsi="Times New Roman" w:eastAsia="仿宋" w:cs="Times New Roman"/>
          <w:bCs/>
          <w:sz w:val="24"/>
          <w:szCs w:val="24"/>
          <w:highlight w:val="none"/>
        </w:rPr>
        <w:t>（二）免疫刺激</w:t>
      </w:r>
      <w:r>
        <w:rPr>
          <w:sz w:val="24"/>
          <w:szCs w:val="24"/>
        </w:rPr>
        <w:tab/>
      </w:r>
      <w:r>
        <w:rPr>
          <w:sz w:val="24"/>
          <w:szCs w:val="24"/>
        </w:rPr>
        <w:fldChar w:fldCharType="begin"/>
      </w:r>
      <w:r>
        <w:rPr>
          <w:sz w:val="24"/>
          <w:szCs w:val="24"/>
        </w:rPr>
        <w:instrText xml:space="preserve"> PAGEREF _Toc4518 \h </w:instrText>
      </w:r>
      <w:r>
        <w:rPr>
          <w:sz w:val="24"/>
          <w:szCs w:val="24"/>
        </w:rPr>
        <w:fldChar w:fldCharType="separate"/>
      </w:r>
      <w:r>
        <w:rPr>
          <w:sz w:val="24"/>
          <w:szCs w:val="24"/>
        </w:rPr>
        <w:t>9</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_Toc29372 </w:instrText>
      </w:r>
      <w:r>
        <w:rPr>
          <w:rFonts w:ascii="黑体" w:hAnsi="黑体" w:eastAsia="黑体"/>
          <w:sz w:val="24"/>
          <w:szCs w:val="24"/>
          <w:highlight w:val="none"/>
        </w:rPr>
        <w:fldChar w:fldCharType="separate"/>
      </w:r>
      <w:r>
        <w:rPr>
          <w:rFonts w:hint="eastAsia" w:ascii="Times New Roman" w:hAnsi="Times New Roman" w:eastAsia="仿宋" w:cs="Times New Roman"/>
          <w:bCs/>
          <w:sz w:val="24"/>
          <w:szCs w:val="24"/>
          <w:highlight w:val="none"/>
        </w:rPr>
        <w:t>（三）超敏反应</w:t>
      </w:r>
      <w:r>
        <w:rPr>
          <w:sz w:val="24"/>
          <w:szCs w:val="24"/>
        </w:rPr>
        <w:tab/>
      </w:r>
      <w:r>
        <w:rPr>
          <w:sz w:val="24"/>
          <w:szCs w:val="24"/>
        </w:rPr>
        <w:fldChar w:fldCharType="begin"/>
      </w:r>
      <w:r>
        <w:rPr>
          <w:sz w:val="24"/>
          <w:szCs w:val="24"/>
        </w:rPr>
        <w:instrText xml:space="preserve"> PAGEREF _Toc29372 \h </w:instrText>
      </w:r>
      <w:r>
        <w:rPr>
          <w:sz w:val="24"/>
          <w:szCs w:val="24"/>
        </w:rPr>
        <w:fldChar w:fldCharType="separate"/>
      </w:r>
      <w:r>
        <w:rPr>
          <w:sz w:val="24"/>
          <w:szCs w:val="24"/>
        </w:rPr>
        <w:t>10</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_Toc5898 </w:instrText>
      </w:r>
      <w:r>
        <w:rPr>
          <w:rFonts w:ascii="黑体" w:hAnsi="黑体" w:eastAsia="黑体"/>
          <w:sz w:val="24"/>
          <w:szCs w:val="24"/>
          <w:highlight w:val="none"/>
        </w:rPr>
        <w:fldChar w:fldCharType="separate"/>
      </w:r>
      <w:r>
        <w:rPr>
          <w:rFonts w:hint="eastAsia" w:ascii="Times New Roman" w:hAnsi="Times New Roman" w:eastAsia="仿宋" w:cs="Times New Roman"/>
          <w:bCs/>
          <w:sz w:val="24"/>
          <w:szCs w:val="24"/>
          <w:highlight w:val="none"/>
        </w:rPr>
        <w:t>（四）自身免疫</w:t>
      </w:r>
      <w:r>
        <w:rPr>
          <w:sz w:val="24"/>
          <w:szCs w:val="24"/>
        </w:rPr>
        <w:tab/>
      </w:r>
      <w:r>
        <w:rPr>
          <w:sz w:val="24"/>
          <w:szCs w:val="24"/>
        </w:rPr>
        <w:fldChar w:fldCharType="begin"/>
      </w:r>
      <w:r>
        <w:rPr>
          <w:sz w:val="24"/>
          <w:szCs w:val="24"/>
        </w:rPr>
        <w:instrText xml:space="preserve"> PAGEREF _Toc5898 \h </w:instrText>
      </w:r>
      <w:r>
        <w:rPr>
          <w:sz w:val="24"/>
          <w:szCs w:val="24"/>
        </w:rPr>
        <w:fldChar w:fldCharType="separate"/>
      </w:r>
      <w:r>
        <w:rPr>
          <w:sz w:val="24"/>
          <w:szCs w:val="24"/>
        </w:rPr>
        <w:t>10</w:t>
      </w:r>
      <w:r>
        <w:rPr>
          <w:sz w:val="24"/>
          <w:szCs w:val="24"/>
        </w:rPr>
        <w:fldChar w:fldCharType="end"/>
      </w:r>
      <w:r>
        <w:rPr>
          <w:rFonts w:ascii="黑体" w:hAnsi="黑体" w:eastAsia="黑体"/>
          <w:sz w:val="24"/>
          <w:szCs w:val="24"/>
          <w:highlight w:val="none"/>
        </w:rPr>
        <w:fldChar w:fldCharType="end"/>
      </w:r>
    </w:p>
    <w:p>
      <w:pPr>
        <w:pStyle w:val="10"/>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_Toc8349 </w:instrText>
      </w:r>
      <w:r>
        <w:rPr>
          <w:rFonts w:ascii="黑体" w:hAnsi="黑体" w:eastAsia="黑体"/>
          <w:sz w:val="24"/>
          <w:szCs w:val="24"/>
          <w:highlight w:val="none"/>
        </w:rPr>
        <w:fldChar w:fldCharType="separate"/>
      </w:r>
      <w:r>
        <w:rPr>
          <w:rFonts w:hint="eastAsia" w:ascii="Times New Roman" w:hAnsi="Times New Roman" w:eastAsia="仿宋" w:cs="Times New Roman"/>
          <w:bCs/>
          <w:sz w:val="24"/>
          <w:szCs w:val="24"/>
          <w:highlight w:val="none"/>
        </w:rPr>
        <w:t>（五）炎症反应</w:t>
      </w:r>
      <w:r>
        <w:rPr>
          <w:sz w:val="24"/>
          <w:szCs w:val="24"/>
        </w:rPr>
        <w:tab/>
      </w:r>
      <w:r>
        <w:rPr>
          <w:sz w:val="24"/>
          <w:szCs w:val="24"/>
        </w:rPr>
        <w:fldChar w:fldCharType="begin"/>
      </w:r>
      <w:r>
        <w:rPr>
          <w:sz w:val="24"/>
          <w:szCs w:val="24"/>
        </w:rPr>
        <w:instrText xml:space="preserve"> PAGEREF _Toc8349 \h </w:instrText>
      </w:r>
      <w:r>
        <w:rPr>
          <w:sz w:val="24"/>
          <w:szCs w:val="24"/>
        </w:rPr>
        <w:fldChar w:fldCharType="separate"/>
      </w:r>
      <w:r>
        <w:rPr>
          <w:sz w:val="24"/>
          <w:szCs w:val="24"/>
        </w:rPr>
        <w:t>11</w:t>
      </w:r>
      <w:r>
        <w:rPr>
          <w:sz w:val="24"/>
          <w:szCs w:val="24"/>
        </w:rPr>
        <w:fldChar w:fldCharType="end"/>
      </w:r>
      <w:r>
        <w:rPr>
          <w:rFonts w:ascii="黑体" w:hAnsi="黑体" w:eastAsia="黑体"/>
          <w:sz w:val="24"/>
          <w:szCs w:val="24"/>
          <w:highlight w:val="none"/>
        </w:rPr>
        <w:fldChar w:fldCharType="end"/>
      </w:r>
    </w:p>
    <w:p>
      <w:pPr>
        <w:pStyle w:val="9"/>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_Toc30945 </w:instrText>
      </w:r>
      <w:r>
        <w:rPr>
          <w:rFonts w:ascii="黑体" w:hAnsi="黑体" w:eastAsia="黑体"/>
          <w:sz w:val="24"/>
          <w:szCs w:val="24"/>
          <w:highlight w:val="none"/>
        </w:rPr>
        <w:fldChar w:fldCharType="separate"/>
      </w:r>
      <w:r>
        <w:rPr>
          <w:rFonts w:ascii="Times New Roman" w:hAnsi="Times New Roman" w:eastAsia="黑体" w:cs="Times New Roman"/>
          <w:bCs/>
          <w:sz w:val="24"/>
          <w:szCs w:val="24"/>
          <w:highlight w:val="none"/>
        </w:rPr>
        <w:t>五、</w:t>
      </w:r>
      <w:r>
        <w:rPr>
          <w:rFonts w:hint="eastAsia" w:ascii="Times New Roman" w:hAnsi="Times New Roman" w:eastAsia="黑体" w:cs="Times New Roman"/>
          <w:bCs/>
          <w:sz w:val="24"/>
          <w:szCs w:val="24"/>
          <w:highlight w:val="none"/>
        </w:rPr>
        <w:t>结果分析及评价</w:t>
      </w:r>
      <w:r>
        <w:rPr>
          <w:sz w:val="24"/>
          <w:szCs w:val="24"/>
        </w:rPr>
        <w:tab/>
      </w:r>
      <w:r>
        <w:rPr>
          <w:sz w:val="24"/>
          <w:szCs w:val="24"/>
        </w:rPr>
        <w:fldChar w:fldCharType="begin"/>
      </w:r>
      <w:r>
        <w:rPr>
          <w:sz w:val="24"/>
          <w:szCs w:val="24"/>
        </w:rPr>
        <w:instrText xml:space="preserve"> PAGEREF _Toc30945 \h </w:instrText>
      </w:r>
      <w:r>
        <w:rPr>
          <w:sz w:val="24"/>
          <w:szCs w:val="24"/>
        </w:rPr>
        <w:fldChar w:fldCharType="separate"/>
      </w:r>
      <w:r>
        <w:rPr>
          <w:sz w:val="24"/>
          <w:szCs w:val="24"/>
        </w:rPr>
        <w:t>11</w:t>
      </w:r>
      <w:r>
        <w:rPr>
          <w:sz w:val="24"/>
          <w:szCs w:val="24"/>
        </w:rPr>
        <w:fldChar w:fldCharType="end"/>
      </w:r>
      <w:r>
        <w:rPr>
          <w:rFonts w:ascii="黑体" w:hAnsi="黑体" w:eastAsia="黑体"/>
          <w:sz w:val="24"/>
          <w:szCs w:val="24"/>
          <w:highlight w:val="none"/>
        </w:rPr>
        <w:fldChar w:fldCharType="end"/>
      </w:r>
    </w:p>
    <w:p>
      <w:pPr>
        <w:pStyle w:val="9"/>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_Toc18380 </w:instrText>
      </w:r>
      <w:r>
        <w:rPr>
          <w:rFonts w:ascii="黑体" w:hAnsi="黑体" w:eastAsia="黑体"/>
          <w:sz w:val="24"/>
          <w:szCs w:val="24"/>
          <w:highlight w:val="none"/>
        </w:rPr>
        <w:fldChar w:fldCharType="separate"/>
      </w:r>
      <w:r>
        <w:rPr>
          <w:rFonts w:hint="eastAsia" w:ascii="Times New Roman" w:hAnsi="Times New Roman" w:eastAsia="黑体" w:cs="Times New Roman"/>
          <w:bCs/>
          <w:sz w:val="24"/>
          <w:szCs w:val="24"/>
          <w:highlight w:val="none"/>
        </w:rPr>
        <w:t>六、</w:t>
      </w:r>
      <w:r>
        <w:rPr>
          <w:rFonts w:ascii="Times New Roman" w:hAnsi="Times New Roman" w:eastAsia="黑体" w:cs="Times New Roman"/>
          <w:bCs/>
          <w:sz w:val="24"/>
          <w:szCs w:val="24"/>
          <w:highlight w:val="none"/>
        </w:rPr>
        <w:t>参考文献</w:t>
      </w:r>
      <w:r>
        <w:rPr>
          <w:sz w:val="24"/>
          <w:szCs w:val="24"/>
        </w:rPr>
        <w:tab/>
      </w:r>
      <w:r>
        <w:rPr>
          <w:sz w:val="24"/>
          <w:szCs w:val="24"/>
        </w:rPr>
        <w:fldChar w:fldCharType="begin"/>
      </w:r>
      <w:r>
        <w:rPr>
          <w:sz w:val="24"/>
          <w:szCs w:val="24"/>
        </w:rPr>
        <w:instrText xml:space="preserve"> PAGEREF _Toc18380 \h </w:instrText>
      </w:r>
      <w:r>
        <w:rPr>
          <w:sz w:val="24"/>
          <w:szCs w:val="24"/>
        </w:rPr>
        <w:fldChar w:fldCharType="separate"/>
      </w:r>
      <w:r>
        <w:rPr>
          <w:sz w:val="24"/>
          <w:szCs w:val="24"/>
        </w:rPr>
        <w:t>12</w:t>
      </w:r>
      <w:r>
        <w:rPr>
          <w:sz w:val="24"/>
          <w:szCs w:val="24"/>
        </w:rPr>
        <w:fldChar w:fldCharType="end"/>
      </w:r>
      <w:r>
        <w:rPr>
          <w:rFonts w:ascii="黑体" w:hAnsi="黑体" w:eastAsia="黑体"/>
          <w:sz w:val="24"/>
          <w:szCs w:val="24"/>
          <w:highlight w:val="none"/>
        </w:rPr>
        <w:fldChar w:fldCharType="end"/>
      </w:r>
    </w:p>
    <w:p>
      <w:pPr>
        <w:pStyle w:val="9"/>
        <w:tabs>
          <w:tab w:val="right" w:leader="dot" w:pos="8306"/>
        </w:tabs>
        <w:rPr>
          <w:sz w:val="24"/>
          <w:szCs w:val="24"/>
        </w:rPr>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_Toc28631 </w:instrText>
      </w:r>
      <w:r>
        <w:rPr>
          <w:rFonts w:ascii="黑体" w:hAnsi="黑体" w:eastAsia="黑体"/>
          <w:sz w:val="24"/>
          <w:szCs w:val="24"/>
          <w:highlight w:val="none"/>
        </w:rPr>
        <w:fldChar w:fldCharType="separate"/>
      </w:r>
      <w:r>
        <w:rPr>
          <w:rFonts w:hint="eastAsia" w:ascii="Times New Roman" w:hAnsi="Times New Roman" w:eastAsia="黑体" w:cs="Times New Roman"/>
          <w:bCs/>
          <w:sz w:val="24"/>
          <w:szCs w:val="24"/>
          <w:highlight w:val="none"/>
        </w:rPr>
        <w:t>七</w:t>
      </w:r>
      <w:r>
        <w:rPr>
          <w:rFonts w:ascii="Times New Roman" w:hAnsi="Times New Roman" w:eastAsia="黑体" w:cs="Times New Roman"/>
          <w:bCs/>
          <w:sz w:val="24"/>
          <w:szCs w:val="24"/>
          <w:highlight w:val="none"/>
        </w:rPr>
        <w:t>、术语和释义</w:t>
      </w:r>
      <w:r>
        <w:rPr>
          <w:sz w:val="24"/>
          <w:szCs w:val="24"/>
        </w:rPr>
        <w:tab/>
      </w:r>
      <w:r>
        <w:rPr>
          <w:sz w:val="24"/>
          <w:szCs w:val="24"/>
        </w:rPr>
        <w:fldChar w:fldCharType="begin"/>
      </w:r>
      <w:r>
        <w:rPr>
          <w:sz w:val="24"/>
          <w:szCs w:val="24"/>
        </w:rPr>
        <w:instrText xml:space="preserve"> PAGEREF _Toc28631 \h </w:instrText>
      </w:r>
      <w:r>
        <w:rPr>
          <w:sz w:val="24"/>
          <w:szCs w:val="24"/>
        </w:rPr>
        <w:fldChar w:fldCharType="separate"/>
      </w:r>
      <w:r>
        <w:rPr>
          <w:sz w:val="24"/>
          <w:szCs w:val="24"/>
        </w:rPr>
        <w:t>13</w:t>
      </w:r>
      <w:r>
        <w:rPr>
          <w:sz w:val="24"/>
          <w:szCs w:val="24"/>
        </w:rPr>
        <w:fldChar w:fldCharType="end"/>
      </w:r>
      <w:r>
        <w:rPr>
          <w:rFonts w:ascii="黑体" w:hAnsi="黑体" w:eastAsia="黑体"/>
          <w:sz w:val="24"/>
          <w:szCs w:val="24"/>
          <w:highlight w:val="none"/>
        </w:rPr>
        <w:fldChar w:fldCharType="end"/>
      </w:r>
    </w:p>
    <w:p>
      <w:pPr>
        <w:pStyle w:val="9"/>
        <w:tabs>
          <w:tab w:val="right" w:leader="dot" w:pos="8306"/>
        </w:tabs>
      </w:pPr>
      <w:r>
        <w:rPr>
          <w:rFonts w:ascii="黑体" w:hAnsi="黑体" w:eastAsia="黑体"/>
          <w:sz w:val="24"/>
          <w:szCs w:val="24"/>
          <w:highlight w:val="none"/>
        </w:rPr>
        <w:fldChar w:fldCharType="begin"/>
      </w:r>
      <w:r>
        <w:rPr>
          <w:rFonts w:ascii="黑体" w:hAnsi="黑体" w:eastAsia="黑体"/>
          <w:sz w:val="24"/>
          <w:szCs w:val="24"/>
          <w:highlight w:val="none"/>
        </w:rPr>
        <w:instrText xml:space="preserve"> HYPERLINK \l _Toc9598 </w:instrText>
      </w:r>
      <w:r>
        <w:rPr>
          <w:rFonts w:ascii="黑体" w:hAnsi="黑体" w:eastAsia="黑体"/>
          <w:sz w:val="24"/>
          <w:szCs w:val="24"/>
          <w:highlight w:val="none"/>
        </w:rPr>
        <w:fldChar w:fldCharType="separate"/>
      </w:r>
      <w:r>
        <w:rPr>
          <w:rFonts w:hint="eastAsia" w:ascii="Times New Roman" w:hAnsi="Times New Roman" w:eastAsia="黑体" w:cs="Times New Roman"/>
          <w:bCs/>
          <w:sz w:val="24"/>
          <w:szCs w:val="24"/>
          <w:highlight w:val="none"/>
        </w:rPr>
        <w:t>八</w:t>
      </w:r>
      <w:r>
        <w:rPr>
          <w:rFonts w:ascii="Times New Roman" w:hAnsi="Times New Roman" w:eastAsia="黑体" w:cs="Times New Roman"/>
          <w:bCs/>
          <w:sz w:val="24"/>
          <w:szCs w:val="24"/>
          <w:highlight w:val="none"/>
        </w:rPr>
        <w:t>、</w:t>
      </w:r>
      <w:r>
        <w:rPr>
          <w:rFonts w:hint="eastAsia" w:ascii="Times New Roman" w:hAnsi="Times New Roman" w:eastAsia="黑体" w:cs="Times New Roman"/>
          <w:bCs/>
          <w:sz w:val="24"/>
          <w:szCs w:val="24"/>
          <w:highlight w:val="none"/>
        </w:rPr>
        <w:t>附录</w:t>
      </w:r>
      <w:r>
        <w:rPr>
          <w:sz w:val="24"/>
          <w:szCs w:val="24"/>
        </w:rPr>
        <w:tab/>
      </w:r>
      <w:r>
        <w:rPr>
          <w:sz w:val="24"/>
          <w:szCs w:val="24"/>
        </w:rPr>
        <w:fldChar w:fldCharType="begin"/>
      </w:r>
      <w:r>
        <w:rPr>
          <w:sz w:val="24"/>
          <w:szCs w:val="24"/>
        </w:rPr>
        <w:instrText xml:space="preserve"> PAGEREF _Toc9598 \h </w:instrText>
      </w:r>
      <w:r>
        <w:rPr>
          <w:sz w:val="24"/>
          <w:szCs w:val="24"/>
        </w:rPr>
        <w:fldChar w:fldCharType="separate"/>
      </w:r>
      <w:r>
        <w:rPr>
          <w:sz w:val="24"/>
          <w:szCs w:val="24"/>
        </w:rPr>
        <w:t>13</w:t>
      </w:r>
      <w:r>
        <w:rPr>
          <w:sz w:val="24"/>
          <w:szCs w:val="24"/>
        </w:rPr>
        <w:fldChar w:fldCharType="end"/>
      </w:r>
      <w:r>
        <w:rPr>
          <w:rFonts w:ascii="黑体" w:hAnsi="黑体" w:eastAsia="黑体"/>
          <w:sz w:val="24"/>
          <w:szCs w:val="24"/>
          <w:highlight w:val="none"/>
        </w:rPr>
        <w:fldChar w:fldCharType="end"/>
      </w:r>
    </w:p>
    <w:p>
      <w:pPr>
        <w:rPr>
          <w:rFonts w:ascii="黑体" w:hAnsi="黑体" w:eastAsia="黑体"/>
          <w:sz w:val="24"/>
          <w:szCs w:val="24"/>
          <w:highlight w:val="none"/>
        </w:rPr>
      </w:pPr>
      <w:r>
        <w:rPr>
          <w:rFonts w:ascii="黑体" w:hAnsi="黑体" w:eastAsia="黑体"/>
          <w:sz w:val="24"/>
          <w:szCs w:val="24"/>
          <w:highlight w:val="none"/>
        </w:rPr>
        <w:fldChar w:fldCharType="end"/>
      </w:r>
    </w:p>
    <w:p>
      <w:pPr>
        <w:rPr>
          <w:rFonts w:ascii="黑体" w:hAnsi="黑体" w:eastAsia="黑体"/>
          <w:sz w:val="24"/>
          <w:szCs w:val="24"/>
          <w:highlight w:val="none"/>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360" w:lineRule="auto"/>
        <w:ind w:firstLine="640" w:firstLineChars="200"/>
        <w:outlineLvl w:val="0"/>
        <w:rPr>
          <w:rFonts w:ascii="黑体" w:hAnsi="黑体" w:eastAsia="黑体" w:cs="黑体"/>
          <w:color w:val="000000" w:themeColor="text1"/>
          <w:sz w:val="32"/>
          <w:szCs w:val="32"/>
          <w:highlight w:val="none"/>
          <w14:textFill>
            <w14:solidFill>
              <w14:schemeClr w14:val="tx1"/>
            </w14:solidFill>
          </w14:textFill>
        </w:rPr>
      </w:pPr>
      <w:bookmarkStart w:id="0" w:name="_Toc144629256"/>
      <w:bookmarkStart w:id="1" w:name="_Toc23211"/>
      <w:bookmarkStart w:id="2" w:name="_Toc7591"/>
      <w:bookmarkStart w:id="3" w:name="_Toc13190"/>
      <w:bookmarkStart w:id="4" w:name="_Toc13669"/>
      <w:bookmarkStart w:id="5" w:name="_Toc5946"/>
      <w:bookmarkStart w:id="6" w:name="_Toc10929"/>
      <w:r>
        <w:rPr>
          <w:rFonts w:hint="eastAsia" w:ascii="黑体" w:hAnsi="黑体" w:eastAsia="黑体" w:cs="黑体"/>
          <w:color w:val="000000" w:themeColor="text1"/>
          <w:sz w:val="32"/>
          <w:szCs w:val="32"/>
          <w:highlight w:val="none"/>
          <w14:textFill>
            <w14:solidFill>
              <w14:schemeClr w14:val="tx1"/>
            </w14:solidFill>
          </w14:textFill>
        </w:rPr>
        <w:t>一、概述</w:t>
      </w:r>
      <w:bookmarkEnd w:id="0"/>
      <w:bookmarkEnd w:id="1"/>
      <w:bookmarkEnd w:id="2"/>
      <w:bookmarkEnd w:id="3"/>
      <w:bookmarkEnd w:id="4"/>
      <w:bookmarkEnd w:id="5"/>
      <w:bookmarkEnd w:id="6"/>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fldChar w:fldCharType="begin"/>
      </w:r>
      <w:r>
        <w:rPr>
          <w:rFonts w:hint="eastAsia" w:ascii="仿宋" w:hAnsi="仿宋" w:eastAsia="仿宋" w:cs="仿宋"/>
          <w:color w:val="000000" w:themeColor="text1"/>
          <w:sz w:val="32"/>
          <w:szCs w:val="32"/>
          <w:highlight w:val="none"/>
          <w14:textFill>
            <w14:solidFill>
              <w14:schemeClr w14:val="tx1"/>
            </w14:solidFill>
          </w14:textFill>
        </w:rPr>
        <w:instrText xml:space="preserve"> HYPERLINK "https://baike.so.com/doc/5404909-5642666.html" \t "https://baike.so.com/doc/_blank" </w:instrText>
      </w:r>
      <w:r>
        <w:rPr>
          <w:rFonts w:hint="eastAsia" w:ascii="仿宋" w:hAnsi="仿宋" w:eastAsia="仿宋" w:cs="仿宋"/>
          <w:color w:val="000000" w:themeColor="text1"/>
          <w:sz w:val="32"/>
          <w:szCs w:val="32"/>
          <w:highlight w:val="none"/>
          <w14:textFill>
            <w14:solidFill>
              <w14:schemeClr w14:val="tx1"/>
            </w14:solidFill>
          </w14:textFill>
        </w:rPr>
        <w:fldChar w:fldCharType="separate"/>
      </w:r>
      <w:r>
        <w:rPr>
          <w:rFonts w:hint="eastAsia" w:ascii="仿宋" w:hAnsi="仿宋" w:eastAsia="仿宋" w:cs="仿宋"/>
          <w:color w:val="000000" w:themeColor="text1"/>
          <w:sz w:val="32"/>
          <w:szCs w:val="32"/>
          <w:highlight w:val="none"/>
          <w14:textFill>
            <w14:solidFill>
              <w14:schemeClr w14:val="tx1"/>
            </w14:solidFill>
          </w14:textFill>
        </w:rPr>
        <w:t>免疫系统</w:t>
      </w:r>
      <w:r>
        <w:rPr>
          <w:rFonts w:hint="eastAsia" w:ascii="仿宋" w:hAnsi="仿宋" w:eastAsia="仿宋" w:cs="仿宋"/>
          <w:color w:val="000000" w:themeColor="text1"/>
          <w:sz w:val="32"/>
          <w:szCs w:val="32"/>
          <w:highlight w:val="none"/>
          <w14:textFill>
            <w14:solidFill>
              <w14:schemeClr w14:val="tx1"/>
            </w14:solidFill>
          </w14:textFill>
        </w:rPr>
        <w:fldChar w:fldCharType="end"/>
      </w:r>
      <w:r>
        <w:rPr>
          <w:rFonts w:hint="eastAsia" w:ascii="仿宋" w:hAnsi="仿宋" w:eastAsia="仿宋" w:cs="仿宋"/>
          <w:color w:val="000000" w:themeColor="text1"/>
          <w:sz w:val="32"/>
          <w:szCs w:val="32"/>
          <w:highlight w:val="none"/>
          <w14:textFill>
            <w14:solidFill>
              <w14:schemeClr w14:val="tx1"/>
            </w14:solidFill>
          </w14:textFill>
        </w:rPr>
        <w:t>包括参与免疫反应的各种细胞、器官/组织，如</w:t>
      </w:r>
      <w:r>
        <w:rPr>
          <w:rFonts w:hint="eastAsia" w:ascii="仿宋" w:hAnsi="仿宋" w:eastAsia="仿宋" w:cs="仿宋"/>
          <w:color w:val="000000" w:themeColor="text1"/>
          <w:sz w:val="32"/>
          <w:szCs w:val="32"/>
          <w:highlight w:val="none"/>
          <w14:textFill>
            <w14:solidFill>
              <w14:schemeClr w14:val="tx1"/>
            </w14:solidFill>
          </w14:textFill>
        </w:rPr>
        <w:fldChar w:fldCharType="begin"/>
      </w:r>
      <w:r>
        <w:rPr>
          <w:rFonts w:hint="eastAsia" w:ascii="仿宋" w:hAnsi="仿宋" w:eastAsia="仿宋" w:cs="仿宋"/>
          <w:color w:val="000000" w:themeColor="text1"/>
          <w:sz w:val="32"/>
          <w:szCs w:val="32"/>
          <w:highlight w:val="none"/>
          <w14:textFill>
            <w14:solidFill>
              <w14:schemeClr w14:val="tx1"/>
            </w14:solidFill>
          </w14:textFill>
        </w:rPr>
        <w:instrText xml:space="preserve"> HYPERLINK "https://baike.so.com/doc/5404165-6267098.html" \t "https://baike.so.com/doc/_blank" </w:instrText>
      </w:r>
      <w:r>
        <w:rPr>
          <w:rFonts w:hint="eastAsia" w:ascii="仿宋" w:hAnsi="仿宋" w:eastAsia="仿宋" w:cs="仿宋"/>
          <w:color w:val="000000" w:themeColor="text1"/>
          <w:sz w:val="32"/>
          <w:szCs w:val="32"/>
          <w:highlight w:val="none"/>
          <w14:textFill>
            <w14:solidFill>
              <w14:schemeClr w14:val="tx1"/>
            </w14:solidFill>
          </w14:textFill>
        </w:rPr>
        <w:fldChar w:fldCharType="separate"/>
      </w:r>
      <w:r>
        <w:rPr>
          <w:rFonts w:hint="eastAsia" w:ascii="仿宋" w:hAnsi="仿宋" w:eastAsia="仿宋" w:cs="仿宋"/>
          <w:color w:val="000000" w:themeColor="text1"/>
          <w:sz w:val="32"/>
          <w:szCs w:val="32"/>
          <w:highlight w:val="none"/>
          <w14:textFill>
            <w14:solidFill>
              <w14:schemeClr w14:val="tx1"/>
            </w14:solidFill>
          </w14:textFill>
        </w:rPr>
        <w:t>胸腺</w:t>
      </w:r>
      <w:r>
        <w:rPr>
          <w:rFonts w:hint="eastAsia" w:ascii="仿宋" w:hAnsi="仿宋" w:eastAsia="仿宋" w:cs="仿宋"/>
          <w:color w:val="000000" w:themeColor="text1"/>
          <w:sz w:val="32"/>
          <w:szCs w:val="32"/>
          <w:highlight w:val="none"/>
          <w14:textFill>
            <w14:solidFill>
              <w14:schemeClr w14:val="tx1"/>
            </w14:solidFill>
          </w14:textFill>
        </w:rPr>
        <w:fldChar w:fldCharType="end"/>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fldChar w:fldCharType="begin"/>
      </w:r>
      <w:r>
        <w:rPr>
          <w:rFonts w:hint="eastAsia" w:ascii="仿宋" w:hAnsi="仿宋" w:eastAsia="仿宋" w:cs="仿宋"/>
          <w:color w:val="000000" w:themeColor="text1"/>
          <w:sz w:val="32"/>
          <w:szCs w:val="32"/>
          <w:highlight w:val="none"/>
          <w14:textFill>
            <w14:solidFill>
              <w14:schemeClr w14:val="tx1"/>
            </w14:solidFill>
          </w14:textFill>
        </w:rPr>
        <w:instrText xml:space="preserve"> HYPERLINK "https://baike.so.com/doc/5378947-5615168.html" \t "https://baike.so.com/doc/_blank" </w:instrText>
      </w:r>
      <w:r>
        <w:rPr>
          <w:rFonts w:hint="eastAsia" w:ascii="仿宋" w:hAnsi="仿宋" w:eastAsia="仿宋" w:cs="仿宋"/>
          <w:color w:val="000000" w:themeColor="text1"/>
          <w:sz w:val="32"/>
          <w:szCs w:val="32"/>
          <w:highlight w:val="none"/>
          <w14:textFill>
            <w14:solidFill>
              <w14:schemeClr w14:val="tx1"/>
            </w14:solidFill>
          </w14:textFill>
        </w:rPr>
        <w:fldChar w:fldCharType="separate"/>
      </w:r>
      <w:r>
        <w:rPr>
          <w:rFonts w:hint="eastAsia" w:ascii="仿宋" w:hAnsi="仿宋" w:eastAsia="仿宋" w:cs="仿宋"/>
          <w:color w:val="000000" w:themeColor="text1"/>
          <w:sz w:val="32"/>
          <w:szCs w:val="32"/>
          <w:highlight w:val="none"/>
          <w14:textFill>
            <w14:solidFill>
              <w14:schemeClr w14:val="tx1"/>
            </w14:solidFill>
          </w14:textFill>
        </w:rPr>
        <w:t>淋巴结</w:t>
      </w:r>
      <w:r>
        <w:rPr>
          <w:rFonts w:hint="eastAsia" w:ascii="仿宋" w:hAnsi="仿宋" w:eastAsia="仿宋" w:cs="仿宋"/>
          <w:color w:val="000000" w:themeColor="text1"/>
          <w:sz w:val="32"/>
          <w:szCs w:val="32"/>
          <w:highlight w:val="none"/>
          <w14:textFill>
            <w14:solidFill>
              <w14:schemeClr w14:val="tx1"/>
            </w14:solidFill>
          </w14:textFill>
        </w:rPr>
        <w:fldChar w:fldCharType="end"/>
      </w:r>
      <w:r>
        <w:rPr>
          <w:rFonts w:hint="eastAsia" w:ascii="仿宋" w:hAnsi="仿宋" w:eastAsia="仿宋" w:cs="仿宋"/>
          <w:color w:val="000000" w:themeColor="text1"/>
          <w:sz w:val="32"/>
          <w:szCs w:val="32"/>
          <w:highlight w:val="none"/>
          <w14:textFill>
            <w14:solidFill>
              <w14:schemeClr w14:val="tx1"/>
            </w14:solidFill>
          </w14:textFill>
        </w:rPr>
        <w:t>、脾、</w:t>
      </w:r>
      <w:r>
        <w:rPr>
          <w:rFonts w:hint="eastAsia" w:ascii="仿宋" w:hAnsi="仿宋" w:eastAsia="仿宋" w:cs="仿宋"/>
          <w:color w:val="000000" w:themeColor="text1"/>
          <w:sz w:val="32"/>
          <w:szCs w:val="32"/>
          <w:highlight w:val="none"/>
          <w14:textFill>
            <w14:solidFill>
              <w14:schemeClr w14:val="tx1"/>
            </w14:solidFill>
          </w14:textFill>
        </w:rPr>
        <w:fldChar w:fldCharType="begin"/>
      </w:r>
      <w:r>
        <w:rPr>
          <w:rFonts w:hint="eastAsia" w:ascii="仿宋" w:hAnsi="仿宋" w:eastAsia="仿宋" w:cs="仿宋"/>
          <w:color w:val="000000" w:themeColor="text1"/>
          <w:sz w:val="32"/>
          <w:szCs w:val="32"/>
          <w:highlight w:val="none"/>
          <w14:textFill>
            <w14:solidFill>
              <w14:schemeClr w14:val="tx1"/>
            </w14:solidFill>
          </w14:textFill>
        </w:rPr>
        <w:instrText xml:space="preserve"> HYPERLINK "https://baike.so.com/doc/5389061-5625639.html" \t "https://baike.so.com/doc/_blank" </w:instrText>
      </w:r>
      <w:r>
        <w:rPr>
          <w:rFonts w:hint="eastAsia" w:ascii="仿宋" w:hAnsi="仿宋" w:eastAsia="仿宋" w:cs="仿宋"/>
          <w:color w:val="000000" w:themeColor="text1"/>
          <w:sz w:val="32"/>
          <w:szCs w:val="32"/>
          <w:highlight w:val="none"/>
          <w14:textFill>
            <w14:solidFill>
              <w14:schemeClr w14:val="tx1"/>
            </w14:solidFill>
          </w14:textFill>
        </w:rPr>
        <w:fldChar w:fldCharType="separate"/>
      </w:r>
      <w:r>
        <w:rPr>
          <w:rFonts w:hint="eastAsia" w:ascii="仿宋" w:hAnsi="仿宋" w:eastAsia="仿宋" w:cs="仿宋"/>
          <w:color w:val="000000" w:themeColor="text1"/>
          <w:sz w:val="32"/>
          <w:szCs w:val="32"/>
          <w:highlight w:val="none"/>
          <w14:textFill>
            <w14:solidFill>
              <w14:schemeClr w14:val="tx1"/>
            </w14:solidFill>
          </w14:textFill>
        </w:rPr>
        <w:t>扁桃体</w:t>
      </w:r>
      <w:r>
        <w:rPr>
          <w:rFonts w:hint="eastAsia" w:ascii="仿宋" w:hAnsi="仿宋" w:eastAsia="仿宋" w:cs="仿宋"/>
          <w:color w:val="000000" w:themeColor="text1"/>
          <w:sz w:val="32"/>
          <w:szCs w:val="32"/>
          <w:highlight w:val="none"/>
          <w14:textFill>
            <w14:solidFill>
              <w14:schemeClr w14:val="tx1"/>
            </w14:solidFill>
          </w14:textFill>
        </w:rPr>
        <w:fldChar w:fldCharType="end"/>
      </w:r>
      <w:r>
        <w:rPr>
          <w:rFonts w:hint="eastAsia" w:ascii="仿宋" w:hAnsi="仿宋" w:eastAsia="仿宋" w:cs="仿宋"/>
          <w:color w:val="000000" w:themeColor="text1"/>
          <w:sz w:val="32"/>
          <w:szCs w:val="32"/>
          <w:highlight w:val="none"/>
          <w14:textFill>
            <w14:solidFill>
              <w14:schemeClr w14:val="tx1"/>
            </w14:solidFill>
          </w14:textFill>
        </w:rPr>
        <w:t>以及分布在全身体液和组织中的</w:t>
      </w:r>
      <w:r>
        <w:rPr>
          <w:rFonts w:hint="eastAsia" w:ascii="仿宋" w:hAnsi="仿宋" w:eastAsia="仿宋" w:cs="仿宋"/>
          <w:color w:val="000000" w:themeColor="text1"/>
          <w:sz w:val="32"/>
          <w:szCs w:val="32"/>
          <w:highlight w:val="none"/>
          <w14:textFill>
            <w14:solidFill>
              <w14:schemeClr w14:val="tx1"/>
            </w14:solidFill>
          </w14:textFill>
        </w:rPr>
        <w:fldChar w:fldCharType="begin"/>
      </w:r>
      <w:r>
        <w:rPr>
          <w:rFonts w:hint="eastAsia" w:ascii="仿宋" w:hAnsi="仿宋" w:eastAsia="仿宋" w:cs="仿宋"/>
          <w:color w:val="000000" w:themeColor="text1"/>
          <w:sz w:val="32"/>
          <w:szCs w:val="32"/>
          <w:highlight w:val="none"/>
          <w14:textFill>
            <w14:solidFill>
              <w14:schemeClr w14:val="tx1"/>
            </w14:solidFill>
          </w14:textFill>
        </w:rPr>
        <w:instrText xml:space="preserve"> HYPERLINK "https://baike.so.com/doc/1030278-1089542.html" \t "https://baike.so.com/doc/_blank" </w:instrText>
      </w:r>
      <w:r>
        <w:rPr>
          <w:rFonts w:hint="eastAsia" w:ascii="仿宋" w:hAnsi="仿宋" w:eastAsia="仿宋" w:cs="仿宋"/>
          <w:color w:val="000000" w:themeColor="text1"/>
          <w:sz w:val="32"/>
          <w:szCs w:val="32"/>
          <w:highlight w:val="none"/>
          <w14:textFill>
            <w14:solidFill>
              <w14:schemeClr w14:val="tx1"/>
            </w14:solidFill>
          </w14:textFill>
        </w:rPr>
        <w:fldChar w:fldCharType="separate"/>
      </w:r>
      <w:r>
        <w:rPr>
          <w:rFonts w:hint="eastAsia" w:ascii="仿宋" w:hAnsi="仿宋" w:eastAsia="仿宋" w:cs="仿宋"/>
          <w:color w:val="000000" w:themeColor="text1"/>
          <w:sz w:val="32"/>
          <w:szCs w:val="32"/>
          <w:highlight w:val="none"/>
          <w14:textFill>
            <w14:solidFill>
              <w14:schemeClr w14:val="tx1"/>
            </w14:solidFill>
          </w14:textFill>
        </w:rPr>
        <w:t>淋巴细胞</w:t>
      </w:r>
      <w:r>
        <w:rPr>
          <w:rFonts w:hint="eastAsia" w:ascii="仿宋" w:hAnsi="仿宋" w:eastAsia="仿宋" w:cs="仿宋"/>
          <w:color w:val="000000" w:themeColor="text1"/>
          <w:sz w:val="32"/>
          <w:szCs w:val="32"/>
          <w:highlight w:val="none"/>
          <w14:textFill>
            <w14:solidFill>
              <w14:schemeClr w14:val="tx1"/>
            </w14:solidFill>
          </w14:textFill>
        </w:rPr>
        <w:fldChar w:fldCharType="end"/>
      </w:r>
      <w:r>
        <w:rPr>
          <w:rFonts w:hint="eastAsia" w:ascii="仿宋" w:hAnsi="仿宋" w:eastAsia="仿宋" w:cs="仿宋"/>
          <w:color w:val="000000" w:themeColor="text1"/>
          <w:sz w:val="32"/>
          <w:szCs w:val="32"/>
          <w:highlight w:val="none"/>
          <w14:textFill>
            <w14:solidFill>
              <w14:schemeClr w14:val="tx1"/>
            </w14:solidFill>
          </w14:textFill>
        </w:rPr>
        <w:t>和</w:t>
      </w:r>
      <w:r>
        <w:rPr>
          <w:rFonts w:hint="eastAsia" w:ascii="仿宋" w:hAnsi="仿宋" w:eastAsia="仿宋" w:cs="仿宋"/>
          <w:color w:val="000000" w:themeColor="text1"/>
          <w:sz w:val="32"/>
          <w:szCs w:val="32"/>
          <w:highlight w:val="none"/>
          <w14:textFill>
            <w14:solidFill>
              <w14:schemeClr w14:val="tx1"/>
            </w14:solidFill>
          </w14:textFill>
        </w:rPr>
        <w:fldChar w:fldCharType="begin"/>
      </w:r>
      <w:r>
        <w:rPr>
          <w:rFonts w:hint="eastAsia" w:ascii="仿宋" w:hAnsi="仿宋" w:eastAsia="仿宋" w:cs="仿宋"/>
          <w:color w:val="000000" w:themeColor="text1"/>
          <w:sz w:val="32"/>
          <w:szCs w:val="32"/>
          <w:highlight w:val="none"/>
          <w14:textFill>
            <w14:solidFill>
              <w14:schemeClr w14:val="tx1"/>
            </w14:solidFill>
          </w14:textFill>
        </w:rPr>
        <w:instrText xml:space="preserve"> HYPERLINK "https://baike.so.com/doc/4272364-4475416.html" \t "https://baike.so.com/doc/_blank" </w:instrText>
      </w:r>
      <w:r>
        <w:rPr>
          <w:rFonts w:hint="eastAsia" w:ascii="仿宋" w:hAnsi="仿宋" w:eastAsia="仿宋" w:cs="仿宋"/>
          <w:color w:val="000000" w:themeColor="text1"/>
          <w:sz w:val="32"/>
          <w:szCs w:val="32"/>
          <w:highlight w:val="none"/>
          <w14:textFill>
            <w14:solidFill>
              <w14:schemeClr w14:val="tx1"/>
            </w14:solidFill>
          </w14:textFill>
        </w:rPr>
        <w:fldChar w:fldCharType="separate"/>
      </w:r>
      <w:r>
        <w:rPr>
          <w:rFonts w:hint="eastAsia" w:ascii="仿宋" w:hAnsi="仿宋" w:eastAsia="仿宋" w:cs="仿宋"/>
          <w:color w:val="000000" w:themeColor="text1"/>
          <w:sz w:val="32"/>
          <w:szCs w:val="32"/>
          <w:highlight w:val="none"/>
          <w14:textFill>
            <w14:solidFill>
              <w14:schemeClr w14:val="tx1"/>
            </w14:solidFill>
          </w14:textFill>
        </w:rPr>
        <w:t>浆细胞</w:t>
      </w:r>
      <w:r>
        <w:rPr>
          <w:rFonts w:hint="eastAsia" w:ascii="仿宋" w:hAnsi="仿宋" w:eastAsia="仿宋" w:cs="仿宋"/>
          <w:color w:val="000000" w:themeColor="text1"/>
          <w:sz w:val="32"/>
          <w:szCs w:val="32"/>
          <w:highlight w:val="none"/>
          <w14:textFill>
            <w14:solidFill>
              <w14:schemeClr w14:val="tx1"/>
            </w14:solidFill>
          </w14:textFill>
        </w:rPr>
        <w:fldChar w:fldCharType="end"/>
      </w:r>
      <w:r>
        <w:rPr>
          <w:rFonts w:hint="eastAsia" w:ascii="仿宋" w:hAnsi="仿宋" w:eastAsia="仿宋" w:cs="仿宋"/>
          <w:color w:val="000000" w:themeColor="text1"/>
          <w:sz w:val="32"/>
          <w:szCs w:val="32"/>
          <w:highlight w:val="none"/>
          <w14:textFill>
            <w14:solidFill>
              <w14:schemeClr w14:val="tx1"/>
            </w14:solidFill>
          </w14:textFill>
        </w:rPr>
        <w:t>等。免疫毒性是指暴露于各种环境因素（包括外源性化合物）导致的对免疫系统的任何不良影响，包括免疫失调（抑制或刺激）、超敏反应、自身免疫和慢性炎症。免疫毒性试验的目的是探讨外源性化合物对机体免疫系统产生的不良影响及机理。本指导原则旨在为化妆品原料的免疫毒性评价提供可供参考的试验设计及程序，并为评价方法的选择提供技术指导。本指导原则适用于可能对机体免疫系统产生不良影响的化妆品原料的免疫毒性评价。</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本指导原则是在现行法规和标准以及当前科学认知水平下制定的，随着法规和标准的更新完善，以及科学技术的发展，将适时进行调整。</w:t>
      </w:r>
    </w:p>
    <w:p>
      <w:pPr>
        <w:autoSpaceDE w:val="0"/>
        <w:autoSpaceDN w:val="0"/>
        <w:adjustRightInd w:val="0"/>
        <w:spacing w:line="360" w:lineRule="auto"/>
        <w:ind w:firstLine="640" w:firstLineChars="200"/>
        <w:outlineLvl w:val="0"/>
        <w:rPr>
          <w:rFonts w:ascii="黑体" w:hAnsi="黑体" w:eastAsia="黑体" w:cs="黑体"/>
          <w:color w:val="000000" w:themeColor="text1"/>
          <w:sz w:val="32"/>
          <w:szCs w:val="32"/>
          <w:highlight w:val="none"/>
          <w14:textFill>
            <w14:solidFill>
              <w14:schemeClr w14:val="tx1"/>
            </w14:solidFill>
          </w14:textFill>
        </w:rPr>
      </w:pPr>
      <w:bookmarkStart w:id="7" w:name="_Toc144629257"/>
      <w:bookmarkStart w:id="8" w:name="_Toc16918"/>
      <w:bookmarkStart w:id="9" w:name="_Toc29973"/>
      <w:bookmarkStart w:id="10" w:name="_Toc2961"/>
      <w:bookmarkStart w:id="11" w:name="_Toc6297"/>
      <w:bookmarkStart w:id="12" w:name="_Toc12894"/>
      <w:bookmarkStart w:id="13" w:name="_Toc27252"/>
      <w:r>
        <w:rPr>
          <w:rFonts w:hint="eastAsia" w:ascii="黑体" w:hAnsi="黑体" w:eastAsia="黑体" w:cs="黑体"/>
          <w:color w:val="000000" w:themeColor="text1"/>
          <w:sz w:val="32"/>
          <w:szCs w:val="32"/>
          <w:highlight w:val="none"/>
          <w14:textFill>
            <w14:solidFill>
              <w14:schemeClr w14:val="tx1"/>
            </w14:solidFill>
          </w14:textFill>
        </w:rPr>
        <w:t>二、基本原则</w:t>
      </w:r>
      <w:bookmarkEnd w:id="7"/>
      <w:bookmarkEnd w:id="8"/>
      <w:bookmarkEnd w:id="9"/>
      <w:bookmarkEnd w:id="10"/>
      <w:bookmarkEnd w:id="11"/>
      <w:bookmarkEnd w:id="12"/>
      <w:bookmarkEnd w:id="13"/>
    </w:p>
    <w:p>
      <w:pPr>
        <w:autoSpaceDE w:val="0"/>
        <w:autoSpaceDN w:val="0"/>
        <w:adjustRightInd w:val="0"/>
        <w:spacing w:line="360" w:lineRule="auto"/>
        <w:ind w:firstLine="643" w:firstLineChars="200"/>
        <w:outlineLvl w:val="1"/>
        <w:rPr>
          <w:rFonts w:hint="eastAsia" w:ascii="仿宋" w:hAnsi="仿宋" w:eastAsia="仿宋" w:cs="仿宋"/>
          <w:b/>
          <w:color w:val="000000" w:themeColor="text1"/>
          <w:sz w:val="32"/>
          <w:szCs w:val="32"/>
          <w:highlight w:val="none"/>
          <w14:textFill>
            <w14:solidFill>
              <w14:schemeClr w14:val="tx1"/>
            </w14:solidFill>
          </w14:textFill>
        </w:rPr>
      </w:pPr>
      <w:bookmarkStart w:id="14" w:name="_Toc7528"/>
      <w:bookmarkStart w:id="15" w:name="_Toc144629258"/>
      <w:bookmarkStart w:id="16" w:name="_Toc25560"/>
      <w:bookmarkStart w:id="17" w:name="_Toc356"/>
      <w:bookmarkStart w:id="18" w:name="_Toc23400"/>
      <w:bookmarkStart w:id="19" w:name="_Toc26525"/>
      <w:bookmarkStart w:id="20" w:name="_Toc16356"/>
      <w:bookmarkStart w:id="21" w:name="_Toc8524"/>
      <w:bookmarkStart w:id="22" w:name="_Toc31879"/>
      <w:bookmarkStart w:id="23" w:name="_Toc20014"/>
      <w:bookmarkStart w:id="24" w:name="_Toc4569"/>
      <w:bookmarkStart w:id="25" w:name="_Toc17273"/>
      <w:bookmarkStart w:id="26" w:name="_Toc11941"/>
      <w:bookmarkStart w:id="27" w:name="_Toc15940"/>
      <w:bookmarkStart w:id="28" w:name="_Toc4289"/>
      <w:bookmarkStart w:id="29" w:name="_Toc2437"/>
      <w:bookmarkStart w:id="30" w:name="_Toc14185"/>
      <w:bookmarkStart w:id="31" w:name="_Toc11643"/>
      <w:bookmarkStart w:id="32" w:name="_Toc20747"/>
      <w:bookmarkStart w:id="33" w:name="_Toc5877"/>
      <w:r>
        <w:rPr>
          <w:rFonts w:hint="eastAsia" w:ascii="仿宋" w:hAnsi="仿宋" w:eastAsia="仿宋" w:cs="仿宋"/>
          <w:b/>
          <w:color w:val="000000" w:themeColor="text1"/>
          <w:sz w:val="32"/>
          <w:szCs w:val="32"/>
          <w:highlight w:val="none"/>
          <w14:textFill>
            <w14:solidFill>
              <w14:schemeClr w14:val="tx1"/>
            </w14:solidFill>
          </w14:textFill>
        </w:rPr>
        <w:t>（一）一般原则</w:t>
      </w:r>
      <w:bookmarkEnd w:id="14"/>
      <w:bookmarkEnd w:id="15"/>
      <w:bookmarkEnd w:id="16"/>
      <w:bookmarkEnd w:id="17"/>
      <w:bookmarkEnd w:id="18"/>
      <w:bookmarkEnd w:id="19"/>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免疫毒性试验的设计应符合毒理学试验随机、对照、重复的基本原则，试验数据应真实、完整、准确、可追溯，试验结果统计分析应科学合理。</w:t>
      </w:r>
    </w:p>
    <w:bookmarkEnd w:id="20"/>
    <w:p>
      <w:pPr>
        <w:autoSpaceDE w:val="0"/>
        <w:autoSpaceDN w:val="0"/>
        <w:adjustRightInd w:val="0"/>
        <w:spacing w:line="360" w:lineRule="auto"/>
        <w:ind w:firstLine="643" w:firstLineChars="200"/>
        <w:outlineLvl w:val="1"/>
        <w:rPr>
          <w:rFonts w:hint="eastAsia" w:ascii="仿宋" w:hAnsi="仿宋" w:eastAsia="仿宋" w:cs="仿宋"/>
          <w:b/>
          <w:color w:val="000000" w:themeColor="text1"/>
          <w:sz w:val="32"/>
          <w:szCs w:val="32"/>
          <w:highlight w:val="none"/>
          <w14:textFill>
            <w14:solidFill>
              <w14:schemeClr w14:val="tx1"/>
            </w14:solidFill>
          </w14:textFill>
        </w:rPr>
      </w:pPr>
      <w:bookmarkStart w:id="34" w:name="_Toc7947"/>
      <w:bookmarkStart w:id="35" w:name="_Toc8193"/>
      <w:bookmarkStart w:id="36" w:name="_Toc18687"/>
      <w:bookmarkStart w:id="37" w:name="_Toc144629259"/>
      <w:bookmarkStart w:id="38" w:name="_Toc17645"/>
      <w:bookmarkStart w:id="39" w:name="_Toc27330"/>
      <w:bookmarkStart w:id="40" w:name="_Toc5023"/>
      <w:r>
        <w:rPr>
          <w:rFonts w:hint="eastAsia" w:ascii="仿宋" w:hAnsi="仿宋" w:eastAsia="仿宋" w:cs="仿宋"/>
          <w:b/>
          <w:color w:val="000000" w:themeColor="text1"/>
          <w:sz w:val="32"/>
          <w:szCs w:val="32"/>
          <w:highlight w:val="none"/>
          <w14:textFill>
            <w14:solidFill>
              <w14:schemeClr w14:val="tx1"/>
            </w14:solidFill>
          </w14:textFill>
        </w:rPr>
        <w:t>（二）</w:t>
      </w:r>
      <w:bookmarkEnd w:id="21"/>
      <w:bookmarkEnd w:id="22"/>
      <w:bookmarkEnd w:id="23"/>
      <w:bookmarkEnd w:id="24"/>
      <w:bookmarkEnd w:id="25"/>
      <w:bookmarkEnd w:id="26"/>
      <w:bookmarkEnd w:id="27"/>
      <w:bookmarkEnd w:id="28"/>
      <w:bookmarkEnd w:id="29"/>
      <w:bookmarkEnd w:id="30"/>
      <w:bookmarkEnd w:id="31"/>
      <w:bookmarkEnd w:id="32"/>
      <w:bookmarkEnd w:id="33"/>
      <w:r>
        <w:rPr>
          <w:rFonts w:hint="eastAsia" w:ascii="仿宋" w:hAnsi="仿宋" w:eastAsia="仿宋" w:cs="仿宋"/>
          <w:b/>
          <w:color w:val="000000" w:themeColor="text1"/>
          <w:sz w:val="32"/>
          <w:szCs w:val="32"/>
          <w:highlight w:val="none"/>
          <w14:textFill>
            <w14:solidFill>
              <w14:schemeClr w14:val="tx1"/>
            </w14:solidFill>
          </w14:textFill>
        </w:rPr>
        <w:t>具体问题具体分析</w:t>
      </w:r>
      <w:bookmarkEnd w:id="34"/>
      <w:bookmarkEnd w:id="35"/>
      <w:bookmarkEnd w:id="36"/>
      <w:bookmarkEnd w:id="37"/>
      <w:bookmarkEnd w:id="38"/>
      <w:bookmarkEnd w:id="39"/>
      <w:bookmarkEnd w:id="40"/>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bidi="ar"/>
          <w14:textFill>
            <w14:solidFill>
              <w14:schemeClr w14:val="tx1"/>
            </w14:solidFill>
          </w14:textFill>
        </w:rPr>
        <w:t>免疫毒性试验的设计应遵循“具体问题具体分析”的原则。根据受试物特点、现有数据、试验目的等选择合适的试验方法，设计适宜的试验方案，并结合其他毒理研究信息对试验结果进行全面的评价。</w:t>
      </w:r>
    </w:p>
    <w:p>
      <w:pPr>
        <w:autoSpaceDE w:val="0"/>
        <w:autoSpaceDN w:val="0"/>
        <w:adjustRightInd w:val="0"/>
        <w:spacing w:line="360" w:lineRule="auto"/>
        <w:ind w:firstLine="643" w:firstLineChars="200"/>
        <w:outlineLvl w:val="1"/>
        <w:rPr>
          <w:rFonts w:hint="eastAsia" w:ascii="仿宋" w:hAnsi="仿宋" w:eastAsia="仿宋" w:cs="仿宋"/>
          <w:b/>
          <w:color w:val="000000" w:themeColor="text1"/>
          <w:sz w:val="32"/>
          <w:szCs w:val="32"/>
          <w:highlight w:val="none"/>
          <w:lang w:bidi="ar"/>
          <w14:textFill>
            <w14:solidFill>
              <w14:schemeClr w14:val="tx1"/>
            </w14:solidFill>
          </w14:textFill>
        </w:rPr>
      </w:pPr>
      <w:bookmarkStart w:id="41" w:name="_Toc16888"/>
      <w:bookmarkStart w:id="42" w:name="_Toc10566"/>
      <w:bookmarkStart w:id="43" w:name="_Toc25972"/>
      <w:bookmarkStart w:id="44" w:name="_Toc7058"/>
      <w:bookmarkStart w:id="45" w:name="_Toc144629260"/>
      <w:bookmarkStart w:id="46" w:name="_Toc18593"/>
      <w:r>
        <w:rPr>
          <w:rFonts w:hint="eastAsia" w:ascii="仿宋" w:hAnsi="仿宋" w:eastAsia="仿宋" w:cs="仿宋"/>
          <w:b/>
          <w:color w:val="000000" w:themeColor="text1"/>
          <w:sz w:val="32"/>
          <w:szCs w:val="32"/>
          <w:highlight w:val="none"/>
          <w14:textFill>
            <w14:solidFill>
              <w14:schemeClr w14:val="tx1"/>
            </w14:solidFill>
          </w14:textFill>
        </w:rPr>
        <w:t>（三）</w:t>
      </w:r>
      <w:bookmarkEnd w:id="41"/>
      <w:bookmarkEnd w:id="42"/>
      <w:bookmarkEnd w:id="43"/>
      <w:bookmarkEnd w:id="44"/>
      <w:r>
        <w:rPr>
          <w:rFonts w:hint="eastAsia" w:ascii="仿宋" w:hAnsi="仿宋" w:eastAsia="仿宋" w:cs="仿宋"/>
          <w:b/>
          <w:color w:val="000000" w:themeColor="text1"/>
          <w:sz w:val="32"/>
          <w:szCs w:val="32"/>
          <w:highlight w:val="none"/>
          <w14:textFill>
            <w14:solidFill>
              <w14:schemeClr w14:val="tx1"/>
            </w14:solidFill>
          </w14:textFill>
        </w:rPr>
        <w:t>试验研究策略</w:t>
      </w:r>
      <w:bookmarkEnd w:id="45"/>
      <w:bookmarkEnd w:id="46"/>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bidi="ar"/>
          <w14:textFill>
            <w14:solidFill>
              <w14:schemeClr w14:val="tx1"/>
            </w14:solidFill>
          </w14:textFill>
        </w:rPr>
        <w:t>免疫毒性研究方法包括以非功能性试验为主的初始筛选试验以及以功能性试验为主的附加免疫毒性试验研究</w:t>
      </w:r>
      <w:r>
        <w:rPr>
          <w:rFonts w:hint="eastAsia" w:ascii="仿宋" w:hAnsi="仿宋" w:eastAsia="仿宋" w:cs="仿宋"/>
          <w:color w:val="000000" w:themeColor="text1"/>
          <w:sz w:val="32"/>
          <w:szCs w:val="32"/>
          <w:highlight w:val="none"/>
          <w14:textFill>
            <w14:solidFill>
              <w14:schemeClr w14:val="tx1"/>
            </w14:solidFill>
          </w14:textFill>
        </w:rPr>
        <w:t>。应</w:t>
      </w:r>
      <w:r>
        <w:rPr>
          <w:rFonts w:hint="eastAsia" w:ascii="仿宋" w:hAnsi="仿宋" w:eastAsia="仿宋" w:cs="仿宋"/>
          <w:color w:val="000000" w:themeColor="text1"/>
          <w:sz w:val="32"/>
          <w:szCs w:val="32"/>
          <w:highlight w:val="none"/>
          <w:lang w:bidi="ar"/>
          <w14:textFill>
            <w14:solidFill>
              <w14:schemeClr w14:val="tx1"/>
            </w14:solidFill>
          </w14:textFill>
        </w:rPr>
        <w:t xml:space="preserve">通过对相关因素（见章节“三、基本内容”）的证据权重分析来决定是否需要进行附加免疫毒性试验研究。 </w:t>
      </w:r>
    </w:p>
    <w:p>
      <w:pPr>
        <w:autoSpaceDE w:val="0"/>
        <w:autoSpaceDN w:val="0"/>
        <w:adjustRightInd w:val="0"/>
        <w:spacing w:line="360" w:lineRule="auto"/>
        <w:ind w:firstLine="640" w:firstLineChars="200"/>
        <w:outlineLvl w:val="0"/>
        <w:rPr>
          <w:rFonts w:ascii="黑体" w:hAnsi="黑体" w:eastAsia="黑体" w:cs="黑体"/>
          <w:color w:val="000000" w:themeColor="text1"/>
          <w:sz w:val="32"/>
          <w:szCs w:val="32"/>
          <w:highlight w:val="none"/>
          <w14:textFill>
            <w14:solidFill>
              <w14:schemeClr w14:val="tx1"/>
            </w14:solidFill>
          </w14:textFill>
        </w:rPr>
      </w:pPr>
      <w:bookmarkStart w:id="47" w:name="_Toc16651"/>
      <w:bookmarkStart w:id="48" w:name="_Toc15541"/>
      <w:bookmarkStart w:id="49" w:name="_Toc19199"/>
      <w:bookmarkStart w:id="50" w:name="_Toc144629261"/>
      <w:bookmarkStart w:id="51" w:name="_Toc27394"/>
      <w:bookmarkStart w:id="52" w:name="_Toc21255"/>
      <w:r>
        <w:rPr>
          <w:rFonts w:hint="eastAsia" w:ascii="黑体" w:hAnsi="黑体" w:eastAsia="黑体" w:cs="黑体"/>
          <w:color w:val="000000" w:themeColor="text1"/>
          <w:sz w:val="32"/>
          <w:szCs w:val="32"/>
          <w:highlight w:val="none"/>
          <w14:textFill>
            <w14:solidFill>
              <w14:schemeClr w14:val="tx1"/>
            </w14:solidFill>
          </w14:textFill>
        </w:rPr>
        <w:t>三、基本内容</w:t>
      </w:r>
      <w:bookmarkEnd w:id="47"/>
      <w:bookmarkEnd w:id="48"/>
      <w:bookmarkEnd w:id="49"/>
      <w:bookmarkEnd w:id="50"/>
      <w:bookmarkEnd w:id="51"/>
      <w:bookmarkEnd w:id="52"/>
    </w:p>
    <w:p>
      <w:pPr>
        <w:numPr>
          <w:ilvl w:val="255"/>
          <w:numId w:val="0"/>
        </w:numPr>
        <w:autoSpaceDE w:val="0"/>
        <w:autoSpaceDN w:val="0"/>
        <w:adjustRightInd w:val="0"/>
        <w:spacing w:line="360" w:lineRule="auto"/>
        <w:ind w:firstLine="643" w:firstLineChars="200"/>
        <w:outlineLvl w:val="1"/>
        <w:rPr>
          <w:rFonts w:hint="eastAsia" w:ascii="仿宋" w:hAnsi="仿宋" w:eastAsia="仿宋" w:cs="仿宋"/>
          <w:b/>
          <w:bCs/>
          <w:color w:val="000000" w:themeColor="text1"/>
          <w:sz w:val="32"/>
          <w:szCs w:val="32"/>
          <w:highlight w:val="none"/>
          <w14:textFill>
            <w14:solidFill>
              <w14:schemeClr w14:val="tx1"/>
            </w14:solidFill>
          </w14:textFill>
        </w:rPr>
      </w:pPr>
      <w:bookmarkStart w:id="53" w:name="_Toc144629262"/>
      <w:bookmarkStart w:id="54" w:name="_Toc12787"/>
      <w:bookmarkStart w:id="55" w:name="_Toc32023"/>
      <w:bookmarkStart w:id="56" w:name="_Toc19887"/>
      <w:bookmarkStart w:id="57" w:name="_Toc32126"/>
      <w:bookmarkStart w:id="58" w:name="_Toc20117"/>
      <w:bookmarkStart w:id="59" w:name="_Toc11938"/>
      <w:r>
        <w:rPr>
          <w:rFonts w:hint="eastAsia" w:ascii="仿宋" w:hAnsi="仿宋" w:eastAsia="仿宋" w:cs="仿宋"/>
          <w:b/>
          <w:bCs/>
          <w:color w:val="000000" w:themeColor="text1"/>
          <w:sz w:val="32"/>
          <w:szCs w:val="32"/>
          <w:highlight w:val="none"/>
          <w14:textFill>
            <w14:solidFill>
              <w14:schemeClr w14:val="tx1"/>
            </w14:solidFill>
          </w14:textFill>
        </w:rPr>
        <w:t>（一）免疫毒性评价应考虑的因素</w:t>
      </w:r>
      <w:bookmarkEnd w:id="53"/>
      <w:bookmarkEnd w:id="54"/>
    </w:p>
    <w:p>
      <w:pPr>
        <w:widowControl/>
        <w:numPr>
          <w:ilvl w:val="255"/>
          <w:numId w:val="0"/>
        </w:num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识别化妆品原料潜在的免疫毒性风险，需考虑的因素包括化妆品原料与已知免疫毒性化合物的结构相似性；其功能作用机制；初始筛选试验结果等。</w:t>
      </w:r>
    </w:p>
    <w:p>
      <w:pPr>
        <w:widowControl/>
        <w:numPr>
          <w:ilvl w:val="255"/>
          <w:numId w:val="0"/>
        </w:num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1.结构相似性 </w:t>
      </w:r>
    </w:p>
    <w:p>
      <w:pPr>
        <w:widowControl/>
        <w:numPr>
          <w:ilvl w:val="255"/>
          <w:numId w:val="0"/>
        </w:num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与已知免疫抑制剂或免疫刺激物质结构类似的化合物应考虑进行附加的免疫毒性试验研究。</w:t>
      </w:r>
    </w:p>
    <w:p>
      <w:pPr>
        <w:widowControl/>
        <w:numPr>
          <w:ilvl w:val="255"/>
          <w:numId w:val="0"/>
        </w:num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2.功能作用机制</w:t>
      </w:r>
    </w:p>
    <w:p>
      <w:pPr>
        <w:widowControl/>
        <w:numPr>
          <w:ilvl w:val="255"/>
          <w:numId w:val="0"/>
        </w:num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如果化妆品原料的功能作用机制提示其可能影响免疫功能时，应考虑进行附加的免疫毒性试验研究。</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3.初始筛选试验</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初始筛选试验主要为非功能性试验，检测指标包括血液学及血液生化、免疫器官的重量、形态及组织病理学，</w:t>
      </w:r>
      <w:r>
        <w:rPr>
          <w:rFonts w:hint="eastAsia" w:ascii="仿宋" w:hAnsi="仿宋" w:eastAsia="仿宋" w:cs="仿宋"/>
          <w:color w:val="000000"/>
          <w:kern w:val="0"/>
          <w:sz w:val="32"/>
          <w:szCs w:val="32"/>
          <w:highlight w:val="none"/>
          <w:lang w:bidi="ar"/>
        </w:rPr>
        <w:t>血液淋巴细胞亚群分布，</w:t>
      </w:r>
      <w:r>
        <w:rPr>
          <w:rFonts w:hint="eastAsia" w:ascii="仿宋" w:hAnsi="仿宋" w:eastAsia="仿宋" w:cs="仿宋"/>
          <w:color w:val="000000" w:themeColor="text1"/>
          <w:sz w:val="32"/>
          <w:szCs w:val="32"/>
          <w:highlight w:val="none"/>
          <w14:textFill>
            <w14:solidFill>
              <w14:schemeClr w14:val="tx1"/>
            </w14:solidFill>
          </w14:textFill>
        </w:rPr>
        <w:t>血清中免疫球蛋白、补体的水平等。</w:t>
      </w:r>
    </w:p>
    <w:bookmarkEnd w:id="55"/>
    <w:bookmarkEnd w:id="56"/>
    <w:bookmarkEnd w:id="57"/>
    <w:bookmarkEnd w:id="58"/>
    <w:p>
      <w:pPr>
        <w:numPr>
          <w:ilvl w:val="255"/>
          <w:numId w:val="0"/>
        </w:numPr>
        <w:autoSpaceDE w:val="0"/>
        <w:autoSpaceDN w:val="0"/>
        <w:adjustRightInd w:val="0"/>
        <w:spacing w:line="360" w:lineRule="auto"/>
        <w:ind w:firstLine="643" w:firstLineChars="200"/>
        <w:outlineLvl w:val="1"/>
        <w:rPr>
          <w:rFonts w:hint="eastAsia" w:ascii="仿宋" w:hAnsi="仿宋" w:eastAsia="仿宋" w:cs="仿宋"/>
          <w:b/>
          <w:bCs/>
          <w:color w:val="000000" w:themeColor="text1"/>
          <w:sz w:val="32"/>
          <w:szCs w:val="32"/>
          <w:highlight w:val="none"/>
          <w14:textFill>
            <w14:solidFill>
              <w14:schemeClr w14:val="tx1"/>
            </w14:solidFill>
          </w14:textFill>
        </w:rPr>
      </w:pPr>
      <w:bookmarkStart w:id="60" w:name="_Toc14853"/>
      <w:bookmarkStart w:id="61" w:name="_Toc144629263"/>
      <w:bookmarkStart w:id="62" w:name="_Toc9302"/>
      <w:bookmarkStart w:id="63" w:name="_Toc1610"/>
      <w:bookmarkStart w:id="64" w:name="_Toc29817"/>
      <w:bookmarkStart w:id="65" w:name="_Toc20247"/>
      <w:r>
        <w:rPr>
          <w:rFonts w:hint="eastAsia" w:ascii="仿宋" w:hAnsi="仿宋" w:eastAsia="仿宋" w:cs="仿宋"/>
          <w:b/>
          <w:bCs/>
          <w:color w:val="000000" w:themeColor="text1"/>
          <w:sz w:val="32"/>
          <w:szCs w:val="32"/>
          <w:highlight w:val="none"/>
          <w14:textFill>
            <w14:solidFill>
              <w14:schemeClr w14:val="tx1"/>
            </w14:solidFill>
          </w14:textFill>
        </w:rPr>
        <w:t>（二）证据权重分析</w:t>
      </w:r>
      <w:bookmarkEnd w:id="60"/>
      <w:bookmarkEnd w:id="61"/>
      <w:bookmarkEnd w:id="62"/>
      <w:bookmarkEnd w:id="63"/>
      <w:bookmarkEnd w:id="64"/>
      <w:bookmarkEnd w:id="65"/>
    </w:p>
    <w:p>
      <w:pPr>
        <w:widowControl/>
        <w:numPr>
          <w:ilvl w:val="255"/>
          <w:numId w:val="0"/>
        </w:num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应基于上述</w:t>
      </w:r>
      <w:r>
        <w:rPr>
          <w:rFonts w:hint="eastAsia" w:ascii="仿宋" w:hAnsi="仿宋" w:eastAsia="仿宋" w:cs="仿宋"/>
          <w:bCs/>
          <w:color w:val="000000" w:themeColor="text1"/>
          <w:sz w:val="32"/>
          <w:szCs w:val="32"/>
          <w:highlight w:val="none"/>
          <w14:textFill>
            <w14:solidFill>
              <w14:schemeClr w14:val="tx1"/>
            </w14:solidFill>
          </w14:textFill>
        </w:rPr>
        <w:t>原料</w:t>
      </w:r>
      <w:r>
        <w:rPr>
          <w:rFonts w:hint="eastAsia" w:ascii="仿宋" w:hAnsi="仿宋" w:eastAsia="仿宋" w:cs="仿宋"/>
          <w:color w:val="000000" w:themeColor="text1"/>
          <w:sz w:val="32"/>
          <w:szCs w:val="32"/>
          <w:highlight w:val="none"/>
          <w14:textFill>
            <w14:solidFill>
              <w14:schemeClr w14:val="tx1"/>
            </w14:solidFill>
          </w14:textFill>
        </w:rPr>
        <w:t>与已知免疫毒性化合物的结构相似性</w:t>
      </w:r>
      <w:r>
        <w:rPr>
          <w:rFonts w:hint="eastAsia" w:ascii="仿宋" w:hAnsi="仿宋" w:eastAsia="仿宋" w:cs="仿宋"/>
          <w:bCs/>
          <w:color w:val="000000" w:themeColor="text1"/>
          <w:sz w:val="32"/>
          <w:szCs w:val="32"/>
          <w:highlight w:val="none"/>
          <w14:textFill>
            <w14:solidFill>
              <w14:schemeClr w14:val="tx1"/>
            </w14:solidFill>
          </w14:textFill>
        </w:rPr>
        <w:t>、功能作用机制以及初始筛选试验结果等因素</w:t>
      </w:r>
      <w:r>
        <w:rPr>
          <w:rFonts w:hint="eastAsia" w:ascii="仿宋" w:hAnsi="仿宋" w:eastAsia="仿宋" w:cs="仿宋"/>
          <w:color w:val="000000" w:themeColor="text1"/>
          <w:sz w:val="32"/>
          <w:szCs w:val="32"/>
          <w:highlight w:val="none"/>
          <w14:textFill>
            <w14:solidFill>
              <w14:schemeClr w14:val="tx1"/>
            </w14:solidFill>
          </w14:textFill>
        </w:rPr>
        <w:t>进行证据权重分析，以确定</w:t>
      </w:r>
      <w:r>
        <w:rPr>
          <w:rFonts w:hint="eastAsia" w:ascii="仿宋" w:hAnsi="仿宋" w:eastAsia="仿宋" w:cs="仿宋"/>
          <w:color w:val="000000" w:themeColor="text1"/>
          <w:sz w:val="32"/>
          <w:szCs w:val="32"/>
          <w:highlight w:val="none"/>
          <w:lang w:bidi="ar"/>
          <w14:textFill>
            <w14:solidFill>
              <w14:schemeClr w14:val="tx1"/>
            </w14:solidFill>
          </w14:textFill>
        </w:rPr>
        <w:t>是否需要进行附加免疫毒性试验研究</w:t>
      </w:r>
      <w:r>
        <w:rPr>
          <w:rFonts w:hint="eastAsia" w:ascii="仿宋" w:hAnsi="仿宋" w:eastAsia="仿宋" w:cs="仿宋"/>
          <w:color w:val="000000" w:themeColor="text1"/>
          <w:sz w:val="32"/>
          <w:szCs w:val="32"/>
          <w:highlight w:val="none"/>
          <w14:textFill>
            <w14:solidFill>
              <w14:schemeClr w14:val="tx1"/>
            </w14:solidFill>
          </w14:textFill>
        </w:rPr>
        <w:t>。如上述单一因素的研究结果充分提示原料存在潜在的免疫毒性风险，应进行附加免疫毒性试验研究。如有两个或多个因素的研究结果提示原料存在潜在的免疫毒性风险，即使单一因素的证据不充分，也应进行附加免疫毒性试验研究。如果未进行附加免疫毒性试验研究，应提供充分的研究数据。</w:t>
      </w:r>
      <w:r>
        <w:rPr>
          <w:rFonts w:hint="eastAsia" w:ascii="仿宋" w:hAnsi="仿宋" w:eastAsia="仿宋" w:cs="仿宋"/>
          <w:color w:val="000000"/>
          <w:kern w:val="0"/>
          <w:sz w:val="32"/>
          <w:szCs w:val="32"/>
          <w:highlight w:val="none"/>
          <w:lang w:bidi="ar"/>
        </w:rPr>
        <w:t>此外，在常规毒性研究中，最大耐受剂量或接近最大耐受剂量能够导致与应激相关的免疫系统的改变，有充分证据说明出现的免疫学改变与应激相关时，才可以不进行附加的免疫毒性试验研究。</w:t>
      </w:r>
    </w:p>
    <w:p>
      <w:pPr>
        <w:widowControl/>
        <w:autoSpaceDE w:val="0"/>
        <w:autoSpaceDN w:val="0"/>
        <w:adjustRightInd w:val="0"/>
        <w:spacing w:line="360" w:lineRule="auto"/>
        <w:ind w:firstLine="643" w:firstLineChars="200"/>
        <w:outlineLvl w:val="1"/>
        <w:rPr>
          <w:rFonts w:hint="eastAsia" w:ascii="仿宋" w:hAnsi="仿宋" w:eastAsia="仿宋" w:cs="仿宋"/>
          <w:b/>
          <w:bCs/>
          <w:color w:val="000000" w:themeColor="text1"/>
          <w:sz w:val="32"/>
          <w:szCs w:val="32"/>
          <w:highlight w:val="none"/>
          <w14:textFill>
            <w14:solidFill>
              <w14:schemeClr w14:val="tx1"/>
            </w14:solidFill>
          </w14:textFill>
        </w:rPr>
      </w:pPr>
      <w:bookmarkStart w:id="66" w:name="_Toc5567"/>
      <w:bookmarkStart w:id="67" w:name="_Toc144629264"/>
      <w:bookmarkStart w:id="68" w:name="_Toc1060"/>
      <w:bookmarkStart w:id="69" w:name="_Toc5415"/>
      <w:bookmarkStart w:id="70" w:name="_Toc18136"/>
      <w:bookmarkStart w:id="71" w:name="_Toc23543"/>
      <w:r>
        <w:rPr>
          <w:rFonts w:hint="eastAsia" w:ascii="仿宋" w:hAnsi="仿宋" w:eastAsia="仿宋" w:cs="仿宋"/>
          <w:b/>
          <w:bCs/>
          <w:color w:val="000000" w:themeColor="text1"/>
          <w:sz w:val="32"/>
          <w:szCs w:val="32"/>
          <w:highlight w:val="none"/>
          <w14:textFill>
            <w14:solidFill>
              <w14:schemeClr w14:val="tx1"/>
            </w14:solidFill>
          </w14:textFill>
        </w:rPr>
        <w:t>（三）</w:t>
      </w:r>
      <w:r>
        <w:rPr>
          <w:rFonts w:hint="eastAsia" w:ascii="仿宋" w:hAnsi="仿宋" w:eastAsia="仿宋" w:cs="仿宋"/>
          <w:b/>
          <w:color w:val="000000" w:themeColor="text1"/>
          <w:sz w:val="32"/>
          <w:szCs w:val="32"/>
          <w:highlight w:val="none"/>
          <w14:textFill>
            <w14:solidFill>
              <w14:schemeClr w14:val="tx1"/>
            </w14:solidFill>
          </w14:textFill>
        </w:rPr>
        <w:t>初始筛选免疫毒性试验</w:t>
      </w:r>
      <w:bookmarkEnd w:id="66"/>
      <w:bookmarkEnd w:id="67"/>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初始筛选试验应评价以下免疫毒性相关指标，这些指标可整合到90天重复剂量毒性试验中。</w:t>
      </w:r>
    </w:p>
    <w:p>
      <w:pPr>
        <w:widowControl/>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1.血液学及血液生化</w:t>
      </w:r>
    </w:p>
    <w:p>
      <w:pPr>
        <w:widowControl/>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rPr>
        <w:t>推荐将白细胞总数和绝对白细胞分类计数用于免疫毒性评价。血清球蛋白水平的变化可提示血清免疫球蛋白水平发生变化。虽然血清免疫球蛋白并不是免疫抑制的敏感指标，但在特定情况下，免疫球蛋白水平、白蛋白/球蛋白比值检测有助于更好地了解药物的靶细胞或作用机制。</w:t>
      </w:r>
    </w:p>
    <w:p>
      <w:pPr>
        <w:widowControl/>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 大体病理学和脏器重量</w:t>
      </w:r>
    </w:p>
    <w:p>
      <w:pPr>
        <w:widowControl/>
        <w:spacing w:line="360" w:lineRule="auto"/>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rPr>
        <w:t xml:space="preserve">   剖检时应评价所有淋巴组织的大体病理学改变，并称量记录胸腺、脾脏、肾上腺（可选：黏膜附近的淋巴结或周围淋巴结的重量。胸腺随着年龄的增长而萎缩可能会对胸腺重量的评估造成影响。 </w:t>
      </w:r>
    </w:p>
    <w:p>
      <w:pPr>
        <w:widowControl/>
        <w:numPr>
          <w:ilvl w:val="0"/>
          <w:numId w:val="1"/>
        </w:num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组织病理学检查</w:t>
      </w:r>
    </w:p>
    <w:p>
      <w:pPr>
        <w:widowControl/>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rPr>
        <w:t>剖检后应评价胸腺、脾脏、淋巴结(黏膜附近的淋巴结或周围淋巴结)、骨髓的组织病理学改变。胸腺、脾脏、骨髓细胞的组织病理学改变应被视为系统免疫毒性的指征。应对引流淋巴组织或接触给药部位（暴露于最高浓度药物）的淋巴组织进行检查。吸入途径的应包括支气管相关淋巴组织（BALT）；吸入或鼻腔途径的（如果可能）应包括鼻相关淋巴组织（NALT）；经皮途径的应包括邻近部位的引流淋巴结。申请人应根据经验自行选择应进行检查的特定淋巴结和额外的淋巴结。</w:t>
      </w:r>
    </w:p>
    <w:p>
      <w:pPr>
        <w:keepNext w:val="0"/>
        <w:keepLines w:val="0"/>
        <w:widowControl/>
        <w:suppressLineNumbers w:val="0"/>
        <w:spacing w:line="360" w:lineRule="auto"/>
        <w:ind w:firstLine="640" w:firstLineChars="200"/>
        <w:jc w:val="left"/>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在记录淋巴组织的改变和报告受试物相关的改变时，</w:t>
      </w:r>
      <w:r>
        <w:rPr>
          <w:rFonts w:hint="eastAsia" w:ascii="仿宋" w:hAnsi="仿宋" w:eastAsia="仿宋" w:cs="仿宋"/>
          <w:color w:val="000000"/>
          <w:kern w:val="0"/>
          <w:sz w:val="32"/>
          <w:szCs w:val="32"/>
          <w:highlight w:val="none"/>
          <w:lang w:val="en-US" w:eastAsia="zh-CN" w:bidi="ar"/>
        </w:rPr>
        <w:t xml:space="preserve">推荐对淋巴组织不同区室的改变进行病理学分区室半定量描述。 </w:t>
      </w:r>
    </w:p>
    <w:p>
      <w:pPr>
        <w:widowControl/>
        <w:numPr>
          <w:ilvl w:val="-1"/>
          <w:numId w:val="0"/>
        </w:numPr>
        <w:spacing w:line="360" w:lineRule="auto"/>
        <w:ind w:firstLine="640" w:firstLineChars="200"/>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4.增加的功能检测</w:t>
      </w:r>
    </w:p>
    <w:p>
      <w:pPr>
        <w:widowControl/>
        <w:numPr>
          <w:ilvl w:val="255"/>
          <w:numId w:val="0"/>
        </w:numPr>
        <w:spacing w:line="360" w:lineRule="auto"/>
        <w:ind w:firstLine="640" w:firstLineChars="200"/>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color w:val="000000"/>
          <w:kern w:val="0"/>
          <w:sz w:val="32"/>
          <w:szCs w:val="32"/>
          <w:highlight w:val="none"/>
          <w:lang w:bidi="ar"/>
        </w:rPr>
        <w:t>为增加筛选阶段免疫毒性的可预测性，在常规毒性检测指标基础上需增加血液淋巴细胞亚群分布、免疫球蛋白（IgA、IgE、IgM）含量、补体（如C3a、C5a）及其他免疫活性物质等指标的检测。</w:t>
      </w:r>
    </w:p>
    <w:p>
      <w:pPr>
        <w:widowControl/>
        <w:numPr>
          <w:ilvl w:val="255"/>
          <w:numId w:val="0"/>
        </w:numPr>
        <w:autoSpaceDE w:val="0"/>
        <w:autoSpaceDN w:val="0"/>
        <w:adjustRightInd w:val="0"/>
        <w:spacing w:line="360" w:lineRule="auto"/>
        <w:ind w:firstLine="643" w:firstLineChars="200"/>
        <w:outlineLvl w:val="1"/>
        <w:rPr>
          <w:rFonts w:hint="eastAsia" w:ascii="仿宋" w:hAnsi="仿宋" w:eastAsia="仿宋" w:cs="仿宋"/>
          <w:color w:val="000000"/>
          <w:kern w:val="0"/>
          <w:sz w:val="32"/>
          <w:szCs w:val="32"/>
          <w:highlight w:val="none"/>
          <w:lang w:bidi="ar"/>
        </w:rPr>
      </w:pPr>
      <w:bookmarkStart w:id="72" w:name="_Toc144629265"/>
      <w:bookmarkStart w:id="73" w:name="_Toc16245"/>
      <w:r>
        <w:rPr>
          <w:rFonts w:hint="eastAsia" w:ascii="仿宋" w:hAnsi="仿宋" w:eastAsia="仿宋" w:cs="仿宋"/>
          <w:b/>
          <w:bCs/>
          <w:color w:val="000000" w:themeColor="text1"/>
          <w:sz w:val="32"/>
          <w:szCs w:val="32"/>
          <w:highlight w:val="none"/>
          <w14:textFill>
            <w14:solidFill>
              <w14:schemeClr w14:val="tx1"/>
            </w14:solidFill>
          </w14:textFill>
        </w:rPr>
        <w:t>（四）附加免疫毒性试验设计</w:t>
      </w:r>
      <w:bookmarkEnd w:id="59"/>
      <w:r>
        <w:rPr>
          <w:rFonts w:hint="eastAsia" w:ascii="仿宋" w:hAnsi="仿宋" w:eastAsia="仿宋" w:cs="仿宋"/>
          <w:b/>
          <w:bCs/>
          <w:color w:val="000000" w:themeColor="text1"/>
          <w:sz w:val="32"/>
          <w:szCs w:val="32"/>
          <w:highlight w:val="none"/>
          <w14:textFill>
            <w14:solidFill>
              <w14:schemeClr w14:val="tx1"/>
            </w14:solidFill>
          </w14:textFill>
        </w:rPr>
        <w:t>及方法选择</w:t>
      </w:r>
      <w:bookmarkEnd w:id="68"/>
      <w:bookmarkEnd w:id="69"/>
      <w:bookmarkEnd w:id="70"/>
      <w:bookmarkEnd w:id="71"/>
      <w:bookmarkEnd w:id="72"/>
      <w:bookmarkEnd w:id="73"/>
    </w:p>
    <w:p>
      <w:pPr>
        <w:widowControl/>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color w:val="000000"/>
          <w:kern w:val="0"/>
          <w:sz w:val="32"/>
          <w:szCs w:val="32"/>
          <w:highlight w:val="none"/>
          <w:lang w:bidi="ar"/>
        </w:rPr>
        <w:t>基于风险，证据权重分析显示需要进行附加免疫毒性试验研究，应进行相关评价以验证受试物潜在的免疫毒性，并明确免疫细胞和免疫功能受影响的程度。这些研究也有助于确定受影响的细胞类型、影响的可逆性和作用机制。</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 附加免疫毒性试验的设计</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附加免疫毒性试验研究中，动物种属、品系、剂量、给药期限和给药途径应尽可能与常规毒性试验研究一致，通常使用啮齿类实验动物。试验通常选择三个剂量：高剂量应高于未见不良反应剂量（NOAEL），而低剂量应不引起免疫调节功能的损伤。推荐设计多个剂量组，以确定剂量-反应关系和未见免疫毒性剂量，同时设立空白和/或溶剂对照组、阳性对照组以确保试验的准确性和重复性。</w:t>
      </w:r>
    </w:p>
    <w:p>
      <w:pPr>
        <w:autoSpaceDE w:val="0"/>
        <w:autoSpaceDN w:val="0"/>
        <w:adjustRightInd w:val="0"/>
        <w:spacing w:line="360" w:lineRule="auto"/>
        <w:ind w:firstLine="640" w:firstLineChars="200"/>
        <w:rPr>
          <w:rFonts w:hint="eastAsia" w:ascii="仿宋" w:hAnsi="仿宋" w:eastAsia="仿宋" w:cs="仿宋"/>
          <w:bCs/>
          <w:color w:val="000000" w:themeColor="text1"/>
          <w:sz w:val="32"/>
          <w:szCs w:val="32"/>
          <w:highlight w:val="none"/>
          <w14:textFill>
            <w14:solidFill>
              <w14:schemeClr w14:val="tx1"/>
            </w14:solidFill>
          </w14:textFill>
        </w:rPr>
      </w:pPr>
      <w:bookmarkStart w:id="74" w:name="_Toc27546"/>
      <w:bookmarkStart w:id="75" w:name="_Toc20081"/>
      <w:r>
        <w:rPr>
          <w:rFonts w:hint="eastAsia" w:ascii="仿宋" w:hAnsi="仿宋" w:eastAsia="仿宋" w:cs="仿宋"/>
          <w:bCs/>
          <w:color w:val="000000" w:themeColor="text1"/>
          <w:sz w:val="32"/>
          <w:szCs w:val="32"/>
          <w:highlight w:val="none"/>
          <w14:textFill>
            <w14:solidFill>
              <w14:schemeClr w14:val="tx1"/>
            </w14:solidFill>
          </w14:textFill>
        </w:rPr>
        <w:t>2. 附加免疫毒性试验方法的选择</w:t>
      </w:r>
      <w:bookmarkEnd w:id="74"/>
      <w:bookmarkEnd w:id="75"/>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附加免疫毒性试验主要为功能性试验，包括特异性细胞免疫、体液免疫、免疫表型分析、非特异性细胞免疫（巨噬细胞功能检测、NK细胞活性测定）等。每个功能试验的测定方法很多，进行附加免疫毒性试验时，每个功能试验应至少选择一种方法进行。</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2.1 细胞免疫</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细胞免疫功能的检测方法主要有：（1）T淋巴细胞增殖试验（MTT法），其原理是当淋巴细胞受ConA刺激后发生母细胞转化，活细胞特别是增殖细胞通过线粒体水解酶将MTT分解为蓝紫色结晶而显色，其光密度值能反映细胞的增殖情况。（2）细胞毒性T细胞杀伤试验（CTL），细胞毒性 T 淋巴细胞是指 CD8</w:t>
      </w:r>
      <w:r>
        <w:rPr>
          <w:rFonts w:hint="eastAsia" w:ascii="仿宋" w:hAnsi="仿宋" w:eastAsia="仿宋" w:cs="仿宋"/>
          <w:color w:val="000000" w:themeColor="text1"/>
          <w:sz w:val="32"/>
          <w:szCs w:val="32"/>
          <w:highlight w:val="none"/>
          <w:vertAlign w:val="superscript"/>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T 淋巴细胞对靶细胞具有特异性的细胞毒性。在评价细胞免疫功能评价中，常取动物脾淋巴细胞进行细胞毒性 T 淋巴细胞实验，检测采用放射法或流式细胞术。（3）迟发型超敏反应（DHR）是指受试物激发致敏淋巴细胞释放介质而导致组织损伤，检测可采用Buehler 试验（BT）等。</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2.2 体液免疫</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体液免疫功能的检测方法主要有：（1）绵羊红细胞（SRBC）作为抗原的抗体生成细胞试验（Antibody Plaque Forming Cell，简称PFC试验，也称溶血空斑试验）该方法通过计数脾脏中特异性抗体生成细胞的数量来反映抗体的产量，经充分验证能够有效预测化合物的潜在免疫毒性。体液免疫反应具有动物品系依赖性，在小鼠表现得更为明显。（2）SRBC为抗原的ELISA法，钥孔戚血蓝素（KLH）作为抗原的ELISA法。该检测方法操作简便，便于整合到常规毒理学研究中。（3）免疫电泳法和血清溶血素法，直接测定外周血中特异性抗体的浓度或滴度。</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2.3免疫表型分析</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免疫表型分析指采用抗体进行免疫细胞亚型的鉴定和/或免疫细胞亚型的计数。免疫表型试验通常采用流式细胞术或免疫组织化学方法。</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 xml:space="preserve">流式细胞术用于特定细胞群计数时不属于功能性检测。 基于体外分子标记技术的流式细胞术可用来测定淋巴细胞的抗原特异性免疫应答。推荐采用淋巴细胞亚型的绝对数量和百分比对暴露后动物相关的变化进行评价。 </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如果常规毒性试验中发现免疫毒性指征，可采用免疫组化对相关组织进行分析。另外，能够观察到淋巴组织中某一特定区域的细胞类型的改变。当采用免疫表型研究表征或鉴别特定免疫细胞群的改变时，</w:t>
      </w:r>
      <w:r>
        <w:rPr>
          <w:rFonts w:hint="eastAsia" w:ascii="仿宋" w:hAnsi="仿宋" w:eastAsia="仿宋" w:cs="仿宋"/>
          <w:color w:val="auto"/>
          <w:sz w:val="32"/>
          <w:szCs w:val="32"/>
          <w:highlight w:val="none"/>
        </w:rPr>
        <w:t>应根据观察到的变化（如CD4+和CD8+ T淋巴细胞或其它亚群的数量及比值</w:t>
      </w:r>
      <w:r>
        <w:rPr>
          <w:rFonts w:hint="eastAsia" w:ascii="仿宋" w:hAnsi="仿宋" w:eastAsia="仿宋" w:cs="仿宋"/>
          <w:color w:val="auto"/>
          <w:sz w:val="32"/>
          <w:szCs w:val="32"/>
          <w:highlight w:val="none"/>
          <w:lang w:val="en-US" w:eastAsia="zh-CN"/>
        </w:rPr>
        <w:t>的改变</w:t>
      </w:r>
      <w:r>
        <w:rPr>
          <w:rFonts w:hint="eastAsia" w:ascii="仿宋" w:hAnsi="仿宋" w:eastAsia="仿宋" w:cs="仿宋"/>
          <w:color w:val="auto"/>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选择待评价免疫器官和/或外周血。免疫表型研究易于结合常规毒性研究进行，在给药期和恢复期均可以检测免疫表型的变化。</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2.4 巨噬细胞功能检测</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用于评价受试物对巨噬细胞功能的影响。主要有巨噬细胞吞噬鸡红细胞试验、巨噬细胞溶酶体酶测定、巨噬细胞表面受体检测、流式细胞法等。除体内试验外，部分试验也可用于评价在体外暴露于受试物或来自暴露后动物（离体实验）的巨噬细胞/中性粒细胞的功能。</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2.5 NK细胞活性测定</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如果免疫表型分析显示自然杀伤（NK）细胞数量发生变</w:t>
      </w:r>
    </w:p>
    <w:p>
      <w:pPr>
        <w:autoSpaceDE w:val="0"/>
        <w:autoSpaceDN w:val="0"/>
        <w:adjustRightInd w:val="0"/>
        <w:spacing w:line="360" w:lineRule="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化，或常规毒性试验发现病毒感染率升高，或基于其它一些</w:t>
      </w:r>
    </w:p>
    <w:p>
      <w:pPr>
        <w:autoSpaceDE w:val="0"/>
        <w:autoSpaceDN w:val="0"/>
        <w:adjustRightInd w:val="0"/>
        <w:spacing w:line="360" w:lineRule="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原因，可进行NK细胞活性试验。通常，NK 细胞试验采用已经给予受试物的动物组织（如脾脏）或血样进行离体试验。主要采用微量培养法和乳酸脱氢酶（LDH）释放法，其原理是观察NK细胞对敏感的肿瘤细胞的溶解作用，当细胞受到NK细胞的杀伤后，LDH释放至细胞外。也可采用流式细胞法</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highlight w:val="none"/>
          <w:shd w:val="clear"/>
          <w14:textFill>
            <w14:solidFill>
              <w14:schemeClr w14:val="tx1"/>
            </w14:solidFill>
          </w14:textFill>
        </w:rPr>
        <w:t>通过检测</w:t>
      </w:r>
      <w:r>
        <w:rPr>
          <w:rFonts w:hint="eastAsia" w:ascii="仿宋" w:hAnsi="仿宋" w:eastAsia="仿宋" w:cs="仿宋"/>
          <w:i w:val="0"/>
          <w:iCs w:val="0"/>
          <w:caps w:val="0"/>
          <w:color w:val="000000" w:themeColor="text1"/>
          <w:spacing w:val="0"/>
          <w:sz w:val="32"/>
          <w:szCs w:val="32"/>
          <w:highlight w:val="none"/>
          <w:shd w:val="clear"/>
          <w:lang w:val="en-US" w:eastAsia="zh-CN"/>
          <w14:textFill>
            <w14:solidFill>
              <w14:schemeClr w14:val="tx1"/>
            </w14:solidFill>
          </w14:textFill>
        </w:rPr>
        <w:t>标记的靶细胞</w:t>
      </w:r>
      <w:r>
        <w:rPr>
          <w:rFonts w:hint="eastAsia" w:ascii="仿宋" w:hAnsi="仿宋" w:eastAsia="仿宋" w:cs="仿宋"/>
          <w:i w:val="0"/>
          <w:iCs w:val="0"/>
          <w:caps w:val="0"/>
          <w:color w:val="000000" w:themeColor="text1"/>
          <w:spacing w:val="0"/>
          <w:sz w:val="32"/>
          <w:szCs w:val="32"/>
          <w:highlight w:val="none"/>
          <w:shd w:val="clear"/>
          <w14:textFill>
            <w14:solidFill>
              <w14:schemeClr w14:val="tx1"/>
            </w14:solidFill>
          </w14:textFill>
        </w:rPr>
        <w:t>凋亡</w:t>
      </w:r>
      <w:r>
        <w:rPr>
          <w:rFonts w:hint="eastAsia" w:ascii="仿宋" w:hAnsi="仿宋" w:eastAsia="仿宋" w:cs="仿宋"/>
          <w:i w:val="0"/>
          <w:iCs w:val="0"/>
          <w:caps w:val="0"/>
          <w:color w:val="000000" w:themeColor="text1"/>
          <w:spacing w:val="0"/>
          <w:sz w:val="32"/>
          <w:szCs w:val="32"/>
          <w:highlight w:val="none"/>
          <w:shd w:val="clear"/>
          <w:lang w:val="en-US" w:eastAsia="zh-CN"/>
          <w14:textFill>
            <w14:solidFill>
              <w14:schemeClr w14:val="tx1"/>
            </w14:solidFill>
          </w14:textFill>
        </w:rPr>
        <w:t>比例</w:t>
      </w:r>
      <w:r>
        <w:rPr>
          <w:rFonts w:hint="eastAsia" w:ascii="仿宋" w:hAnsi="仿宋" w:eastAsia="仿宋" w:cs="仿宋"/>
          <w:i w:val="0"/>
          <w:iCs w:val="0"/>
          <w:caps w:val="0"/>
          <w:color w:val="000000" w:themeColor="text1"/>
          <w:spacing w:val="0"/>
          <w:sz w:val="32"/>
          <w:szCs w:val="32"/>
          <w:highlight w:val="none"/>
          <w:shd w:val="clear"/>
          <w14:textFill>
            <w14:solidFill>
              <w14:schemeClr w14:val="tx1"/>
            </w14:solidFill>
          </w14:textFill>
        </w:rPr>
        <w:t>，即可</w:t>
      </w:r>
      <w:r>
        <w:rPr>
          <w:rFonts w:hint="eastAsia" w:ascii="仿宋" w:hAnsi="仿宋" w:eastAsia="仿宋" w:cs="仿宋"/>
          <w:i w:val="0"/>
          <w:iCs w:val="0"/>
          <w:caps w:val="0"/>
          <w:color w:val="000000" w:themeColor="text1"/>
          <w:spacing w:val="0"/>
          <w:sz w:val="32"/>
          <w:szCs w:val="32"/>
          <w:highlight w:val="none"/>
          <w:shd w:val="clear"/>
          <w:lang w:val="en-US" w:eastAsia="zh-CN"/>
          <w14:textFill>
            <w14:solidFill>
              <w14:schemeClr w14:val="tx1"/>
            </w14:solidFill>
          </w14:textFill>
        </w:rPr>
        <w:t>反映出</w:t>
      </w:r>
      <w:r>
        <w:rPr>
          <w:rFonts w:hint="eastAsia" w:ascii="仿宋" w:hAnsi="仿宋" w:eastAsia="仿宋" w:cs="仿宋"/>
          <w:i w:val="0"/>
          <w:iCs w:val="0"/>
          <w:caps w:val="0"/>
          <w:color w:val="000000" w:themeColor="text1"/>
          <w:spacing w:val="0"/>
          <w:sz w:val="32"/>
          <w:szCs w:val="32"/>
          <w:highlight w:val="none"/>
          <w:shd w:val="clear"/>
          <w14:textFill>
            <w14:solidFill>
              <w14:schemeClr w14:val="tx1"/>
            </w14:solidFill>
          </w14:textFill>
        </w:rPr>
        <w:t>NK细胞的活性。</w:t>
      </w:r>
    </w:p>
    <w:p>
      <w:pPr>
        <w:autoSpaceDE w:val="0"/>
        <w:autoSpaceDN w:val="0"/>
        <w:adjustRightInd w:val="0"/>
        <w:spacing w:line="360" w:lineRule="auto"/>
        <w:ind w:firstLine="640" w:firstLineChars="200"/>
        <w:outlineLvl w:val="0"/>
        <w:rPr>
          <w:rFonts w:ascii="黑体" w:hAnsi="黑体" w:eastAsia="黑体" w:cs="黑体"/>
          <w:color w:val="000000" w:themeColor="text1"/>
          <w:sz w:val="32"/>
          <w:szCs w:val="32"/>
          <w:highlight w:val="none"/>
          <w14:textFill>
            <w14:solidFill>
              <w14:schemeClr w14:val="tx1"/>
            </w14:solidFill>
          </w14:textFill>
        </w:rPr>
      </w:pPr>
      <w:bookmarkStart w:id="76" w:name="_Toc10648"/>
      <w:bookmarkStart w:id="77" w:name="_Toc144629266"/>
      <w:bookmarkStart w:id="78" w:name="_Toc404"/>
      <w:bookmarkStart w:id="79" w:name="_Toc20410"/>
      <w:bookmarkStart w:id="80" w:name="_Toc2933"/>
      <w:bookmarkStart w:id="81" w:name="_Toc448"/>
      <w:bookmarkStart w:id="82" w:name="_Toc30754"/>
      <w:r>
        <w:rPr>
          <w:rFonts w:hint="eastAsia" w:ascii="黑体" w:hAnsi="黑体" w:eastAsia="黑体" w:cs="黑体"/>
          <w:color w:val="000000" w:themeColor="text1"/>
          <w:sz w:val="32"/>
          <w:szCs w:val="32"/>
          <w:highlight w:val="none"/>
          <w14:textFill>
            <w14:solidFill>
              <w14:schemeClr w14:val="tx1"/>
            </w14:solidFill>
          </w14:textFill>
        </w:rPr>
        <w:t>四、免疫毒性评价要点</w:t>
      </w:r>
      <w:bookmarkEnd w:id="76"/>
      <w:bookmarkEnd w:id="77"/>
      <w:bookmarkEnd w:id="78"/>
      <w:bookmarkEnd w:id="79"/>
      <w:bookmarkEnd w:id="80"/>
      <w:bookmarkEnd w:id="81"/>
      <w:bookmarkEnd w:id="82"/>
    </w:p>
    <w:p>
      <w:pPr>
        <w:autoSpaceDE w:val="0"/>
        <w:autoSpaceDN w:val="0"/>
        <w:adjustRightInd w:val="0"/>
        <w:spacing w:line="360" w:lineRule="auto"/>
        <w:ind w:firstLine="643" w:firstLineChars="200"/>
        <w:outlineLvl w:val="1"/>
        <w:rPr>
          <w:rFonts w:hint="eastAsia" w:ascii="仿宋" w:hAnsi="仿宋" w:eastAsia="仿宋" w:cs="仿宋"/>
          <w:b/>
          <w:bCs/>
          <w:color w:val="000000" w:themeColor="text1"/>
          <w:sz w:val="32"/>
          <w:szCs w:val="32"/>
          <w:highlight w:val="none"/>
          <w14:textFill>
            <w14:solidFill>
              <w14:schemeClr w14:val="tx1"/>
            </w14:solidFill>
          </w14:textFill>
        </w:rPr>
      </w:pPr>
      <w:bookmarkStart w:id="83" w:name="_Toc21288"/>
      <w:bookmarkStart w:id="84" w:name="_Toc144629267"/>
      <w:bookmarkStart w:id="85" w:name="_Toc29081"/>
      <w:bookmarkStart w:id="86" w:name="_Toc11162"/>
      <w:bookmarkStart w:id="87" w:name="_Toc19235"/>
      <w:bookmarkStart w:id="88" w:name="_Toc26083"/>
      <w:bookmarkStart w:id="89" w:name="_Toc23459"/>
      <w:r>
        <w:rPr>
          <w:rFonts w:hint="eastAsia" w:ascii="仿宋" w:hAnsi="仿宋" w:eastAsia="仿宋" w:cs="仿宋"/>
          <w:b/>
          <w:bCs/>
          <w:color w:val="000000" w:themeColor="text1"/>
          <w:sz w:val="32"/>
          <w:szCs w:val="32"/>
          <w:highlight w:val="none"/>
          <w14:textFill>
            <w14:solidFill>
              <w14:schemeClr w14:val="tx1"/>
            </w14:solidFill>
          </w14:textFill>
        </w:rPr>
        <w:t>（一）免疫抑制</w:t>
      </w:r>
      <w:bookmarkEnd w:id="83"/>
      <w:bookmarkEnd w:id="84"/>
      <w:bookmarkEnd w:id="85"/>
      <w:bookmarkEnd w:id="86"/>
      <w:bookmarkEnd w:id="87"/>
      <w:bookmarkEnd w:id="88"/>
      <w:bookmarkEnd w:id="89"/>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免疫抑制即免疫系统的广泛抑制，可致机体的易感性增加和肿瘤性疾病的风险增加。当受试物的潜在免疫抑制作用在已有常规毒性研究中不能明确免疫系统受影响的特定部分/功能时，应考虑进行免疫毒性研究以评估对免疫系统的影响。免疫抑制的检测采用多层级方式，第一层级免疫抑制试验为初始筛选阶段，主要由非功能性试验组成，增加</w:t>
      </w:r>
      <w:r>
        <w:rPr>
          <w:rFonts w:hint="eastAsia" w:ascii="仿宋" w:hAnsi="仿宋" w:eastAsia="仿宋" w:cs="仿宋"/>
          <w:color w:val="000000"/>
          <w:kern w:val="0"/>
          <w:sz w:val="32"/>
          <w:szCs w:val="32"/>
          <w:highlight w:val="none"/>
          <w:lang w:bidi="ar"/>
        </w:rPr>
        <w:t>血液淋巴细胞亚群分布及NK细胞活性等功能试验可增加筛选阶段的预测性；</w:t>
      </w:r>
      <w:r>
        <w:rPr>
          <w:rFonts w:hint="eastAsia" w:ascii="仿宋" w:hAnsi="仿宋" w:eastAsia="仿宋" w:cs="仿宋"/>
          <w:color w:val="000000" w:themeColor="text1"/>
          <w:sz w:val="32"/>
          <w:szCs w:val="32"/>
          <w:highlight w:val="none"/>
          <w14:textFill>
            <w14:solidFill>
              <w14:schemeClr w14:val="tx1"/>
            </w14:solidFill>
          </w14:textFill>
        </w:rPr>
        <w:t>第二层级试验主要是功能性试验。特异性和敏感性随层级逐级增加。第一层级中产生的免疫抑制指征有免疫器官重量、细胞数目、细胞群以及免疫球蛋白的变化；第二层级中可采用特异性的免疫功能检测，如评价免疫期间对体液免疫功能的影响，可采用ELISA等方法检测特异性抗体、采用PFC试验检测特异性抗体生成细胞的数量；评价对特异性细胞免疫反应的影响，可采用淋巴细胞增殖试验等；评价NK细胞活性可采用微量培养法或LDH释放法等。</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单一的毒性或免疫抑制研究不能用于评价全部的免疫相关参数，有必要识别最重要的指示参数并选择合适的方法来评定受试物的免疫抑制。免疫抑制试验最好结合全身毒性试验，因为全身毒性试验采用系列剂量的受试物对全身主要器官系统的反应进行评价。常规毒性试验可参照（三）中“常规毒性研究”的免疫毒理学参数进行免疫毒性的测定。如常规毒性试验中观察到的反应可以直接预测其在人体的反应时，则不需要附加的免疫毒性研究。</w:t>
      </w:r>
    </w:p>
    <w:p>
      <w:pPr>
        <w:autoSpaceDE w:val="0"/>
        <w:autoSpaceDN w:val="0"/>
        <w:adjustRightInd w:val="0"/>
        <w:spacing w:line="360" w:lineRule="auto"/>
        <w:ind w:firstLine="643" w:firstLineChars="200"/>
        <w:outlineLvl w:val="1"/>
        <w:rPr>
          <w:rFonts w:hint="eastAsia" w:ascii="仿宋" w:hAnsi="仿宋" w:eastAsia="仿宋" w:cs="仿宋"/>
          <w:b/>
          <w:bCs/>
          <w:color w:val="000000" w:themeColor="text1"/>
          <w:sz w:val="32"/>
          <w:szCs w:val="32"/>
          <w:highlight w:val="none"/>
          <w14:textFill>
            <w14:solidFill>
              <w14:schemeClr w14:val="tx1"/>
            </w14:solidFill>
          </w14:textFill>
        </w:rPr>
      </w:pPr>
      <w:bookmarkStart w:id="90" w:name="_Toc30177"/>
      <w:bookmarkStart w:id="91" w:name="_Toc21390"/>
      <w:bookmarkStart w:id="92" w:name="_Toc4518"/>
      <w:bookmarkStart w:id="93" w:name="_Toc24980"/>
      <w:bookmarkStart w:id="94" w:name="_Toc144629268"/>
      <w:bookmarkStart w:id="95" w:name="_Toc13704"/>
      <w:bookmarkStart w:id="96" w:name="_Toc15760"/>
      <w:r>
        <w:rPr>
          <w:rFonts w:hint="eastAsia" w:ascii="仿宋" w:hAnsi="仿宋" w:eastAsia="仿宋" w:cs="仿宋"/>
          <w:b/>
          <w:bCs/>
          <w:color w:val="000000" w:themeColor="text1"/>
          <w:sz w:val="32"/>
          <w:szCs w:val="32"/>
          <w:highlight w:val="none"/>
          <w14:textFill>
            <w14:solidFill>
              <w14:schemeClr w14:val="tx1"/>
            </w14:solidFill>
          </w14:textFill>
        </w:rPr>
        <w:t>（二）免疫刺激</w:t>
      </w:r>
      <w:bookmarkEnd w:id="90"/>
      <w:bookmarkEnd w:id="91"/>
      <w:bookmarkEnd w:id="92"/>
      <w:bookmarkEnd w:id="93"/>
      <w:bookmarkEnd w:id="94"/>
      <w:bookmarkEnd w:id="95"/>
      <w:bookmarkEnd w:id="96"/>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免疫刺激是指具有增强免疫系统活性的物质通过直接刺激免疫相关信号通路或通过抑制/激活免疫相关调节因子等间接作用激发免疫系统活性，从而引起的一种免疫毒性的类型。在大多数情况下，免疫刺激不会导致对传染性疾病抵抗力的降低，但可能会增加过敏性和自身免疫性疾病的风险。</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用于免疫抑制的试验方法也适用于免疫刺激的检测。那些可以非特异性刺激免疫系统的物质，最好采用已诱导致敏或自身免疫的动物模型进行评价研究。目前还没有建立能够将动物数据外推至人的用于检验过敏症和自身免疫的有效动物模型。当在实验动物上无法充分暴露免疫毒性风险时，应采用离体组织或系统，如人源免疫细胞，开展相关免疫毒性试验。</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除了化妆品原料本身的免疫刺激性，还应考虑污染物或残留物的免疫刺激活性。</w:t>
      </w:r>
    </w:p>
    <w:p>
      <w:pPr>
        <w:autoSpaceDE w:val="0"/>
        <w:autoSpaceDN w:val="0"/>
        <w:adjustRightInd w:val="0"/>
        <w:spacing w:line="360" w:lineRule="auto"/>
        <w:ind w:firstLine="643" w:firstLineChars="200"/>
        <w:outlineLvl w:val="1"/>
        <w:rPr>
          <w:rFonts w:hint="eastAsia" w:ascii="仿宋" w:hAnsi="仿宋" w:eastAsia="仿宋" w:cs="仿宋"/>
          <w:b/>
          <w:bCs/>
          <w:color w:val="000000" w:themeColor="text1"/>
          <w:sz w:val="32"/>
          <w:szCs w:val="32"/>
          <w:highlight w:val="none"/>
          <w14:textFill>
            <w14:solidFill>
              <w14:schemeClr w14:val="tx1"/>
            </w14:solidFill>
          </w14:textFill>
        </w:rPr>
      </w:pPr>
      <w:bookmarkStart w:id="97" w:name="_Toc31707"/>
      <w:bookmarkStart w:id="98" w:name="_Toc18925"/>
      <w:bookmarkStart w:id="99" w:name="_Toc4562"/>
      <w:bookmarkStart w:id="100" w:name="_Toc8457"/>
      <w:bookmarkStart w:id="101" w:name="_Toc144629269"/>
      <w:bookmarkStart w:id="102" w:name="_Toc22233"/>
      <w:bookmarkStart w:id="103" w:name="_Toc29372"/>
      <w:r>
        <w:rPr>
          <w:rFonts w:hint="eastAsia" w:ascii="仿宋" w:hAnsi="仿宋" w:eastAsia="仿宋" w:cs="仿宋"/>
          <w:b/>
          <w:bCs/>
          <w:color w:val="000000" w:themeColor="text1"/>
          <w:sz w:val="32"/>
          <w:szCs w:val="32"/>
          <w:highlight w:val="none"/>
          <w14:textFill>
            <w14:solidFill>
              <w14:schemeClr w14:val="tx1"/>
            </w14:solidFill>
          </w14:textFill>
        </w:rPr>
        <w:t>（三）超敏反应</w:t>
      </w:r>
      <w:bookmarkEnd w:id="97"/>
      <w:bookmarkEnd w:id="98"/>
      <w:bookmarkEnd w:id="99"/>
      <w:bookmarkEnd w:id="100"/>
      <w:bookmarkEnd w:id="101"/>
      <w:bookmarkEnd w:id="102"/>
      <w:bookmarkEnd w:id="103"/>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作用物具有抗原特性被免疫系统识别，同样地，也可以作为变应原诱发超敏反应。最常见的超敏反应类型有速发型超敏反应（Ⅰ型）和迟发型超敏反应（Ⅳ型）。Ⅰ型超敏反应由IgE介导，可以通过检测特异性IgE的产生，对于Ⅰ型超敏反应尚没有好的预测性试验，最经典的诱发方法包括被动过敏反应检查法。Ⅳ型超敏反应包括抗原特异性细胞炎症反应，可参考《化妆品安全技术规范》中“皮肤变态反应试验”方法，如Buehler 试验（BT）等。</w:t>
      </w:r>
    </w:p>
    <w:p>
      <w:pPr>
        <w:autoSpaceDE w:val="0"/>
        <w:autoSpaceDN w:val="0"/>
        <w:adjustRightInd w:val="0"/>
        <w:spacing w:line="360" w:lineRule="auto"/>
        <w:ind w:firstLine="643" w:firstLineChars="200"/>
        <w:outlineLvl w:val="1"/>
        <w:rPr>
          <w:rFonts w:hint="eastAsia" w:ascii="仿宋" w:hAnsi="仿宋" w:eastAsia="仿宋" w:cs="仿宋"/>
          <w:b/>
          <w:bCs/>
          <w:color w:val="000000" w:themeColor="text1"/>
          <w:sz w:val="32"/>
          <w:szCs w:val="32"/>
          <w:highlight w:val="none"/>
          <w14:textFill>
            <w14:solidFill>
              <w14:schemeClr w14:val="tx1"/>
            </w14:solidFill>
          </w14:textFill>
        </w:rPr>
      </w:pPr>
      <w:bookmarkStart w:id="104" w:name="_Toc26582"/>
      <w:bookmarkStart w:id="105" w:name="_Toc27402"/>
      <w:bookmarkStart w:id="106" w:name="_Toc16462"/>
      <w:bookmarkStart w:id="107" w:name="_Toc25184"/>
      <w:bookmarkStart w:id="108" w:name="_Toc5898"/>
      <w:bookmarkStart w:id="109" w:name="_Toc144629270"/>
      <w:bookmarkStart w:id="110" w:name="_Toc3206"/>
      <w:r>
        <w:rPr>
          <w:rFonts w:hint="eastAsia" w:ascii="仿宋" w:hAnsi="仿宋" w:eastAsia="仿宋" w:cs="仿宋"/>
          <w:b/>
          <w:bCs/>
          <w:color w:val="000000" w:themeColor="text1"/>
          <w:sz w:val="32"/>
          <w:szCs w:val="32"/>
          <w:highlight w:val="none"/>
          <w14:textFill>
            <w14:solidFill>
              <w14:schemeClr w14:val="tx1"/>
            </w14:solidFill>
          </w14:textFill>
        </w:rPr>
        <w:t>（四）自身免疫</w:t>
      </w:r>
      <w:bookmarkEnd w:id="104"/>
      <w:bookmarkEnd w:id="105"/>
      <w:bookmarkEnd w:id="106"/>
      <w:bookmarkEnd w:id="107"/>
      <w:bookmarkEnd w:id="108"/>
      <w:bookmarkEnd w:id="109"/>
      <w:bookmarkEnd w:id="110"/>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自身免疫性疾病在很大程度上是由遗传性因素引起的，经确认至少有4种机制可诱导自身免疫性疾病，即正常细胞内的物质如释放进入循环被识别为异物（隐蔽抗原）、由于化学、物理或生物学改变可转变为免疫原性的（自身抗原）、可诱导免疫应答,与正常自身抗原交叉反应（异物抗原）、发生在免疫功能细胞内的突变等。因此常规毒性试验不太可能检测出自身免疫的诱发潜能。目前提出的自身免疫预测性试验模型主要是腘窝淋巴结试验的改良方法，该试验中引流淋巴结的增殖反应被认为是致敏反应诱发的指示，包括自身免疫。</w:t>
      </w:r>
    </w:p>
    <w:p>
      <w:pPr>
        <w:autoSpaceDE w:val="0"/>
        <w:autoSpaceDN w:val="0"/>
        <w:adjustRightInd w:val="0"/>
        <w:spacing w:line="360" w:lineRule="auto"/>
        <w:ind w:firstLine="643" w:firstLineChars="200"/>
        <w:outlineLvl w:val="1"/>
        <w:rPr>
          <w:rFonts w:hint="eastAsia" w:ascii="仿宋" w:hAnsi="仿宋" w:eastAsia="仿宋" w:cs="仿宋"/>
          <w:b/>
          <w:bCs/>
          <w:color w:val="000000" w:themeColor="text1"/>
          <w:sz w:val="32"/>
          <w:szCs w:val="32"/>
          <w:highlight w:val="none"/>
          <w14:textFill>
            <w14:solidFill>
              <w14:schemeClr w14:val="tx1"/>
            </w14:solidFill>
          </w14:textFill>
        </w:rPr>
      </w:pPr>
      <w:bookmarkStart w:id="111" w:name="_Toc5676"/>
      <w:bookmarkStart w:id="112" w:name="_Toc16271"/>
      <w:bookmarkStart w:id="113" w:name="_Toc8349"/>
      <w:bookmarkStart w:id="114" w:name="_Toc25891"/>
      <w:bookmarkStart w:id="115" w:name="_Toc22417"/>
      <w:bookmarkStart w:id="116" w:name="_Toc2903"/>
      <w:bookmarkStart w:id="117" w:name="_Toc144629271"/>
      <w:r>
        <w:rPr>
          <w:rFonts w:hint="eastAsia" w:ascii="仿宋" w:hAnsi="仿宋" w:eastAsia="仿宋" w:cs="仿宋"/>
          <w:b/>
          <w:bCs/>
          <w:color w:val="000000" w:themeColor="text1"/>
          <w:sz w:val="32"/>
          <w:szCs w:val="32"/>
          <w:highlight w:val="none"/>
          <w14:textFill>
            <w14:solidFill>
              <w14:schemeClr w14:val="tx1"/>
            </w14:solidFill>
          </w14:textFill>
        </w:rPr>
        <w:t>（五）炎症反应</w:t>
      </w:r>
      <w:bookmarkEnd w:id="111"/>
      <w:bookmarkEnd w:id="112"/>
      <w:bookmarkEnd w:id="113"/>
      <w:bookmarkEnd w:id="114"/>
      <w:bookmarkEnd w:id="115"/>
      <w:bookmarkEnd w:id="116"/>
      <w:bookmarkEnd w:id="117"/>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免疫毒性物质能与免疫系统的非特异性成分（即粒细胞、巨噬细胞和其他能产生和释放炎症介质的细胞类型）相互作用。局部炎症反应是很常见的，评价炎症反应程度最直接的方法就是对炎症部位进行病理学观察。</w:t>
      </w:r>
    </w:p>
    <w:p>
      <w:pPr>
        <w:spacing w:line="360" w:lineRule="auto"/>
        <w:ind w:firstLine="640" w:firstLineChars="200"/>
        <w:outlineLvl w:val="0"/>
        <w:rPr>
          <w:rFonts w:ascii="Times New Roman" w:hAnsi="Times New Roman" w:eastAsia="黑体" w:cs="Times New Roman"/>
          <w:bCs/>
          <w:color w:val="000000" w:themeColor="text1"/>
          <w:sz w:val="32"/>
          <w:szCs w:val="32"/>
          <w:highlight w:val="none"/>
          <w14:textFill>
            <w14:solidFill>
              <w14:schemeClr w14:val="tx1"/>
            </w14:solidFill>
          </w14:textFill>
        </w:rPr>
      </w:pPr>
      <w:bookmarkStart w:id="118" w:name="_Toc32287"/>
      <w:bookmarkStart w:id="119" w:name="_Toc5233"/>
      <w:bookmarkStart w:id="120" w:name="_Toc19779"/>
      <w:bookmarkStart w:id="121" w:name="_Toc11112"/>
      <w:bookmarkStart w:id="122" w:name="_Toc30945"/>
      <w:bookmarkStart w:id="123" w:name="_Toc19976"/>
      <w:bookmarkStart w:id="124" w:name="_Toc144629272"/>
      <w:bookmarkStart w:id="125" w:name="_Toc14848"/>
      <w:r>
        <w:rPr>
          <w:rFonts w:ascii="Times New Roman" w:hAnsi="Times New Roman" w:eastAsia="黑体" w:cs="Times New Roman"/>
          <w:bCs/>
          <w:color w:val="000000" w:themeColor="text1"/>
          <w:sz w:val="32"/>
          <w:szCs w:val="32"/>
          <w:highlight w:val="none"/>
          <w14:textFill>
            <w14:solidFill>
              <w14:schemeClr w14:val="tx1"/>
            </w14:solidFill>
          </w14:textFill>
        </w:rPr>
        <w:t>五、</w:t>
      </w:r>
      <w:r>
        <w:rPr>
          <w:rFonts w:hint="eastAsia" w:ascii="Times New Roman" w:hAnsi="Times New Roman" w:eastAsia="黑体" w:cs="Times New Roman"/>
          <w:bCs/>
          <w:color w:val="000000" w:themeColor="text1"/>
          <w:sz w:val="32"/>
          <w:szCs w:val="32"/>
          <w:highlight w:val="none"/>
          <w14:textFill>
            <w14:solidFill>
              <w14:schemeClr w14:val="tx1"/>
            </w14:solidFill>
          </w14:textFill>
        </w:rPr>
        <w:t>结果分析及评价</w:t>
      </w:r>
      <w:bookmarkEnd w:id="118"/>
      <w:bookmarkEnd w:id="119"/>
      <w:bookmarkEnd w:id="120"/>
      <w:bookmarkEnd w:id="121"/>
      <w:bookmarkEnd w:id="122"/>
      <w:bookmarkEnd w:id="123"/>
      <w:bookmarkEnd w:id="124"/>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免疫系统的应答是一个十分复杂的过程，因此，观察化妆品原料对机体可能存在的免疫毒性作用的研究应该考虑全面、深入，不能以少数实验结果来评价其免疫毒性作用，应根据化妆品的暴露途径、免疫应答的特点，结合动物的生理特性并选择合适的动物进行，对免疫毒性的试验数据进行分析时，应该对全部数据进行综合评价，以便有充分的数据对免疫毒性风险进行合理的评估。根据所观察到的各种免疫毒性反应出现的时间、持续时间及严重程度等，分析各种反应在不同剂量时的发生率、严重程度。对观察结果进行归纳分析，判断每种反应的剂量-反应及时间-反应关系。</w:t>
      </w:r>
    </w:p>
    <w:p>
      <w:pPr>
        <w:autoSpaceDE w:val="0"/>
        <w:autoSpaceDN w:val="0"/>
        <w:adjustRightInd w:val="0"/>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附加研究未检测到免疫毒性的风险，则无需进行进一步的试验；附加研究显示可能存在免疫毒性风险，但无法提供充足的数据进行合理的风险-获益决策。在这种情况下，进一步的试验可能有助于为风险-获益决策提供充分的信息。任何常规毒性试验（如急性毒性试验、亚慢性毒性试验（90天）、致畸试验、慢性毒性/致癌性试验等）发现的免疫毒性作用，都应该予以评估。</w:t>
      </w:r>
    </w:p>
    <w:p>
      <w:pPr>
        <w:spacing w:line="360" w:lineRule="auto"/>
        <w:ind w:firstLine="640" w:firstLineChars="200"/>
        <w:outlineLvl w:val="0"/>
        <w:rPr>
          <w:rFonts w:ascii="Times New Roman" w:hAnsi="Times New Roman" w:eastAsia="黑体" w:cs="Times New Roman"/>
          <w:bCs/>
          <w:color w:val="000000" w:themeColor="text1"/>
          <w:sz w:val="32"/>
          <w:szCs w:val="32"/>
          <w:highlight w:val="none"/>
          <w14:textFill>
            <w14:solidFill>
              <w14:schemeClr w14:val="tx1"/>
            </w14:solidFill>
          </w14:textFill>
        </w:rPr>
      </w:pPr>
      <w:bookmarkStart w:id="126" w:name="_Toc18380"/>
      <w:bookmarkStart w:id="127" w:name="_Toc8970"/>
      <w:bookmarkStart w:id="128" w:name="_Toc14045"/>
      <w:bookmarkStart w:id="129" w:name="_Toc144629273"/>
      <w:bookmarkStart w:id="130" w:name="_Toc4117"/>
      <w:bookmarkStart w:id="131" w:name="_Toc12986"/>
      <w:bookmarkStart w:id="132" w:name="_Toc9107"/>
      <w:r>
        <w:rPr>
          <w:rFonts w:hint="eastAsia" w:ascii="Times New Roman" w:hAnsi="Times New Roman" w:eastAsia="黑体" w:cs="Times New Roman"/>
          <w:bCs/>
          <w:color w:val="000000" w:themeColor="text1"/>
          <w:sz w:val="32"/>
          <w:szCs w:val="32"/>
          <w:highlight w:val="none"/>
          <w14:textFill>
            <w14:solidFill>
              <w14:schemeClr w14:val="tx1"/>
            </w14:solidFill>
          </w14:textFill>
        </w:rPr>
        <w:t>六、</w:t>
      </w:r>
      <w:r>
        <w:rPr>
          <w:rFonts w:ascii="Times New Roman" w:hAnsi="Times New Roman" w:eastAsia="黑体" w:cs="Times New Roman"/>
          <w:bCs/>
          <w:color w:val="000000" w:themeColor="text1"/>
          <w:sz w:val="32"/>
          <w:szCs w:val="32"/>
          <w:highlight w:val="none"/>
          <w14:textFill>
            <w14:solidFill>
              <w14:schemeClr w14:val="tx1"/>
            </w14:solidFill>
          </w14:textFill>
        </w:rPr>
        <w:t>参考文献</w:t>
      </w:r>
      <w:bookmarkEnd w:id="125"/>
      <w:bookmarkEnd w:id="126"/>
      <w:bookmarkEnd w:id="127"/>
      <w:bookmarkEnd w:id="128"/>
      <w:bookmarkEnd w:id="129"/>
      <w:bookmarkEnd w:id="130"/>
      <w:bookmarkEnd w:id="131"/>
      <w:bookmarkEnd w:id="132"/>
    </w:p>
    <w:p>
      <w:pPr>
        <w:spacing w:line="360" w:lineRule="auto"/>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1.国家药品监督管理局.化妆品安全技术规范.(2015.12)</w:t>
      </w:r>
    </w:p>
    <w:p>
      <w:pPr>
        <w:spacing w:line="360" w:lineRule="auto"/>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2.SCCS. The SCCS Notes of guidance for the testing of cosmetic ingredients and their safety evaluation (12</w:t>
      </w:r>
      <w:r>
        <w:rPr>
          <w:rFonts w:hint="default" w:ascii="Times New Roman" w:hAnsi="Times New Roman" w:eastAsia="仿宋" w:cs="Times New Roman"/>
          <w:color w:val="000000" w:themeColor="text1"/>
          <w:sz w:val="32"/>
          <w:szCs w:val="32"/>
          <w:highlight w:val="none"/>
          <w:vertAlign w:val="superscript"/>
          <w14:textFill>
            <w14:solidFill>
              <w14:schemeClr w14:val="tx1"/>
            </w14:solidFill>
          </w14:textFill>
        </w:rPr>
        <w:t>th</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revision). (2023.5)</w:t>
      </w:r>
    </w:p>
    <w:p>
      <w:pPr>
        <w:spacing w:line="360" w:lineRule="auto"/>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3.ICH. ICH:S8 Immunotoxicology Studies for Human Pharmaceuticals.(2003.11)</w:t>
      </w:r>
    </w:p>
    <w:p>
      <w:pPr>
        <w:pStyle w:val="4"/>
        <w:adjustRightInd w:val="0"/>
        <w:snapToGrid w:val="0"/>
        <w:spacing w:line="360" w:lineRule="auto"/>
        <w:ind w:firstLine="64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4.国家食品药品监督管理局，化妆品安全技术规范（2015年版），2015.12</w:t>
      </w:r>
    </w:p>
    <w:p>
      <w:pPr>
        <w:spacing w:line="360" w:lineRule="auto"/>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5. OECD. OECD Guideline for the testing of chemicals: Repeated Dose 28-Day Oral Toxicity Study in Rodents(407).(</w:t>
      </w:r>
    </w:p>
    <w:p>
      <w:pPr>
        <w:spacing w:line="360" w:lineRule="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2008.10)</w:t>
      </w:r>
    </w:p>
    <w:p>
      <w:pPr>
        <w:spacing w:line="360" w:lineRule="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6.ISO/TS 10993-20 Principles and methods for Immuno-</w:t>
      </w:r>
    </w:p>
    <w:p>
      <w:pPr>
        <w:spacing w:line="360" w:lineRule="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toxicology testing of medical devices.(2006.8)</w:t>
      </w:r>
    </w:p>
    <w:p>
      <w:pPr>
        <w:spacing w:line="360" w:lineRule="auto"/>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7.国家药品监督管理局药品审评中心.药物免疫毒性非临床研究技术指导原则(征求意见稿).(2022.9)</w:t>
      </w:r>
    </w:p>
    <w:p>
      <w:pPr>
        <w:spacing w:line="360" w:lineRule="auto"/>
        <w:ind w:firstLine="640" w:firstLineChars="200"/>
        <w:rPr>
          <w:rFonts w:hint="default" w:ascii="Times New Roman" w:hAnsi="Times New Roman" w:eastAsia="仿宋" w:cs="Times New Roman"/>
          <w:b/>
          <w:bCs/>
          <w:color w:val="000000"/>
          <w:spacing w:val="20"/>
          <w:sz w:val="35"/>
          <w:szCs w:val="35"/>
          <w:highlight w:val="none"/>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8.国家药品监督管理局药品审评中心.中药、天然药物免疫毒性（过敏性、光过敏反应）研究的技术指导原则（2005.3） </w:t>
      </w:r>
    </w:p>
    <w:p>
      <w:pPr>
        <w:spacing w:line="360" w:lineRule="auto"/>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9.WHO.Guidance for Inmunotoxicity Risk Assessment for Chemicals.(2012)</w:t>
      </w:r>
    </w:p>
    <w:p>
      <w:pPr>
        <w:spacing w:line="360" w:lineRule="auto"/>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10.EPA.Health Effects Test Guidelines:OPPTS 870.7800 </w:t>
      </w:r>
    </w:p>
    <w:p>
      <w:pPr>
        <w:spacing w:line="360" w:lineRule="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Immunotoxicity(1996.6)</w:t>
      </w:r>
    </w:p>
    <w:p>
      <w:pPr>
        <w:numPr>
          <w:ilvl w:val="255"/>
          <w:numId w:val="0"/>
        </w:numPr>
        <w:spacing w:line="360" w:lineRule="auto"/>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11.ISO/TS 10993-6 Biological evaluation of medical devices.(2007.5)</w:t>
      </w:r>
    </w:p>
    <w:p>
      <w:pPr>
        <w:numPr>
          <w:ilvl w:val="255"/>
          <w:numId w:val="0"/>
        </w:numPr>
        <w:spacing w:line="360" w:lineRule="auto"/>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12.</w:t>
      </w:r>
      <w:r>
        <w:rPr>
          <w:rFonts w:hint="default" w:ascii="Times New Roman" w:hAnsi="Times New Roman" w:eastAsia="仿宋" w:cs="Times New Roman"/>
          <w:highlight w:val="none"/>
        </w:rPr>
        <w:fldChar w:fldCharType="begin"/>
      </w:r>
      <w:r>
        <w:rPr>
          <w:rFonts w:hint="default" w:ascii="Times New Roman" w:hAnsi="Times New Roman" w:eastAsia="仿宋" w:cs="Times New Roman"/>
          <w:highlight w:val="none"/>
        </w:rPr>
        <w:instrText xml:space="preserve"> HYPERLINK "https://www.so.com/link?m=bTW3g3s4351TTKUIlUyBHlZKISH7nzC4H6gk2K1QWgWeKOAq9v+jA1pB1Fn3Qlo5fKJGtFxG2LZf0EU3H5RV/96RiXbXLtbGq+QXvpmLK/SoDh/QfV1rebrt/RuGh+iGa+U75Eg629hH0RQYPZVtAHji+/HR+Zhq0G4cT0XSGfyQsvPzOqAZSzewYseQlR7jheKkjtTA3BIHfy4pL28KjOBBf629pqMPS" \t "https://www.so.com/_blank" </w:instrText>
      </w:r>
      <w:r>
        <w:rPr>
          <w:rFonts w:hint="default" w:ascii="Times New Roman" w:hAnsi="Times New Roman" w:eastAsia="仿宋" w:cs="Times New Roman"/>
          <w:highlight w:val="none"/>
        </w:rPr>
        <w:fldChar w:fldCharType="separate"/>
      </w:r>
      <w:r>
        <w:rPr>
          <w:rFonts w:hint="default" w:ascii="Times New Roman" w:hAnsi="Times New Roman" w:eastAsia="仿宋" w:cs="Times New Roman"/>
          <w:color w:val="000000" w:themeColor="text1"/>
          <w:sz w:val="32"/>
          <w:szCs w:val="32"/>
          <w:highlight w:val="none"/>
          <w14:textFill>
            <w14:solidFill>
              <w14:schemeClr w14:val="tx1"/>
            </w14:solidFill>
          </w14:textFill>
        </w:rPr>
        <w:t>厚生労働省医薬食品局</w:t>
      </w:r>
      <w:r>
        <w:rPr>
          <w:rFonts w:hint="default" w:ascii="Times New Roman" w:hAnsi="Times New Roman" w:eastAsia="仿宋"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 w:cs="Times New Roman"/>
          <w:color w:val="000000" w:themeColor="text1"/>
          <w:sz w:val="32"/>
          <w:szCs w:val="32"/>
          <w:highlight w:val="none"/>
          <w14:textFill>
            <w14:solidFill>
              <w14:schemeClr w14:val="tx1"/>
            </w14:solidFill>
          </w14:textFill>
        </w:rPr>
        <w:t>.免疫毒性试验指南（案）[S].2004:1</w:t>
      </w:r>
    </w:p>
    <w:p>
      <w:pPr>
        <w:numPr>
          <w:ilvl w:val="255"/>
          <w:numId w:val="0"/>
        </w:numPr>
        <w:spacing w:line="360" w:lineRule="auto"/>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13.EMEA:CPMP/SWP/1042/99 Note for Guidance on Repeated Dose Toxicity.[S].2000:1</w:t>
      </w:r>
    </w:p>
    <w:p>
      <w:pPr>
        <w:numPr>
          <w:ilvl w:val="255"/>
          <w:numId w:val="0"/>
        </w:numPr>
        <w:spacing w:line="360" w:lineRule="auto"/>
        <w:ind w:firstLine="640" w:firstLineChars="2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14.FDA.Nonclinical Evaluation of the Immunotoxic Potential of Pharmaceuticals Guidance for Industry.(2023.6)</w:t>
      </w:r>
    </w:p>
    <w:p>
      <w:pPr>
        <w:spacing w:line="360" w:lineRule="auto"/>
        <w:ind w:firstLine="640" w:firstLineChars="200"/>
        <w:outlineLvl w:val="0"/>
        <w:rPr>
          <w:rFonts w:ascii="Times New Roman" w:hAnsi="Times New Roman" w:eastAsia="仿宋" w:cs="Times New Roman"/>
          <w:color w:val="000000" w:themeColor="text1"/>
          <w:sz w:val="32"/>
          <w:szCs w:val="32"/>
          <w:highlight w:val="none"/>
          <w14:textFill>
            <w14:solidFill>
              <w14:schemeClr w14:val="tx1"/>
            </w14:solidFill>
          </w14:textFill>
        </w:rPr>
      </w:pPr>
      <w:bookmarkStart w:id="133" w:name="_Toc14875"/>
      <w:bookmarkStart w:id="134" w:name="_Toc10662"/>
      <w:bookmarkStart w:id="135" w:name="_Toc28430"/>
      <w:bookmarkStart w:id="136" w:name="_Toc17135"/>
      <w:bookmarkStart w:id="137" w:name="_Toc144629274"/>
      <w:bookmarkStart w:id="138" w:name="_Toc19953"/>
      <w:bookmarkStart w:id="139" w:name="_Toc28631"/>
      <w:bookmarkStart w:id="140" w:name="_Toc1422"/>
      <w:r>
        <w:rPr>
          <w:rFonts w:hint="eastAsia" w:ascii="Times New Roman" w:hAnsi="Times New Roman" w:eastAsia="黑体" w:cs="Times New Roman"/>
          <w:bCs/>
          <w:color w:val="000000" w:themeColor="text1"/>
          <w:sz w:val="32"/>
          <w:szCs w:val="32"/>
          <w:highlight w:val="none"/>
          <w14:textFill>
            <w14:solidFill>
              <w14:schemeClr w14:val="tx1"/>
            </w14:solidFill>
          </w14:textFill>
        </w:rPr>
        <w:t>七</w:t>
      </w:r>
      <w:r>
        <w:rPr>
          <w:rFonts w:ascii="Times New Roman" w:hAnsi="Times New Roman" w:eastAsia="黑体" w:cs="Times New Roman"/>
          <w:bCs/>
          <w:color w:val="000000" w:themeColor="text1"/>
          <w:sz w:val="32"/>
          <w:szCs w:val="32"/>
          <w:highlight w:val="none"/>
          <w14:textFill>
            <w14:solidFill>
              <w14:schemeClr w14:val="tx1"/>
            </w14:solidFill>
          </w14:textFill>
        </w:rPr>
        <w:t>、术语和释义</w:t>
      </w:r>
      <w:bookmarkEnd w:id="133"/>
      <w:bookmarkEnd w:id="134"/>
      <w:bookmarkEnd w:id="135"/>
      <w:bookmarkEnd w:id="136"/>
      <w:bookmarkEnd w:id="137"/>
      <w:bookmarkEnd w:id="138"/>
      <w:bookmarkEnd w:id="139"/>
      <w:bookmarkEnd w:id="140"/>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（一）免疫毒性（Immunotoxicity）</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免疫毒性是毒理学学科最新和最重要的分支之一，是指外源性化合物和物理因素对机体免疫系统产生的不良影响。</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（二）免疫抑制（Immunosuppression）</w:t>
      </w:r>
    </w:p>
    <w:p>
      <w:pPr>
        <w:spacing w:line="360" w:lineRule="auto"/>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是指对于</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"https://baike.so.com/doc/6589278-6803054.html" \t "https://baike.so.com/doc/_blank" </w:instrText>
      </w:r>
      <w:r>
        <w:rPr>
          <w:rFonts w:hint="eastAsia" w:ascii="仿宋" w:hAnsi="仿宋" w:eastAsia="仿宋" w:cs="仿宋"/>
          <w:sz w:val="32"/>
          <w:szCs w:val="32"/>
          <w:highlight w:val="none"/>
        </w:rPr>
        <w:fldChar w:fldCharType="separate"/>
      </w:r>
      <w:r>
        <w:rPr>
          <w:rFonts w:hint="eastAsia" w:ascii="仿宋" w:hAnsi="仿宋" w:eastAsia="仿宋" w:cs="仿宋"/>
          <w:color w:val="000000" w:themeColor="text1"/>
          <w:sz w:val="32"/>
          <w:szCs w:val="32"/>
          <w:highlight w:val="none"/>
          <w14:textFill>
            <w14:solidFill>
              <w14:schemeClr w14:val="tx1"/>
            </w14:solidFill>
          </w14:textFill>
        </w:rPr>
        <w:t>免疫应答</w:t>
      </w:r>
      <w:r>
        <w:rPr>
          <w:rFonts w:hint="eastAsia" w:ascii="仿宋" w:hAnsi="仿宋" w:eastAsia="仿宋" w:cs="仿宋"/>
          <w:color w:val="000000" w:themeColor="text1"/>
          <w:sz w:val="32"/>
          <w:szCs w:val="32"/>
          <w:highlight w:val="none"/>
          <w14:textFill>
            <w14:solidFill>
              <w14:schemeClr w14:val="tx1"/>
            </w14:solidFill>
          </w14:textFill>
        </w:rPr>
        <w:fldChar w:fldCharType="end"/>
      </w:r>
      <w:r>
        <w:rPr>
          <w:rFonts w:hint="eastAsia" w:ascii="仿宋" w:hAnsi="仿宋" w:eastAsia="仿宋" w:cs="仿宋"/>
          <w:color w:val="000000" w:themeColor="text1"/>
          <w:sz w:val="32"/>
          <w:szCs w:val="32"/>
          <w:highlight w:val="none"/>
          <w14:textFill>
            <w14:solidFill>
              <w14:schemeClr w14:val="tx1"/>
            </w14:solidFill>
          </w14:textFill>
        </w:rPr>
        <w:t>的抑制作用。</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"https://baike.so.com/doc/6723546-6937672.html" \t "https://baike.so.com/doc/_blank" </w:instrText>
      </w:r>
      <w:r>
        <w:rPr>
          <w:rFonts w:hint="eastAsia" w:ascii="仿宋" w:hAnsi="仿宋" w:eastAsia="仿宋" w:cs="仿宋"/>
          <w:sz w:val="32"/>
          <w:szCs w:val="32"/>
          <w:highlight w:val="none"/>
        </w:rPr>
        <w:fldChar w:fldCharType="separate"/>
      </w:r>
      <w:r>
        <w:rPr>
          <w:rFonts w:hint="eastAsia" w:ascii="仿宋" w:hAnsi="仿宋" w:eastAsia="仿宋" w:cs="仿宋"/>
          <w:color w:val="000000" w:themeColor="text1"/>
          <w:sz w:val="32"/>
          <w:szCs w:val="32"/>
          <w:highlight w:val="none"/>
          <w14:textFill>
            <w14:solidFill>
              <w14:schemeClr w14:val="tx1"/>
            </w14:solidFill>
          </w14:textFill>
        </w:rPr>
        <w:t>免疫力低下</w:t>
      </w:r>
      <w:r>
        <w:rPr>
          <w:rFonts w:hint="eastAsia" w:ascii="仿宋" w:hAnsi="仿宋" w:eastAsia="仿宋" w:cs="仿宋"/>
          <w:color w:val="000000" w:themeColor="text1"/>
          <w:sz w:val="32"/>
          <w:szCs w:val="32"/>
          <w:highlight w:val="none"/>
          <w14:textFill>
            <w14:solidFill>
              <w14:schemeClr w14:val="tx1"/>
            </w14:solidFill>
          </w14:textFill>
        </w:rPr>
        <w:fldChar w:fldCharType="end"/>
      </w:r>
      <w:r>
        <w:rPr>
          <w:rFonts w:hint="eastAsia" w:ascii="仿宋" w:hAnsi="仿宋" w:eastAsia="仿宋" w:cs="仿宋"/>
          <w:color w:val="000000" w:themeColor="text1"/>
          <w:sz w:val="32"/>
          <w:szCs w:val="32"/>
          <w:highlight w:val="none"/>
          <w14:textFill>
            <w14:solidFill>
              <w14:schemeClr w14:val="tx1"/>
            </w14:solidFill>
          </w14:textFill>
        </w:rPr>
        <w:t>容易受到</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"https://baike.so.com/doc/5403235-5640924.html" \t "https://baike.so.com/doc/_blank" </w:instrText>
      </w:r>
      <w:r>
        <w:rPr>
          <w:rFonts w:hint="eastAsia" w:ascii="仿宋" w:hAnsi="仿宋" w:eastAsia="仿宋" w:cs="仿宋"/>
          <w:sz w:val="32"/>
          <w:szCs w:val="32"/>
          <w:highlight w:val="none"/>
        </w:rPr>
        <w:fldChar w:fldCharType="separate"/>
      </w:r>
      <w:r>
        <w:rPr>
          <w:rFonts w:hint="eastAsia" w:ascii="仿宋" w:hAnsi="仿宋" w:eastAsia="仿宋" w:cs="仿宋"/>
          <w:color w:val="000000" w:themeColor="text1"/>
          <w:sz w:val="32"/>
          <w:szCs w:val="32"/>
          <w:highlight w:val="none"/>
          <w14:textFill>
            <w14:solidFill>
              <w14:schemeClr w14:val="tx1"/>
            </w14:solidFill>
          </w14:textFill>
        </w:rPr>
        <w:t>细菌</w:t>
      </w:r>
      <w:r>
        <w:rPr>
          <w:rFonts w:hint="eastAsia" w:ascii="仿宋" w:hAnsi="仿宋" w:eastAsia="仿宋" w:cs="仿宋"/>
          <w:color w:val="000000" w:themeColor="text1"/>
          <w:sz w:val="32"/>
          <w:szCs w:val="32"/>
          <w:highlight w:val="none"/>
          <w14:textFill>
            <w14:solidFill>
              <w14:schemeClr w14:val="tx1"/>
            </w14:solidFill>
          </w14:textFill>
        </w:rPr>
        <w:fldChar w:fldCharType="end"/>
      </w:r>
      <w:r>
        <w:rPr>
          <w:rFonts w:hint="eastAsia" w:ascii="仿宋" w:hAnsi="仿宋" w:eastAsia="仿宋" w:cs="仿宋"/>
          <w:color w:val="000000" w:themeColor="text1"/>
          <w:sz w:val="32"/>
          <w:szCs w:val="32"/>
          <w:highlight w:val="none"/>
          <w14:textFill>
            <w14:solidFill>
              <w14:schemeClr w14:val="tx1"/>
            </w14:solidFill>
          </w14:textFill>
        </w:rPr>
        <w:t>、病毒、真菌等感染，甚至容易长肿瘤。</w:t>
      </w:r>
    </w:p>
    <w:p>
      <w:pPr>
        <w:numPr>
          <w:ilvl w:val="0"/>
          <w:numId w:val="2"/>
        </w:num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免疫刺激（</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"http://www.baidu.com/link?url=FEzsL56jCgjNjJUMNm5i9gQQsCPiHxTcXgf8Qen1u5M6s7l31-bB2vVOCEHxMQSDcVNOaT-MmG1gAOvxWEXF-np2QJX7mP60Af9XbB3Mo009Y94xW3qAtilJwKkE8h3r" \t "https://www.baidu.com/_blank" </w:instrText>
      </w:r>
      <w:r>
        <w:rPr>
          <w:rFonts w:hint="eastAsia" w:ascii="仿宋" w:hAnsi="仿宋" w:eastAsia="仿宋" w:cs="仿宋"/>
          <w:sz w:val="32"/>
          <w:szCs w:val="32"/>
          <w:highlight w:val="none"/>
        </w:rPr>
        <w:fldChar w:fldCharType="separate"/>
      </w:r>
      <w:r>
        <w:rPr>
          <w:rFonts w:hint="eastAsia" w:ascii="仿宋" w:hAnsi="仿宋" w:eastAsia="仿宋" w:cs="仿宋"/>
          <w:color w:val="000000" w:themeColor="text1"/>
          <w:sz w:val="32"/>
          <w:szCs w:val="32"/>
          <w:highlight w:val="none"/>
          <w14:textFill>
            <w14:solidFill>
              <w14:schemeClr w14:val="tx1"/>
            </w14:solidFill>
          </w14:textFill>
        </w:rPr>
        <w:t>immunostimulation</w:t>
      </w:r>
      <w:r>
        <w:rPr>
          <w:rFonts w:hint="eastAsia" w:ascii="仿宋" w:hAnsi="仿宋" w:eastAsia="仿宋" w:cs="仿宋"/>
          <w:color w:val="000000" w:themeColor="text1"/>
          <w:sz w:val="32"/>
          <w:szCs w:val="32"/>
          <w:highlight w:val="none"/>
          <w14:textFill>
            <w14:solidFill>
              <w14:schemeClr w14:val="tx1"/>
            </w14:solidFill>
          </w14:textFill>
        </w:rPr>
        <w:fldChar w:fldCharType="end"/>
      </w:r>
      <w:r>
        <w:rPr>
          <w:rFonts w:hint="eastAsia" w:ascii="仿宋" w:hAnsi="仿宋" w:eastAsia="仿宋" w:cs="仿宋"/>
          <w:color w:val="000000" w:themeColor="text1"/>
          <w:sz w:val="32"/>
          <w:szCs w:val="32"/>
          <w:highlight w:val="none"/>
          <w14:textFill>
            <w14:solidFill>
              <w14:schemeClr w14:val="tx1"/>
            </w14:solidFill>
          </w14:textFill>
        </w:rPr>
        <w:t>）</w:t>
      </w:r>
    </w:p>
    <w:p>
      <w:pPr>
        <w:ind w:firstLine="640" w:firstLineChars="2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是指对于</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"https://baike.so.com/doc/6589278-6803054.html" \t "https://baike.so.com/doc/_blank" </w:instrText>
      </w:r>
      <w:r>
        <w:rPr>
          <w:rFonts w:hint="eastAsia" w:ascii="仿宋" w:hAnsi="仿宋" w:eastAsia="仿宋" w:cs="仿宋"/>
          <w:sz w:val="32"/>
          <w:szCs w:val="32"/>
          <w:highlight w:val="none"/>
        </w:rPr>
        <w:fldChar w:fldCharType="separate"/>
      </w:r>
      <w:r>
        <w:rPr>
          <w:rFonts w:hint="eastAsia" w:ascii="仿宋" w:hAnsi="仿宋" w:eastAsia="仿宋" w:cs="仿宋"/>
          <w:color w:val="000000" w:themeColor="text1"/>
          <w:sz w:val="32"/>
          <w:szCs w:val="32"/>
          <w:highlight w:val="none"/>
          <w14:textFill>
            <w14:solidFill>
              <w14:schemeClr w14:val="tx1"/>
            </w14:solidFill>
          </w14:textFill>
        </w:rPr>
        <w:t>免疫应答</w:t>
      </w:r>
      <w:r>
        <w:rPr>
          <w:rFonts w:hint="eastAsia" w:ascii="仿宋" w:hAnsi="仿宋" w:eastAsia="仿宋" w:cs="仿宋"/>
          <w:color w:val="000000" w:themeColor="text1"/>
          <w:sz w:val="32"/>
          <w:szCs w:val="32"/>
          <w:highlight w:val="none"/>
          <w14:textFill>
            <w14:solidFill>
              <w14:schemeClr w14:val="tx1"/>
            </w14:solidFill>
          </w14:textFill>
        </w:rPr>
        <w:fldChar w:fldCharType="end"/>
      </w:r>
      <w:r>
        <w:rPr>
          <w:rFonts w:hint="eastAsia" w:ascii="仿宋" w:hAnsi="仿宋" w:eastAsia="仿宋" w:cs="仿宋"/>
          <w:color w:val="000000" w:themeColor="text1"/>
          <w:sz w:val="32"/>
          <w:szCs w:val="32"/>
          <w:highlight w:val="none"/>
          <w14:textFill>
            <w14:solidFill>
              <w14:schemeClr w14:val="tx1"/>
            </w14:solidFill>
          </w14:textFill>
        </w:rPr>
        <w:t>的刺激作用。通常指激活非特异性免疫，增强机体免疫应答。</w:t>
      </w:r>
    </w:p>
    <w:p>
      <w:pPr>
        <w:spacing w:line="360" w:lineRule="auto"/>
        <w:ind w:firstLine="640" w:firstLineChars="200"/>
        <w:outlineLvl w:val="0"/>
        <w:rPr>
          <w:rFonts w:ascii="Times New Roman" w:hAnsi="Times New Roman" w:eastAsia="黑体" w:cs="Times New Roman"/>
          <w:color w:val="000000" w:themeColor="text1"/>
          <w:sz w:val="32"/>
          <w:szCs w:val="32"/>
          <w:highlight w:val="none"/>
          <w14:textFill>
            <w14:solidFill>
              <w14:schemeClr w14:val="tx1"/>
            </w14:solidFill>
          </w14:textFill>
        </w:rPr>
      </w:pPr>
      <w:bookmarkStart w:id="141" w:name="_Toc886"/>
      <w:bookmarkStart w:id="142" w:name="_Toc13459"/>
      <w:bookmarkStart w:id="143" w:name="_Toc19343"/>
      <w:bookmarkStart w:id="144" w:name="_Toc144629275"/>
      <w:bookmarkStart w:id="145" w:name="_Toc12733"/>
      <w:bookmarkStart w:id="146" w:name="_Toc12334"/>
      <w:bookmarkStart w:id="147" w:name="_Toc9598"/>
      <w:r>
        <w:rPr>
          <w:rFonts w:hint="eastAsia" w:ascii="Times New Roman" w:hAnsi="Times New Roman" w:eastAsia="黑体" w:cs="Times New Roman"/>
          <w:bCs/>
          <w:color w:val="000000" w:themeColor="text1"/>
          <w:sz w:val="32"/>
          <w:szCs w:val="32"/>
          <w:highlight w:val="none"/>
          <w14:textFill>
            <w14:solidFill>
              <w14:schemeClr w14:val="tx1"/>
            </w14:solidFill>
          </w14:textFill>
        </w:rPr>
        <w:t>八</w:t>
      </w:r>
      <w:r>
        <w:rPr>
          <w:rFonts w:ascii="Times New Roman" w:hAnsi="Times New Roman" w:eastAsia="黑体" w:cs="Times New Roman"/>
          <w:bCs/>
          <w:color w:val="000000" w:themeColor="text1"/>
          <w:sz w:val="32"/>
          <w:szCs w:val="32"/>
          <w:highlight w:val="none"/>
          <w14:textFill>
            <w14:solidFill>
              <w14:schemeClr w14:val="tx1"/>
            </w14:solidFill>
          </w14:textFill>
        </w:rPr>
        <w:t>、</w:t>
      </w:r>
      <w:r>
        <w:rPr>
          <w:rFonts w:hint="eastAsia" w:ascii="Times New Roman" w:hAnsi="Times New Roman" w:eastAsia="黑体" w:cs="Times New Roman"/>
          <w:bCs/>
          <w:color w:val="000000" w:themeColor="text1"/>
          <w:sz w:val="32"/>
          <w:szCs w:val="32"/>
          <w:highlight w:val="none"/>
          <w14:textFill>
            <w14:solidFill>
              <w14:schemeClr w14:val="tx1"/>
            </w14:solidFill>
          </w14:textFill>
        </w:rPr>
        <w:t>附录</w:t>
      </w:r>
      <w:bookmarkEnd w:id="141"/>
      <w:bookmarkEnd w:id="142"/>
      <w:bookmarkEnd w:id="143"/>
      <w:bookmarkEnd w:id="144"/>
      <w:bookmarkEnd w:id="145"/>
      <w:bookmarkEnd w:id="146"/>
      <w:bookmarkEnd w:id="147"/>
    </w:p>
    <w:p>
      <w:pPr>
        <w:ind w:firstLine="640" w:firstLineChars="20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 xml:space="preserve">化妆品原料免疫毒性试验方法 </w:t>
      </w:r>
    </w:p>
    <w:p>
      <w:pPr>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br w:type="page"/>
      </w:r>
    </w:p>
    <w:p>
      <w:pPr>
        <w:pStyle w:val="4"/>
        <w:adjustRightInd w:val="0"/>
        <w:spacing w:before="156" w:beforeLines="50" w:after="156" w:afterLines="50" w:line="300" w:lineRule="auto"/>
        <w:ind w:firstLine="0" w:firstLineChars="0"/>
        <w:rPr>
          <w:rFonts w:ascii="黑体" w:hAnsi="黑体" w:eastAsia="黑体" w:cs="黑体"/>
          <w:kern w:val="0"/>
          <w:sz w:val="32"/>
          <w:szCs w:val="32"/>
          <w:highlight w:val="none"/>
        </w:rPr>
      </w:pPr>
      <w:bookmarkStart w:id="148" w:name="_Toc14593"/>
      <w:r>
        <w:rPr>
          <w:rFonts w:ascii="黑体" w:hAnsi="黑体" w:eastAsia="黑体" w:cs="黑体"/>
          <w:kern w:val="0"/>
          <w:sz w:val="32"/>
          <w:szCs w:val="32"/>
          <w:highlight w:val="none"/>
        </w:rPr>
        <w:t>附录</w:t>
      </w:r>
      <w:bookmarkEnd w:id="148"/>
    </w:p>
    <w:p>
      <w:pPr>
        <w:pStyle w:val="4"/>
        <w:adjustRightInd w:val="0"/>
        <w:spacing w:before="156" w:beforeLines="50" w:after="156" w:afterLines="50" w:line="300" w:lineRule="auto"/>
        <w:ind w:firstLine="0" w:firstLineChars="0"/>
        <w:jc w:val="center"/>
        <w:rPr>
          <w:rFonts w:ascii="黑体" w:hAnsi="黑体" w:eastAsia="黑体" w:cs="黑体"/>
          <w:kern w:val="0"/>
          <w:sz w:val="32"/>
          <w:szCs w:val="32"/>
          <w:highlight w:val="none"/>
        </w:rPr>
      </w:pPr>
      <w:r>
        <w:rPr>
          <w:rFonts w:hint="eastAsia" w:ascii="黑体" w:hAnsi="黑体" w:eastAsia="黑体" w:cs="黑体"/>
          <w:kern w:val="0"/>
          <w:sz w:val="32"/>
          <w:szCs w:val="32"/>
          <w:highlight w:val="none"/>
        </w:rPr>
        <w:t>化妆品原料免疫毒性试验方法</w:t>
      </w:r>
    </w:p>
    <w:p>
      <w:pPr>
        <w:pStyle w:val="4"/>
        <w:adjustRightInd w:val="0"/>
        <w:spacing w:before="156" w:beforeLines="50" w:after="156" w:afterLines="50" w:line="300" w:lineRule="auto"/>
        <w:ind w:firstLine="0" w:firstLineChars="0"/>
        <w:jc w:val="center"/>
        <w:rPr>
          <w:rFonts w:ascii="Times New Roman" w:hAnsi="Times New Roman" w:eastAsia="黑体" w:cs="Times New Roman"/>
          <w:kern w:val="0"/>
          <w:sz w:val="21"/>
          <w:szCs w:val="21"/>
          <w:highlight w:val="none"/>
        </w:rPr>
      </w:pPr>
      <w:r>
        <w:rPr>
          <w:rFonts w:ascii="Times New Roman" w:hAnsi="Times New Roman" w:eastAsia="黑体" w:cs="Times New Roman"/>
          <w:kern w:val="0"/>
          <w:sz w:val="21"/>
          <w:szCs w:val="21"/>
          <w:highlight w:val="none"/>
        </w:rPr>
        <w:t>Test method for immunotoxicity of cosmetic raw materials</w:t>
      </w:r>
    </w:p>
    <w:p>
      <w:pPr>
        <w:pStyle w:val="4"/>
        <w:spacing w:before="156" w:beforeLines="50" w:after="156" w:afterLines="50" w:line="300" w:lineRule="auto"/>
        <w:ind w:firstLine="0" w:firstLineChars="0"/>
        <w:rPr>
          <w:rFonts w:ascii="黑体" w:hAnsi="黑体" w:eastAsia="黑体" w:cs="黑体"/>
          <w:kern w:val="0"/>
          <w:sz w:val="21"/>
          <w:szCs w:val="21"/>
          <w:highlight w:val="none"/>
        </w:rPr>
      </w:pPr>
      <w:bookmarkStart w:id="149" w:name="_Toc14807"/>
      <w:bookmarkStart w:id="150" w:name="_Toc30480"/>
      <w:bookmarkStart w:id="151" w:name="_Toc13420"/>
      <w:bookmarkStart w:id="152" w:name="_Toc31898"/>
      <w:bookmarkStart w:id="153" w:name="_Toc18363"/>
      <w:r>
        <w:rPr>
          <w:rFonts w:hint="eastAsia" w:ascii="黑体" w:hAnsi="黑体" w:eastAsia="黑体" w:cs="黑体"/>
          <w:kern w:val="0"/>
          <w:sz w:val="21"/>
          <w:szCs w:val="21"/>
          <w:highlight w:val="none"/>
        </w:rPr>
        <w:t>1  范围</w:t>
      </w:r>
      <w:bookmarkEnd w:id="149"/>
      <w:bookmarkEnd w:id="150"/>
      <w:bookmarkEnd w:id="151"/>
      <w:bookmarkEnd w:id="152"/>
      <w:bookmarkEnd w:id="153"/>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本</w:t>
      </w:r>
      <w:r>
        <w:rPr>
          <w:rFonts w:hint="eastAsia" w:ascii="Times New Roman" w:hAnsi="Times New Roman" w:eastAsia="宋体" w:cs="Times New Roman"/>
          <w:kern w:val="0"/>
          <w:sz w:val="21"/>
          <w:szCs w:val="21"/>
          <w:highlight w:val="none"/>
        </w:rPr>
        <w:t>方法</w:t>
      </w:r>
      <w:r>
        <w:rPr>
          <w:rFonts w:ascii="Times New Roman" w:hAnsi="Times New Roman" w:eastAsia="宋体" w:cs="Times New Roman"/>
          <w:kern w:val="0"/>
          <w:sz w:val="21"/>
          <w:szCs w:val="21"/>
          <w:highlight w:val="none"/>
        </w:rPr>
        <w:t>规定了化妆品原料免疫毒性的定义</w:t>
      </w:r>
      <w:r>
        <w:rPr>
          <w:rFonts w:hint="eastAsia" w:ascii="Times New Roman" w:hAnsi="Times New Roman" w:eastAsia="宋体" w:cs="Times New Roman"/>
          <w:kern w:val="0"/>
          <w:sz w:val="21"/>
          <w:szCs w:val="21"/>
          <w:highlight w:val="none"/>
        </w:rPr>
        <w:t>、试验</w:t>
      </w:r>
      <w:r>
        <w:rPr>
          <w:rFonts w:ascii="Times New Roman" w:hAnsi="Times New Roman" w:eastAsia="宋体" w:cs="Times New Roman"/>
          <w:kern w:val="0"/>
          <w:sz w:val="21"/>
          <w:szCs w:val="21"/>
          <w:highlight w:val="none"/>
        </w:rPr>
        <w:t>基本原则、要求和方法。</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本方法适用于化妆品原料的免疫毒性检测。</w:t>
      </w:r>
    </w:p>
    <w:p>
      <w:pPr>
        <w:pStyle w:val="4"/>
        <w:spacing w:before="156" w:beforeLines="50" w:after="156" w:afterLines="50" w:line="300" w:lineRule="auto"/>
        <w:ind w:firstLine="0" w:firstLineChars="0"/>
        <w:rPr>
          <w:rFonts w:ascii="黑体" w:hAnsi="黑体" w:eastAsia="黑体" w:cs="黑体"/>
          <w:kern w:val="0"/>
          <w:sz w:val="21"/>
          <w:szCs w:val="21"/>
          <w:highlight w:val="none"/>
        </w:rPr>
      </w:pPr>
      <w:bookmarkStart w:id="154" w:name="_Toc4067"/>
      <w:bookmarkStart w:id="155" w:name="_Toc25175"/>
      <w:bookmarkStart w:id="156" w:name="_Toc4091"/>
      <w:bookmarkStart w:id="157" w:name="_Toc11375"/>
      <w:bookmarkStart w:id="158" w:name="_Toc30795"/>
      <w:r>
        <w:rPr>
          <w:rFonts w:hint="eastAsia" w:ascii="黑体" w:hAnsi="黑体" w:eastAsia="黑体" w:cs="黑体"/>
          <w:kern w:val="0"/>
          <w:sz w:val="21"/>
          <w:szCs w:val="21"/>
          <w:highlight w:val="none"/>
        </w:rPr>
        <w:t>2  试验目的</w:t>
      </w:r>
      <w:bookmarkEnd w:id="154"/>
      <w:bookmarkEnd w:id="155"/>
      <w:bookmarkEnd w:id="156"/>
      <w:bookmarkEnd w:id="157"/>
      <w:bookmarkEnd w:id="158"/>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该</w:t>
      </w:r>
      <w:r>
        <w:rPr>
          <w:rFonts w:hint="eastAsia" w:ascii="Times New Roman" w:hAnsi="Times New Roman" w:eastAsia="宋体" w:cs="Times New Roman"/>
          <w:kern w:val="0"/>
          <w:sz w:val="21"/>
          <w:szCs w:val="21"/>
          <w:highlight w:val="none"/>
        </w:rPr>
        <w:t>测试方法</w:t>
      </w:r>
      <w:r>
        <w:rPr>
          <w:rFonts w:ascii="Times New Roman" w:hAnsi="Times New Roman" w:eastAsia="宋体" w:cs="Times New Roman"/>
          <w:kern w:val="0"/>
          <w:sz w:val="21"/>
          <w:szCs w:val="21"/>
          <w:highlight w:val="none"/>
        </w:rPr>
        <w:t>用于评价化妆品原料与机体接触后所产生的免疫毒性反应的潜在可能性</w:t>
      </w:r>
      <w:r>
        <w:rPr>
          <w:rFonts w:ascii="Times New Roman" w:hAnsi="Times New Roman" w:eastAsia="宋体" w:cs="Times New Roman"/>
          <w:sz w:val="21"/>
          <w:szCs w:val="21"/>
          <w:highlight w:val="none"/>
          <w:lang w:bidi="ar"/>
        </w:rPr>
        <w:t>。</w:t>
      </w:r>
    </w:p>
    <w:p>
      <w:pPr>
        <w:pStyle w:val="4"/>
        <w:spacing w:before="156" w:beforeLines="50" w:after="156" w:afterLines="50" w:line="300" w:lineRule="auto"/>
        <w:ind w:firstLine="0" w:firstLineChars="0"/>
        <w:rPr>
          <w:rFonts w:ascii="黑体" w:hAnsi="黑体" w:eastAsia="黑体" w:cs="黑体"/>
          <w:kern w:val="0"/>
          <w:sz w:val="21"/>
          <w:szCs w:val="21"/>
          <w:highlight w:val="none"/>
        </w:rPr>
      </w:pPr>
      <w:bookmarkStart w:id="159" w:name="_Toc30030"/>
      <w:bookmarkStart w:id="160" w:name="_Toc6744"/>
      <w:bookmarkStart w:id="161" w:name="_Toc25014"/>
      <w:bookmarkStart w:id="162" w:name="_Toc21710"/>
      <w:bookmarkStart w:id="163" w:name="_Toc6515"/>
      <w:r>
        <w:rPr>
          <w:rFonts w:hint="eastAsia" w:ascii="黑体" w:hAnsi="黑体" w:eastAsia="黑体" w:cs="黑体"/>
          <w:kern w:val="0"/>
          <w:sz w:val="21"/>
          <w:szCs w:val="21"/>
          <w:highlight w:val="none"/>
        </w:rPr>
        <w:t>3  定义</w:t>
      </w:r>
      <w:bookmarkEnd w:id="159"/>
      <w:bookmarkEnd w:id="160"/>
      <w:bookmarkEnd w:id="161"/>
      <w:bookmarkEnd w:id="162"/>
      <w:bookmarkEnd w:id="163"/>
    </w:p>
    <w:p>
      <w:pPr>
        <w:pStyle w:val="4"/>
        <w:spacing w:before="156" w:beforeLines="50" w:after="156" w:afterLines="50"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 xml:space="preserve">3.1  </w:t>
      </w:r>
      <w:r>
        <w:rPr>
          <w:rFonts w:ascii="Times New Roman" w:hAnsi="Times New Roman" w:eastAsia="宋体" w:cs="Times New Roman"/>
          <w:kern w:val="0"/>
          <w:sz w:val="21"/>
          <w:szCs w:val="21"/>
          <w:highlight w:val="none"/>
          <w:lang w:val="zh-TW" w:eastAsia="zh-TW"/>
        </w:rPr>
        <w:t>免疫毒性</w:t>
      </w:r>
      <w:r>
        <w:rPr>
          <w:rFonts w:ascii="Times New Roman" w:hAnsi="Times New Roman" w:eastAsia="宋体" w:cs="Times New Roman"/>
          <w:kern w:val="0"/>
          <w:sz w:val="21"/>
          <w:szCs w:val="21"/>
          <w:highlight w:val="none"/>
        </w:rPr>
        <w:t xml:space="preserve">  immunotoxicity</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受试物诱导免疫系统发生功能紊乱或</w:t>
      </w:r>
      <w:r>
        <w:rPr>
          <w:rFonts w:hint="eastAsia" w:ascii="Times New Roman" w:hAnsi="Times New Roman" w:eastAsia="宋体" w:cs="Times New Roman"/>
          <w:kern w:val="0"/>
          <w:sz w:val="21"/>
          <w:szCs w:val="21"/>
          <w:highlight w:val="none"/>
        </w:rPr>
        <w:t>异常</w:t>
      </w:r>
      <w:r>
        <w:rPr>
          <w:rFonts w:ascii="Times New Roman" w:hAnsi="Times New Roman" w:eastAsia="宋体" w:cs="Times New Roman"/>
          <w:kern w:val="0"/>
          <w:sz w:val="21"/>
          <w:szCs w:val="21"/>
          <w:highlight w:val="none"/>
        </w:rPr>
        <w:t>的抑制性或刺激性反应。</w:t>
      </w:r>
    </w:p>
    <w:p>
      <w:pPr>
        <w:pStyle w:val="4"/>
        <w:spacing w:before="156" w:beforeLines="50" w:after="156" w:afterLines="50"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3.2  体液免疫 humoral immunity</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抗原进入机体后，刺激B细胞产生效应B细胞和记忆细胞，进而产生抗体，</w:t>
      </w:r>
      <w:r>
        <w:rPr>
          <w:rFonts w:hint="eastAsia" w:ascii="Times New Roman" w:hAnsi="Times New Roman" w:eastAsia="宋体" w:cs="Times New Roman"/>
          <w:kern w:val="0"/>
          <w:sz w:val="21"/>
          <w:szCs w:val="21"/>
          <w:highlight w:val="none"/>
        </w:rPr>
        <w:t>与</w:t>
      </w:r>
      <w:r>
        <w:rPr>
          <w:rFonts w:ascii="Times New Roman" w:hAnsi="Times New Roman" w:eastAsia="宋体" w:cs="Times New Roman"/>
          <w:kern w:val="0"/>
          <w:sz w:val="21"/>
          <w:szCs w:val="21"/>
          <w:highlight w:val="none"/>
        </w:rPr>
        <w:t>相应的抗原产生免疫反应。</w:t>
      </w:r>
    </w:p>
    <w:p>
      <w:pPr>
        <w:pStyle w:val="4"/>
        <w:spacing w:before="156" w:beforeLines="50" w:after="156" w:afterLines="50"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3.3  细胞免疫 cell-mediated immunity</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又称</w:t>
      </w:r>
      <w:r>
        <w:rPr>
          <w:highlight w:val="none"/>
        </w:rPr>
        <w:fldChar w:fldCharType="begin"/>
      </w:r>
      <w:r>
        <w:rPr>
          <w:highlight w:val="none"/>
        </w:rPr>
        <w:instrText xml:space="preserve"> HYPERLINK "https://baike.so.com/doc/4138585-4338245.html" \t "https://baike.so.com/doc/_blank" </w:instrText>
      </w:r>
      <w:r>
        <w:rPr>
          <w:highlight w:val="none"/>
        </w:rPr>
        <w:fldChar w:fldCharType="separate"/>
      </w:r>
      <w:r>
        <w:rPr>
          <w:rFonts w:ascii="Times New Roman" w:hAnsi="Times New Roman" w:eastAsia="宋体" w:cs="Times New Roman"/>
          <w:kern w:val="0"/>
          <w:sz w:val="21"/>
          <w:szCs w:val="21"/>
          <w:highlight w:val="none"/>
        </w:rPr>
        <w:t>细胞介导免疫</w:t>
      </w:r>
      <w:r>
        <w:rPr>
          <w:rFonts w:ascii="Times New Roman" w:hAnsi="Times New Roman" w:eastAsia="宋体" w:cs="Times New Roman"/>
          <w:kern w:val="0"/>
          <w:sz w:val="21"/>
          <w:szCs w:val="21"/>
          <w:highlight w:val="none"/>
        </w:rPr>
        <w:fldChar w:fldCharType="end"/>
      </w:r>
      <w:r>
        <w:rPr>
          <w:rFonts w:ascii="Times New Roman" w:hAnsi="Times New Roman" w:eastAsia="宋体" w:cs="Times New Roman"/>
          <w:kern w:val="0"/>
          <w:sz w:val="21"/>
          <w:szCs w:val="21"/>
          <w:highlight w:val="none"/>
        </w:rPr>
        <w:t>。狭义的细胞免疫仅指T细胞介导的免疫应答，即T细胞受到抗原刺激后，分化、增殖、转化为</w:t>
      </w:r>
      <w:r>
        <w:rPr>
          <w:highlight w:val="none"/>
        </w:rPr>
        <w:fldChar w:fldCharType="begin"/>
      </w:r>
      <w:r>
        <w:rPr>
          <w:highlight w:val="none"/>
        </w:rPr>
        <w:instrText xml:space="preserve"> HYPERLINK "https://baike.so.com/doc/250884-265563.html" \t "https://baike.so.com/doc/_blank" </w:instrText>
      </w:r>
      <w:r>
        <w:rPr>
          <w:highlight w:val="none"/>
        </w:rPr>
        <w:fldChar w:fldCharType="separate"/>
      </w:r>
      <w:r>
        <w:rPr>
          <w:rFonts w:ascii="Times New Roman" w:hAnsi="Times New Roman" w:eastAsia="宋体" w:cs="Times New Roman"/>
          <w:kern w:val="0"/>
          <w:sz w:val="21"/>
          <w:szCs w:val="21"/>
          <w:highlight w:val="none"/>
        </w:rPr>
        <w:t>致敏T细胞</w:t>
      </w:r>
      <w:r>
        <w:rPr>
          <w:rFonts w:ascii="Times New Roman" w:hAnsi="Times New Roman" w:eastAsia="宋体" w:cs="Times New Roman"/>
          <w:kern w:val="0"/>
          <w:sz w:val="21"/>
          <w:szCs w:val="21"/>
          <w:highlight w:val="none"/>
        </w:rPr>
        <w:fldChar w:fldCharType="end"/>
      </w:r>
      <w:r>
        <w:rPr>
          <w:rFonts w:ascii="Times New Roman" w:hAnsi="Times New Roman" w:eastAsia="宋体" w:cs="Times New Roman"/>
          <w:kern w:val="0"/>
          <w:sz w:val="21"/>
          <w:szCs w:val="21"/>
          <w:highlight w:val="none"/>
        </w:rPr>
        <w:t>，对抗原的直接杀伤作用及致敏T细胞所释放的</w:t>
      </w:r>
      <w:r>
        <w:rPr>
          <w:highlight w:val="none"/>
        </w:rPr>
        <w:fldChar w:fldCharType="begin"/>
      </w:r>
      <w:r>
        <w:rPr>
          <w:highlight w:val="none"/>
        </w:rPr>
        <w:instrText xml:space="preserve"> HYPERLINK "https://baike.so.com/doc/3747104-3936644.html" \t "https://baike.so.com/doc/_blank" </w:instrText>
      </w:r>
      <w:r>
        <w:rPr>
          <w:highlight w:val="none"/>
        </w:rPr>
        <w:fldChar w:fldCharType="separate"/>
      </w:r>
      <w:r>
        <w:rPr>
          <w:rFonts w:ascii="Times New Roman" w:hAnsi="Times New Roman" w:eastAsia="宋体" w:cs="Times New Roman"/>
          <w:kern w:val="0"/>
          <w:sz w:val="21"/>
          <w:szCs w:val="21"/>
          <w:highlight w:val="none"/>
        </w:rPr>
        <w:t>细胞因子</w:t>
      </w:r>
      <w:r>
        <w:rPr>
          <w:rFonts w:ascii="Times New Roman" w:hAnsi="Times New Roman" w:eastAsia="宋体" w:cs="Times New Roman"/>
          <w:kern w:val="0"/>
          <w:sz w:val="21"/>
          <w:szCs w:val="21"/>
          <w:highlight w:val="none"/>
        </w:rPr>
        <w:fldChar w:fldCharType="end"/>
      </w:r>
      <w:r>
        <w:rPr>
          <w:rFonts w:ascii="Times New Roman" w:hAnsi="Times New Roman" w:eastAsia="宋体" w:cs="Times New Roman"/>
          <w:kern w:val="0"/>
          <w:sz w:val="21"/>
          <w:szCs w:val="21"/>
          <w:highlight w:val="none"/>
        </w:rPr>
        <w:t>的协同杀伤作用。T细胞介导的免疫应答的特征是出现以</w:t>
      </w:r>
      <w:r>
        <w:rPr>
          <w:highlight w:val="none"/>
        </w:rPr>
        <w:fldChar w:fldCharType="begin"/>
      </w:r>
      <w:r>
        <w:rPr>
          <w:highlight w:val="none"/>
        </w:rPr>
        <w:instrText xml:space="preserve"> HYPERLINK "https://baike.so.com/doc/906452-958079.html" \t "https://baike.so.com/doc/_blank" </w:instrText>
      </w:r>
      <w:r>
        <w:rPr>
          <w:highlight w:val="none"/>
        </w:rPr>
        <w:fldChar w:fldCharType="separate"/>
      </w:r>
      <w:r>
        <w:rPr>
          <w:rFonts w:ascii="Times New Roman" w:hAnsi="Times New Roman" w:eastAsia="宋体" w:cs="Times New Roman"/>
          <w:kern w:val="0"/>
          <w:sz w:val="21"/>
          <w:szCs w:val="21"/>
          <w:highlight w:val="none"/>
        </w:rPr>
        <w:t>单核细胞</w:t>
      </w:r>
      <w:r>
        <w:rPr>
          <w:rFonts w:ascii="Times New Roman" w:hAnsi="Times New Roman" w:eastAsia="宋体" w:cs="Times New Roman"/>
          <w:kern w:val="0"/>
          <w:sz w:val="21"/>
          <w:szCs w:val="21"/>
          <w:highlight w:val="none"/>
        </w:rPr>
        <w:fldChar w:fldCharType="end"/>
      </w:r>
      <w:r>
        <w:rPr>
          <w:rFonts w:ascii="Times New Roman" w:hAnsi="Times New Roman" w:eastAsia="宋体" w:cs="Times New Roman"/>
          <w:kern w:val="0"/>
          <w:sz w:val="21"/>
          <w:szCs w:val="21"/>
          <w:highlight w:val="none"/>
        </w:rPr>
        <w:t>浸润为主的炎症反应和/或特异性的细胞毒性。广义的细胞免疫还包括原始的吞噬作用以及NK细胞介导的细胞毒作用。</w:t>
      </w:r>
    </w:p>
    <w:p>
      <w:pPr>
        <w:pStyle w:val="4"/>
        <w:spacing w:before="156" w:beforeLines="50" w:after="156" w:afterLines="50" w:line="300" w:lineRule="auto"/>
        <w:ind w:firstLine="0" w:firstLineChars="0"/>
        <w:rPr>
          <w:rFonts w:ascii="黑体" w:hAnsi="黑体" w:eastAsia="黑体" w:cs="黑体"/>
          <w:kern w:val="0"/>
          <w:sz w:val="21"/>
          <w:szCs w:val="21"/>
          <w:highlight w:val="none"/>
        </w:rPr>
      </w:pPr>
      <w:bookmarkStart w:id="164" w:name="_Toc927"/>
      <w:bookmarkStart w:id="165" w:name="_Toc23587"/>
      <w:bookmarkStart w:id="166" w:name="_Toc16381"/>
      <w:bookmarkStart w:id="167" w:name="_Toc29238"/>
      <w:bookmarkStart w:id="168" w:name="_Toc12913"/>
      <w:r>
        <w:rPr>
          <w:rFonts w:hint="eastAsia" w:ascii="黑体" w:hAnsi="黑体" w:eastAsia="黑体" w:cs="黑体"/>
          <w:kern w:val="0"/>
          <w:sz w:val="21"/>
          <w:szCs w:val="21"/>
          <w:highlight w:val="none"/>
        </w:rPr>
        <w:t>4  试验的基本原则</w:t>
      </w:r>
      <w:bookmarkEnd w:id="164"/>
      <w:bookmarkEnd w:id="165"/>
      <w:bookmarkEnd w:id="166"/>
      <w:bookmarkEnd w:id="167"/>
      <w:bookmarkEnd w:id="168"/>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本</w:t>
      </w:r>
      <w:r>
        <w:rPr>
          <w:rFonts w:hint="eastAsia" w:ascii="Times New Roman" w:hAnsi="Times New Roman" w:eastAsia="宋体" w:cs="Times New Roman"/>
          <w:kern w:val="0"/>
          <w:sz w:val="21"/>
          <w:szCs w:val="21"/>
          <w:highlight w:val="none"/>
        </w:rPr>
        <w:t>方法</w:t>
      </w:r>
      <w:r>
        <w:rPr>
          <w:rFonts w:ascii="Times New Roman" w:hAnsi="Times New Roman" w:eastAsia="宋体" w:cs="Times New Roman"/>
          <w:kern w:val="0"/>
          <w:sz w:val="21"/>
          <w:szCs w:val="21"/>
          <w:highlight w:val="none"/>
        </w:rPr>
        <w:t>中的免疫毒性试验，可以评价受试物是否改变或损伤免疫系统的机能状态。评价指标包括：免疫组织、免疫器官的重量及细胞结构；临床血液生化分析；血液学检查；体液免疫功能；细胞免疫功能。不同组的动物给予不同剂量的受试物至少30 d，每天对动物进行观察，记录所出现的任何临床毒性表现。染毒结束后，处死动物，对上述的评价指标进行检测或分析；其中有些试验中需要用抗原将动物致敏。</w:t>
      </w:r>
    </w:p>
    <w:p>
      <w:pPr>
        <w:pStyle w:val="4"/>
        <w:spacing w:before="156" w:beforeLines="50" w:after="156" w:afterLines="50" w:line="300" w:lineRule="auto"/>
        <w:ind w:firstLine="0" w:firstLineChars="0"/>
        <w:rPr>
          <w:rFonts w:ascii="黑体" w:hAnsi="黑体" w:eastAsia="黑体" w:cs="黑体"/>
          <w:kern w:val="0"/>
          <w:sz w:val="21"/>
          <w:szCs w:val="21"/>
          <w:highlight w:val="none"/>
        </w:rPr>
      </w:pPr>
      <w:bookmarkStart w:id="169" w:name="_Toc29214"/>
      <w:bookmarkStart w:id="170" w:name="_Toc27061"/>
      <w:bookmarkStart w:id="171" w:name="_Toc4402"/>
      <w:bookmarkStart w:id="172" w:name="_Toc26804"/>
      <w:bookmarkStart w:id="173" w:name="_Toc20872"/>
      <w:r>
        <w:rPr>
          <w:rFonts w:hint="eastAsia" w:ascii="黑体" w:hAnsi="黑体" w:eastAsia="黑体" w:cs="黑体"/>
          <w:kern w:val="0"/>
          <w:sz w:val="21"/>
          <w:szCs w:val="21"/>
          <w:highlight w:val="none"/>
        </w:rPr>
        <w:t>5  试验方法</w:t>
      </w:r>
      <w:bookmarkEnd w:id="169"/>
      <w:bookmarkEnd w:id="170"/>
      <w:bookmarkEnd w:id="171"/>
      <w:bookmarkEnd w:id="172"/>
      <w:bookmarkEnd w:id="173"/>
    </w:p>
    <w:p>
      <w:pPr>
        <w:pStyle w:val="4"/>
        <w:spacing w:before="156" w:beforeLines="50" w:after="156" w:afterLines="50"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5.1  实验动物及饲养环境</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5.1.1动物种系的选择</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选用健康啮齿类动物，首选小鼠或大鼠，并使用常用的动物品系。如果使用其他种属的动物则应说明理由。</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5.1.2动物的性别和数量</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各组的每个观察指标测定时至少应包含10只动物</w:t>
      </w:r>
      <w:r>
        <w:rPr>
          <w:rFonts w:hint="eastAsia" w:ascii="Times New Roman" w:hAnsi="Times New Roman" w:eastAsia="宋体" w:cs="Times New Roman"/>
          <w:kern w:val="0"/>
          <w:sz w:val="21"/>
          <w:szCs w:val="21"/>
          <w:highlight w:val="none"/>
        </w:rPr>
        <w:t>（雌雄各5只）</w:t>
      </w:r>
      <w:r>
        <w:rPr>
          <w:rFonts w:ascii="Times New Roman" w:hAnsi="Times New Roman" w:eastAsia="宋体" w:cs="Times New Roman"/>
          <w:kern w:val="0"/>
          <w:sz w:val="21"/>
          <w:szCs w:val="21"/>
          <w:highlight w:val="none"/>
        </w:rPr>
        <w:t>。若计划在试验过程中处死动物，则应增加计划处死的动物数。此外，</w:t>
      </w:r>
      <w:r>
        <w:rPr>
          <w:rFonts w:hint="eastAsia" w:ascii="Times New Roman" w:hAnsi="Times New Roman" w:eastAsia="宋体" w:cs="Times New Roman"/>
          <w:kern w:val="0"/>
          <w:sz w:val="21"/>
          <w:szCs w:val="21"/>
          <w:highlight w:val="none"/>
        </w:rPr>
        <w:t>对照组和</w:t>
      </w:r>
      <w:r>
        <w:rPr>
          <w:rFonts w:ascii="Times New Roman" w:hAnsi="Times New Roman" w:eastAsia="宋体" w:cs="Times New Roman"/>
          <w:kern w:val="0"/>
          <w:sz w:val="21"/>
          <w:szCs w:val="21"/>
          <w:highlight w:val="none"/>
        </w:rPr>
        <w:t>高剂量组应设立附加组，</w:t>
      </w:r>
      <w:r>
        <w:rPr>
          <w:rFonts w:hint="eastAsia" w:ascii="Times New Roman" w:hAnsi="Times New Roman" w:eastAsia="宋体" w:cs="Times New Roman"/>
          <w:kern w:val="0"/>
          <w:sz w:val="21"/>
          <w:szCs w:val="21"/>
          <w:highlight w:val="none"/>
        </w:rPr>
        <w:t>每组</w:t>
      </w:r>
      <w:r>
        <w:rPr>
          <w:rFonts w:ascii="Times New Roman" w:hAnsi="Times New Roman" w:eastAsia="宋体" w:cs="Times New Roman"/>
          <w:kern w:val="0"/>
          <w:sz w:val="21"/>
          <w:szCs w:val="21"/>
          <w:highlight w:val="none"/>
        </w:rPr>
        <w:t>至少包含</w:t>
      </w:r>
      <w:r>
        <w:rPr>
          <w:rFonts w:hint="eastAsia" w:ascii="Times New Roman" w:hAnsi="Times New Roman" w:eastAsia="宋体" w:cs="Times New Roman"/>
          <w:kern w:val="0"/>
          <w:sz w:val="21"/>
          <w:szCs w:val="21"/>
          <w:highlight w:val="none"/>
        </w:rPr>
        <w:t>1</w:t>
      </w:r>
      <w:r>
        <w:rPr>
          <w:rFonts w:ascii="Times New Roman" w:hAnsi="Times New Roman" w:eastAsia="宋体" w:cs="Times New Roman"/>
          <w:kern w:val="0"/>
          <w:sz w:val="21"/>
          <w:szCs w:val="21"/>
          <w:highlight w:val="none"/>
        </w:rPr>
        <w:t>0只动物</w:t>
      </w:r>
      <w:r>
        <w:rPr>
          <w:rFonts w:hint="eastAsia" w:ascii="Times New Roman" w:hAnsi="Times New Roman" w:eastAsia="宋体" w:cs="Times New Roman"/>
          <w:kern w:val="0"/>
          <w:sz w:val="21"/>
          <w:szCs w:val="21"/>
          <w:highlight w:val="none"/>
        </w:rPr>
        <w:t>（雌雄各5只）</w:t>
      </w:r>
      <w:r>
        <w:rPr>
          <w:rFonts w:ascii="Times New Roman" w:hAnsi="Times New Roman" w:eastAsia="宋体" w:cs="Times New Roman"/>
          <w:kern w:val="0"/>
          <w:sz w:val="21"/>
          <w:szCs w:val="21"/>
          <w:highlight w:val="none"/>
        </w:rPr>
        <w:t>，染毒结束后继续观察一段时间（</w:t>
      </w:r>
      <w:r>
        <w:rPr>
          <w:rFonts w:hint="eastAsia" w:ascii="Times New Roman" w:hAnsi="Times New Roman" w:eastAsia="宋体" w:cs="Times New Roman"/>
          <w:kern w:val="0"/>
          <w:sz w:val="21"/>
          <w:szCs w:val="21"/>
          <w:highlight w:val="none"/>
        </w:rPr>
        <w:t>30</w:t>
      </w:r>
      <w:r>
        <w:rPr>
          <w:rFonts w:ascii="Times New Roman" w:hAnsi="Times New Roman" w:eastAsia="宋体" w:cs="Times New Roman"/>
          <w:kern w:val="0"/>
          <w:sz w:val="21"/>
          <w:szCs w:val="21"/>
          <w:highlight w:val="none"/>
        </w:rPr>
        <w:t>d），以评价免疫毒性作用是否可以恢复、是否持续存在、是否具有迟发性等情况。</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动物在实验室中至少适应3天，6周~8周龄时开始实验，试验时每一性别的动物体重不应超过平均体重的</w:t>
      </w:r>
      <w:r>
        <w:rPr>
          <w:rFonts w:hint="eastAsia" w:ascii="Times New Roman" w:hAnsi="Times New Roman" w:eastAsia="宋体" w:cs="Times New Roman"/>
          <w:kern w:val="0"/>
          <w:sz w:val="21"/>
          <w:szCs w:val="21"/>
          <w:highlight w:val="none"/>
        </w:rPr>
        <w:t>±</w:t>
      </w:r>
      <w:r>
        <w:rPr>
          <w:rFonts w:ascii="Times New Roman" w:hAnsi="Times New Roman" w:eastAsia="宋体" w:cs="Times New Roman"/>
          <w:kern w:val="0"/>
          <w:sz w:val="21"/>
          <w:szCs w:val="21"/>
          <w:highlight w:val="none"/>
        </w:rPr>
        <w:t>20%。如果已知受试物对其中一种性别的动物更敏感，则应使用这种性别的动物。雌性动物应未产、未孕。</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5.1.3 饲养环境</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实验动物室应符合国家相应规定。选用标准配合饲料，不限制饮水</w:t>
      </w:r>
      <w:r>
        <w:rPr>
          <w:rFonts w:hint="eastAsia" w:ascii="Times New Roman" w:hAnsi="Times New Roman" w:eastAsia="宋体" w:cs="Times New Roman"/>
          <w:kern w:val="0"/>
          <w:sz w:val="21"/>
          <w:szCs w:val="21"/>
          <w:highlight w:val="none"/>
        </w:rPr>
        <w:t>量</w:t>
      </w:r>
      <w:r>
        <w:rPr>
          <w:rFonts w:ascii="Times New Roman" w:hAnsi="Times New Roman" w:eastAsia="宋体" w:cs="Times New Roman"/>
          <w:kern w:val="0"/>
          <w:sz w:val="21"/>
          <w:szCs w:val="21"/>
          <w:highlight w:val="none"/>
        </w:rPr>
        <w:t>。</w:t>
      </w:r>
    </w:p>
    <w:p>
      <w:pPr>
        <w:pStyle w:val="4"/>
        <w:spacing w:before="156" w:beforeLines="50" w:after="156" w:afterLines="50"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5.2受试物</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5.2.1 受试物配制：固体受试物应溶解或悬浮于适合的溶剂中，使用前稀释至适当浓度；液体受试物可以直接加入试验系统和/或用前稀释至适当浓度。受试物应在使用前新鲜配制，否则须确认贮存不影响其稳定性。</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5.2.2 剂量设置</w:t>
      </w:r>
    </w:p>
    <w:p>
      <w:pPr>
        <w:pStyle w:val="4"/>
        <w:spacing w:line="300" w:lineRule="auto"/>
        <w:ind w:firstLine="420"/>
        <w:rPr>
          <w:rFonts w:ascii="Times New Roman" w:hAnsi="Times New Roman" w:eastAsia="宋体" w:cs="Times New Roman"/>
          <w:kern w:val="0"/>
          <w:sz w:val="21"/>
          <w:szCs w:val="21"/>
          <w:highlight w:val="none"/>
        </w:rPr>
      </w:pPr>
      <w:r>
        <w:rPr>
          <w:rFonts w:hint="eastAsia" w:ascii="宋体" w:hAnsi="宋体" w:eastAsia="宋体" w:cs="宋体"/>
          <w:color w:val="000000"/>
          <w:kern w:val="0"/>
          <w:sz w:val="21"/>
          <w:szCs w:val="21"/>
          <w:highlight w:val="none"/>
          <w:lang w:bidi="ar"/>
        </w:rPr>
        <w:t>对于免疫毒性试验，</w:t>
      </w:r>
      <w:r>
        <w:rPr>
          <w:rFonts w:ascii="Times New Roman" w:hAnsi="Times New Roman" w:eastAsia="宋体" w:cs="Times New Roman"/>
          <w:kern w:val="0"/>
          <w:sz w:val="21"/>
          <w:szCs w:val="21"/>
          <w:highlight w:val="none"/>
        </w:rPr>
        <w:t>常常期望得到受试物剂量反应关系和无免疫毒性作用的剂量水平</w:t>
      </w:r>
      <w:r>
        <w:rPr>
          <w:rFonts w:hint="eastAsia" w:ascii="Times New Roman" w:hAnsi="Times New Roman" w:eastAsia="宋体" w:cs="Times New Roman"/>
          <w:kern w:val="0"/>
          <w:sz w:val="21"/>
          <w:szCs w:val="21"/>
          <w:highlight w:val="none"/>
        </w:rPr>
        <w:t>。因此，</w:t>
      </w:r>
      <w:r>
        <w:rPr>
          <w:rFonts w:hint="eastAsia" w:ascii="宋体" w:hAnsi="宋体" w:eastAsia="宋体" w:cs="宋体"/>
          <w:color w:val="000000"/>
          <w:kern w:val="0"/>
          <w:sz w:val="21"/>
          <w:szCs w:val="21"/>
          <w:highlight w:val="none"/>
          <w:lang w:bidi="ar"/>
        </w:rPr>
        <w:t>试验时至少要设3个剂量组。</w:t>
      </w:r>
      <w:r>
        <w:rPr>
          <w:rFonts w:ascii="Times New Roman" w:hAnsi="Times New Roman" w:eastAsia="宋体" w:cs="Times New Roman"/>
          <w:kern w:val="0"/>
          <w:sz w:val="21"/>
          <w:szCs w:val="21"/>
          <w:highlight w:val="none"/>
        </w:rPr>
        <w:t>高剂量应不使动物产生明显的应激、营养不良或死亡；但最好可使动物产生一些可测量的一般中毒表现。低剂量最好不使动物产生任何免疫毒性作用。</w:t>
      </w:r>
    </w:p>
    <w:p>
      <w:pPr>
        <w:pStyle w:val="4"/>
        <w:spacing w:before="156" w:beforeLines="50" w:after="156" w:afterLines="50"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5.3对照</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5.3.1阴性对照：在每项试验中，应设立溶剂对照组，而且溶剂对照组中还应另外包含一些动物，用于评价免疫毒性的可恢复性、持续性以及迟发性</w:t>
      </w:r>
      <w:r>
        <w:rPr>
          <w:rFonts w:hint="eastAsia" w:ascii="Times New Roman" w:hAnsi="Times New Roman" w:eastAsia="宋体" w:cs="Times New Roman"/>
          <w:kern w:val="0"/>
          <w:sz w:val="21"/>
          <w:szCs w:val="21"/>
          <w:highlight w:val="none"/>
        </w:rPr>
        <w:t>时作为对照</w:t>
      </w:r>
      <w:r>
        <w:rPr>
          <w:rFonts w:ascii="Times New Roman" w:hAnsi="Times New Roman" w:eastAsia="宋体" w:cs="Times New Roman"/>
          <w:kern w:val="0"/>
          <w:sz w:val="21"/>
          <w:szCs w:val="21"/>
          <w:highlight w:val="none"/>
        </w:rPr>
        <w:t>。溶剂免疫毒性未知时，</w:t>
      </w:r>
      <w:r>
        <w:rPr>
          <w:rFonts w:hint="eastAsia" w:ascii="Times New Roman" w:hAnsi="Times New Roman" w:eastAsia="宋体" w:cs="Times New Roman"/>
          <w:kern w:val="0"/>
          <w:sz w:val="21"/>
          <w:szCs w:val="21"/>
          <w:highlight w:val="none"/>
        </w:rPr>
        <w:t>还</w:t>
      </w:r>
      <w:r>
        <w:rPr>
          <w:rFonts w:ascii="Times New Roman" w:hAnsi="Times New Roman" w:eastAsia="宋体" w:cs="Times New Roman"/>
          <w:kern w:val="0"/>
          <w:sz w:val="21"/>
          <w:szCs w:val="21"/>
          <w:highlight w:val="none"/>
        </w:rPr>
        <w:t>应设立一个不作任何染毒的空白对照组。</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5.3.2阳性对照：为了说明方法的敏感性，应使用已知的免疫抑制剂(如环磷酰胺)作为阳性对照</w:t>
      </w:r>
      <w:r>
        <w:rPr>
          <w:rFonts w:hint="eastAsia" w:ascii="Times New Roman" w:hAnsi="Times New Roman" w:eastAsia="宋体" w:cs="Times New Roman"/>
          <w:kern w:val="0"/>
          <w:sz w:val="21"/>
          <w:szCs w:val="21"/>
          <w:highlight w:val="none"/>
        </w:rPr>
        <w:t>物</w:t>
      </w:r>
      <w:r>
        <w:rPr>
          <w:rFonts w:ascii="Times New Roman" w:hAnsi="Times New Roman" w:eastAsia="宋体" w:cs="Times New Roman"/>
          <w:kern w:val="0"/>
          <w:sz w:val="21"/>
          <w:szCs w:val="21"/>
          <w:highlight w:val="none"/>
        </w:rPr>
        <w:t>，每个观察指标至少需要</w:t>
      </w:r>
      <w:r>
        <w:rPr>
          <w:rFonts w:hint="eastAsia" w:ascii="Times New Roman" w:hAnsi="Times New Roman" w:eastAsia="宋体" w:cs="Times New Roman"/>
          <w:kern w:val="0"/>
          <w:sz w:val="21"/>
          <w:szCs w:val="21"/>
          <w:highlight w:val="none"/>
        </w:rPr>
        <w:t>10</w:t>
      </w:r>
      <w:r>
        <w:rPr>
          <w:rFonts w:ascii="Times New Roman" w:hAnsi="Times New Roman" w:eastAsia="宋体" w:cs="Times New Roman"/>
          <w:kern w:val="0"/>
          <w:sz w:val="21"/>
          <w:szCs w:val="21"/>
          <w:highlight w:val="none"/>
        </w:rPr>
        <w:t>只动物。</w:t>
      </w:r>
    </w:p>
    <w:p>
      <w:pPr>
        <w:pStyle w:val="4"/>
        <w:spacing w:before="156" w:beforeLines="50" w:after="156" w:afterLines="50"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5.4 染毒方式</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受试物或溶剂经口和/或经皮和/或经</w:t>
      </w:r>
      <w:r>
        <w:rPr>
          <w:rFonts w:hint="eastAsia" w:ascii="Times New Roman" w:hAnsi="Times New Roman" w:eastAsia="宋体" w:cs="Times New Roman"/>
          <w:kern w:val="0"/>
          <w:sz w:val="21"/>
          <w:szCs w:val="21"/>
          <w:highlight w:val="none"/>
        </w:rPr>
        <w:t>吸入</w:t>
      </w:r>
      <w:r>
        <w:rPr>
          <w:rFonts w:ascii="Times New Roman" w:hAnsi="Times New Roman" w:eastAsia="宋体" w:cs="Times New Roman"/>
          <w:kern w:val="0"/>
          <w:sz w:val="21"/>
          <w:szCs w:val="21"/>
          <w:highlight w:val="none"/>
        </w:rPr>
        <w:t>染毒至少30 d</w:t>
      </w:r>
      <w:r>
        <w:rPr>
          <w:rFonts w:hint="eastAsia" w:ascii="Times New Roman" w:hAnsi="Times New Roman" w:eastAsia="宋体" w:cs="Times New Roman"/>
          <w:kern w:val="0"/>
          <w:sz w:val="21"/>
          <w:szCs w:val="21"/>
          <w:highlight w:val="none"/>
        </w:rPr>
        <w:t>，</w:t>
      </w:r>
      <w:r>
        <w:rPr>
          <w:rFonts w:ascii="Times New Roman" w:hAnsi="Times New Roman" w:eastAsia="宋体" w:cs="Times New Roman"/>
          <w:kern w:val="0"/>
          <w:sz w:val="21"/>
          <w:szCs w:val="21"/>
          <w:highlight w:val="none"/>
        </w:rPr>
        <w:t>具体的染毒途径应与90 d</w:t>
      </w:r>
      <w:r>
        <w:rPr>
          <w:rFonts w:hint="eastAsia" w:ascii="Times New Roman" w:hAnsi="Times New Roman" w:eastAsia="宋体" w:cs="Times New Roman"/>
          <w:kern w:val="0"/>
          <w:sz w:val="21"/>
          <w:szCs w:val="21"/>
          <w:highlight w:val="none"/>
        </w:rPr>
        <w:t>重复剂量</w:t>
      </w:r>
      <w:r>
        <w:rPr>
          <w:rFonts w:ascii="Times New Roman" w:hAnsi="Times New Roman" w:eastAsia="宋体" w:cs="Times New Roman"/>
          <w:kern w:val="0"/>
          <w:sz w:val="21"/>
          <w:szCs w:val="21"/>
          <w:highlight w:val="none"/>
        </w:rPr>
        <w:t>毒性试验的染毒途径一致。</w:t>
      </w:r>
    </w:p>
    <w:p>
      <w:pPr>
        <w:pStyle w:val="4"/>
        <w:spacing w:before="156" w:beforeLines="50" w:after="156" w:afterLines="50"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5.5动物观察</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观察期限至少为30 d。附加组动物在停止染毒受试物后至少再观察30 d，以观察免疫毒性作用是否恢复、是否持续存在、是否具有迟发性。每天对动物至少进行1次细致的临床观察，记录中毒症状的出现时间、严重程度及其持续时间。观察应包括如下方面但并不仅限于此:皮、毛;眼、黏膜；呼吸系统；自主性和中枢神经系统；循环系统；肢体运动功能；行为特征；抗感染能力等。</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每周测量1次动物的摄食量和饮水量。动物染毒前称体重，之后每周1次，处死前再次称体重。</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任何</w:t>
      </w:r>
      <w:r>
        <w:rPr>
          <w:rFonts w:hint="eastAsia" w:ascii="Times New Roman" w:hAnsi="Times New Roman" w:eastAsia="宋体" w:cs="Times New Roman"/>
          <w:kern w:val="0"/>
          <w:sz w:val="21"/>
          <w:szCs w:val="21"/>
          <w:highlight w:val="none"/>
        </w:rPr>
        <w:t>濒死</w:t>
      </w:r>
      <w:r>
        <w:rPr>
          <w:rFonts w:ascii="Times New Roman" w:hAnsi="Times New Roman" w:eastAsia="宋体" w:cs="Times New Roman"/>
          <w:kern w:val="0"/>
          <w:sz w:val="21"/>
          <w:szCs w:val="21"/>
          <w:highlight w:val="none"/>
        </w:rPr>
        <w:t>动物一被发现就应与其他动物分开并被安乐死。对试验过程中的任何濒死的或死亡的动物都应进行大体解剖。</w:t>
      </w:r>
    </w:p>
    <w:p>
      <w:pPr>
        <w:pStyle w:val="4"/>
        <w:spacing w:before="156" w:beforeLines="50" w:after="156" w:afterLines="50"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 xml:space="preserve">5.6 </w:t>
      </w:r>
      <w:r>
        <w:rPr>
          <w:rFonts w:hint="eastAsia" w:ascii="Times New Roman" w:hAnsi="Times New Roman" w:eastAsia="宋体" w:cs="Times New Roman"/>
          <w:kern w:val="0"/>
          <w:sz w:val="21"/>
          <w:szCs w:val="21"/>
          <w:highlight w:val="none"/>
        </w:rPr>
        <w:t>免疫毒性相关检查</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试验结束后，各剂量组和对照组各取10只动物进行临床检查。动物处死前应隔夜禁食。</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5.6.1血液</w:t>
      </w:r>
      <w:r>
        <w:rPr>
          <w:rFonts w:hint="eastAsia" w:ascii="Times New Roman" w:hAnsi="Times New Roman" w:eastAsia="宋体" w:cs="Times New Roman"/>
          <w:kern w:val="0"/>
          <w:sz w:val="21"/>
          <w:szCs w:val="21"/>
          <w:highlight w:val="none"/>
        </w:rPr>
        <w:t>学</w:t>
      </w:r>
      <w:r>
        <w:rPr>
          <w:rFonts w:ascii="Times New Roman" w:hAnsi="Times New Roman" w:eastAsia="宋体" w:cs="Times New Roman"/>
          <w:kern w:val="0"/>
          <w:sz w:val="21"/>
          <w:szCs w:val="21"/>
          <w:highlight w:val="none"/>
        </w:rPr>
        <w:t>检查</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在试验结束后检测指标包括：白细胞总数及分类计数等。</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5.6.2血液生化检查</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检测指标可包括：球蛋白</w:t>
      </w:r>
      <w:r>
        <w:rPr>
          <w:rFonts w:hint="eastAsia" w:ascii="Times New Roman" w:hAnsi="Times New Roman" w:eastAsia="宋体" w:cs="Times New Roman"/>
          <w:kern w:val="0"/>
          <w:sz w:val="21"/>
          <w:szCs w:val="21"/>
          <w:highlight w:val="none"/>
        </w:rPr>
        <w:t>、</w:t>
      </w:r>
      <w:r>
        <w:rPr>
          <w:rFonts w:ascii="Times New Roman" w:hAnsi="Times New Roman" w:eastAsia="宋体" w:cs="Times New Roman"/>
          <w:kern w:val="0"/>
          <w:sz w:val="21"/>
          <w:szCs w:val="21"/>
          <w:highlight w:val="none"/>
        </w:rPr>
        <w:t>白蛋白/球蛋白比值</w:t>
      </w:r>
      <w:r>
        <w:rPr>
          <w:rFonts w:hint="eastAsia" w:ascii="Times New Roman" w:hAnsi="Times New Roman" w:eastAsia="宋体" w:cs="Times New Roman"/>
          <w:kern w:val="0"/>
          <w:sz w:val="21"/>
          <w:szCs w:val="21"/>
          <w:highlight w:val="none"/>
        </w:rPr>
        <w:t>及免疫球蛋白分类（IgG、IgM、IgA和IgE）水平测定</w:t>
      </w:r>
      <w:r>
        <w:rPr>
          <w:rFonts w:ascii="Times New Roman" w:hAnsi="Times New Roman" w:eastAsia="宋体" w:cs="Times New Roman"/>
          <w:kern w:val="0"/>
          <w:sz w:val="21"/>
          <w:szCs w:val="21"/>
          <w:highlight w:val="none"/>
        </w:rPr>
        <w:t>等，需要时可进行其他的临床生化分析。</w:t>
      </w:r>
    </w:p>
    <w:p>
      <w:pPr>
        <w:pStyle w:val="4"/>
        <w:spacing w:before="156" w:beforeLines="50" w:after="156" w:afterLines="50"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w:t>
      </w:r>
      <w:r>
        <w:rPr>
          <w:rFonts w:hint="eastAsia" w:ascii="Times New Roman" w:hAnsi="Times New Roman" w:eastAsia="宋体" w:cs="Times New Roman"/>
          <w:kern w:val="0"/>
          <w:sz w:val="21"/>
          <w:szCs w:val="21"/>
          <w:highlight w:val="none"/>
        </w:rPr>
        <w:t>6.3</w:t>
      </w:r>
      <w:r>
        <w:rPr>
          <w:rFonts w:ascii="Times New Roman" w:hAnsi="Times New Roman" w:eastAsia="宋体" w:cs="Times New Roman"/>
          <w:kern w:val="0"/>
          <w:sz w:val="21"/>
          <w:szCs w:val="21"/>
          <w:highlight w:val="none"/>
        </w:rPr>
        <w:t>大体解剖及组织病理学检查</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所有动物都应进行大体解剖，包括：测量体重、胸腺</w:t>
      </w:r>
      <w:r>
        <w:rPr>
          <w:rFonts w:hint="eastAsia" w:ascii="Times New Roman" w:hAnsi="Times New Roman" w:eastAsia="宋体" w:cs="Times New Roman"/>
          <w:kern w:val="0"/>
          <w:sz w:val="21"/>
          <w:szCs w:val="21"/>
          <w:highlight w:val="none"/>
        </w:rPr>
        <w:t>、</w:t>
      </w:r>
      <w:r>
        <w:rPr>
          <w:rFonts w:ascii="Times New Roman" w:hAnsi="Times New Roman" w:eastAsia="宋体" w:cs="Times New Roman"/>
          <w:kern w:val="0"/>
          <w:sz w:val="21"/>
          <w:szCs w:val="21"/>
          <w:highlight w:val="none"/>
        </w:rPr>
        <w:t>脾脏的湿重（取出后应尽快称量以免脏器干燥），必要时可选淋巴结。</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各剂量组和对照组各取10只动物，取下列组织器官以及病变器官，用适当的固定液进行固定保存，用于组织病理学检查。这些组织器官包括：胸腺、脾脏、骨髓(股骨、胸骨或肋软骨部位的骨髓)、有代表性的淋巴结(黏膜附近的淋巴结或周围淋巴结)、所有肉眼可见的损伤。</w:t>
      </w:r>
    </w:p>
    <w:p>
      <w:pPr>
        <w:pStyle w:val="4"/>
        <w:spacing w:before="156" w:beforeLines="50" w:after="156" w:afterLines="50"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w:t>
      </w:r>
      <w:r>
        <w:rPr>
          <w:rFonts w:hint="eastAsia" w:ascii="Times New Roman" w:hAnsi="Times New Roman" w:eastAsia="宋体" w:cs="Times New Roman"/>
          <w:kern w:val="0"/>
          <w:sz w:val="21"/>
          <w:szCs w:val="21"/>
          <w:highlight w:val="none"/>
        </w:rPr>
        <w:t>7</w:t>
      </w:r>
      <w:r>
        <w:rPr>
          <w:rFonts w:ascii="Times New Roman" w:hAnsi="Times New Roman" w:eastAsia="宋体" w:cs="Times New Roman"/>
          <w:kern w:val="0"/>
          <w:sz w:val="21"/>
          <w:szCs w:val="21"/>
          <w:highlight w:val="none"/>
        </w:rPr>
        <w:t>免疫毒性试验</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w:t>
      </w:r>
      <w:r>
        <w:rPr>
          <w:rFonts w:hint="eastAsia" w:ascii="Times New Roman" w:hAnsi="Times New Roman" w:eastAsia="宋体" w:cs="Times New Roman"/>
          <w:kern w:val="0"/>
          <w:sz w:val="21"/>
          <w:szCs w:val="21"/>
          <w:highlight w:val="none"/>
        </w:rPr>
        <w:t>7</w:t>
      </w:r>
      <w:r>
        <w:rPr>
          <w:rFonts w:ascii="Times New Roman" w:hAnsi="Times New Roman" w:eastAsia="宋体" w:cs="Times New Roman"/>
          <w:kern w:val="0"/>
          <w:sz w:val="21"/>
          <w:szCs w:val="21"/>
          <w:highlight w:val="none"/>
        </w:rPr>
        <w:t>.1体液免疫试验</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首先用抗原免疫动物，然后采用抗体形成细胞试验(也称溶血空斑试验)方法或酶联免疫吸附（ELISA）检测抗体滴度的方法评价受试物对体液免疫的影响</w:t>
      </w:r>
      <w:r>
        <w:rPr>
          <w:rFonts w:hint="eastAsia" w:ascii="Times New Roman" w:hAnsi="Times New Roman" w:eastAsia="宋体" w:cs="Times New Roman"/>
          <w:kern w:val="0"/>
          <w:sz w:val="21"/>
          <w:szCs w:val="21"/>
          <w:highlight w:val="none"/>
        </w:rPr>
        <w:t>，</w:t>
      </w:r>
      <w:r>
        <w:rPr>
          <w:rFonts w:ascii="Times New Roman" w:hAnsi="Times New Roman" w:eastAsia="宋体" w:cs="Times New Roman"/>
          <w:kern w:val="0"/>
          <w:sz w:val="21"/>
          <w:szCs w:val="21"/>
          <w:highlight w:val="none"/>
        </w:rPr>
        <w:t>应采用</w:t>
      </w:r>
      <w:r>
        <w:rPr>
          <w:rFonts w:hint="eastAsia" w:ascii="Times New Roman" w:hAnsi="Times New Roman" w:eastAsia="宋体" w:cs="Times New Roman"/>
          <w:kern w:val="0"/>
          <w:sz w:val="21"/>
          <w:szCs w:val="21"/>
          <w:highlight w:val="none"/>
        </w:rPr>
        <w:t>两</w:t>
      </w:r>
      <w:r>
        <w:rPr>
          <w:rFonts w:ascii="Times New Roman" w:hAnsi="Times New Roman" w:eastAsia="宋体" w:cs="Times New Roman"/>
          <w:kern w:val="0"/>
          <w:sz w:val="21"/>
          <w:szCs w:val="21"/>
          <w:highlight w:val="none"/>
        </w:rPr>
        <w:t>种方法中的一种进行试验。</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w:t>
      </w:r>
      <w:r>
        <w:rPr>
          <w:rFonts w:hint="eastAsia" w:ascii="Times New Roman" w:hAnsi="Times New Roman" w:eastAsia="宋体" w:cs="Times New Roman"/>
          <w:kern w:val="0"/>
          <w:sz w:val="21"/>
          <w:szCs w:val="21"/>
          <w:highlight w:val="none"/>
        </w:rPr>
        <w:t>7</w:t>
      </w:r>
      <w:r>
        <w:rPr>
          <w:rFonts w:ascii="Times New Roman" w:hAnsi="Times New Roman" w:eastAsia="宋体" w:cs="Times New Roman"/>
          <w:kern w:val="0"/>
          <w:sz w:val="21"/>
          <w:szCs w:val="21"/>
          <w:highlight w:val="none"/>
        </w:rPr>
        <w:t>.1.1 抗体形成细胞试验</w:t>
      </w:r>
      <w:r>
        <w:rPr>
          <w:rFonts w:hint="eastAsia" w:ascii="Times New Roman" w:hAnsi="Times New Roman" w:eastAsia="宋体" w:cs="Times New Roman"/>
          <w:kern w:val="0"/>
          <w:sz w:val="21"/>
          <w:szCs w:val="21"/>
          <w:highlight w:val="none"/>
        </w:rPr>
        <w:t>（Antibody Plague Forming Cell，PFC）</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抗体形成细胞试验通过计数脾脏中特异性抗体生成细胞的数量来反映抗体的产量，可用于检测染毒受试物30d对脾脏内产生抗体的细胞的毒性作用。试验时，应对如下因素进行考虑：</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（1）于染毒的第26天经静脉注射T细胞依赖性抗原绵羊红细胞(Sheep Red Blood Cells，SRBCs)；应对各种种属和品系的动物在注射抗原后测定PFC的最佳时间作出评价。</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（2）测定每批补体的活性。</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（3）引用某种方法时应对方法进行整体引用，对方法所做的任何修改应予以说明并能证明其合法性和合理性。</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（4）为了验证试验方法的敏感性，应设立经免疫抑制剂(如环磷酰胺)染毒的阳性对照组。</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（5）使用双盲法进行PFC计数。</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（6）测定脾细胞的活性。</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w:t>
      </w:r>
      <w:r>
        <w:rPr>
          <w:rFonts w:hint="eastAsia" w:ascii="Times New Roman" w:hAnsi="Times New Roman" w:eastAsia="宋体" w:cs="Times New Roman"/>
          <w:kern w:val="0"/>
          <w:sz w:val="21"/>
          <w:szCs w:val="21"/>
          <w:highlight w:val="none"/>
        </w:rPr>
        <w:t>7</w:t>
      </w:r>
      <w:r>
        <w:rPr>
          <w:rFonts w:ascii="Times New Roman" w:hAnsi="Times New Roman" w:eastAsia="宋体" w:cs="Times New Roman"/>
          <w:kern w:val="0"/>
          <w:sz w:val="21"/>
          <w:szCs w:val="21"/>
          <w:highlight w:val="none"/>
        </w:rPr>
        <w:t>.1.2 免疫球蛋白定量测定</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该试验评价受试物是否影响抗体对抗原的反应性。在染毒结束前4d~5d，用适当的胸腺依赖性抗原免疫动物后，经过适当的时间再次用抗原免疫动物，然后测定每只动物血清中IgG和IgM的滴度。测定抗体滴度的时间点应足够多，以便对染毒组和对照组动物的初级抗体反应和次级抗体反应进行比较。测定抗体时受试物的染毒时间至少为30 d。试验时，应考虑：测定血清中IgG和IgM滴度的方法应足够敏感以便测得每只动物的IgG和IgM滴度。ELISA方被认为是一种灵敏、可靠、重复性好的方法。</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w:t>
      </w:r>
      <w:r>
        <w:rPr>
          <w:rFonts w:hint="eastAsia" w:ascii="Times New Roman" w:hAnsi="Times New Roman" w:eastAsia="宋体" w:cs="Times New Roman"/>
          <w:kern w:val="0"/>
          <w:sz w:val="21"/>
          <w:szCs w:val="21"/>
          <w:highlight w:val="none"/>
        </w:rPr>
        <w:t>7</w:t>
      </w:r>
      <w:r>
        <w:rPr>
          <w:rFonts w:ascii="Times New Roman" w:hAnsi="Times New Roman" w:eastAsia="宋体" w:cs="Times New Roman"/>
          <w:kern w:val="0"/>
          <w:sz w:val="21"/>
          <w:szCs w:val="21"/>
          <w:highlight w:val="none"/>
        </w:rPr>
        <w:t>.2特异性细胞免疫试验</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为了评价染毒受试物30 d对特异性细胞免疫反应的影响，应采用下列三种方法中的一种进行试验。</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w:t>
      </w:r>
      <w:r>
        <w:rPr>
          <w:rFonts w:hint="eastAsia" w:ascii="Times New Roman" w:hAnsi="Times New Roman" w:eastAsia="宋体" w:cs="Times New Roman"/>
          <w:kern w:val="0"/>
          <w:sz w:val="21"/>
          <w:szCs w:val="21"/>
          <w:highlight w:val="none"/>
        </w:rPr>
        <w:t>7</w:t>
      </w:r>
      <w:r>
        <w:rPr>
          <w:rFonts w:ascii="Times New Roman" w:hAnsi="Times New Roman" w:eastAsia="宋体" w:cs="Times New Roman"/>
          <w:kern w:val="0"/>
          <w:sz w:val="21"/>
          <w:szCs w:val="21"/>
          <w:highlight w:val="none"/>
        </w:rPr>
        <w:t>.2. 1淋巴细胞增殖试验</w:t>
      </w:r>
      <w:r>
        <w:rPr>
          <w:rFonts w:hint="eastAsia" w:ascii="Times New Roman" w:hAnsi="Times New Roman" w:eastAsia="宋体" w:cs="Times New Roman"/>
          <w:kern w:val="0"/>
          <w:sz w:val="21"/>
          <w:szCs w:val="21"/>
          <w:highlight w:val="none"/>
        </w:rPr>
        <w:t>（lymphocytes multiplication test）</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该方法可以证明染毒受试物30 d对同种异品系淋巴细胞刺激引起的淋巴细胞增殖能力的影响。首选通过测量放射性标记物（一般为3H-胸腺嘧啶，简称3H-TdR）掺入DNA的量来说明淋巴细胞的增殖，也可采用BrdU-ELISA</w:t>
      </w:r>
      <w:r>
        <w:rPr>
          <w:rFonts w:hint="eastAsia" w:ascii="Times New Roman" w:hAnsi="Times New Roman" w:eastAsia="宋体" w:cs="Times New Roman"/>
          <w:kern w:val="0"/>
          <w:sz w:val="21"/>
          <w:szCs w:val="21"/>
          <w:highlight w:val="none"/>
        </w:rPr>
        <w:t>/</w:t>
      </w:r>
      <w:r>
        <w:rPr>
          <w:rFonts w:ascii="Times New Roman" w:hAnsi="Times New Roman" w:eastAsia="宋体" w:cs="Times New Roman"/>
          <w:kern w:val="0"/>
          <w:sz w:val="21"/>
          <w:szCs w:val="21"/>
          <w:highlight w:val="none"/>
        </w:rPr>
        <w:t>FCM</w:t>
      </w:r>
      <w:r>
        <w:rPr>
          <w:rFonts w:hint="eastAsia" w:ascii="Times New Roman" w:hAnsi="Times New Roman" w:eastAsia="宋体" w:cs="Times New Roman"/>
          <w:kern w:val="0"/>
          <w:sz w:val="21"/>
          <w:szCs w:val="21"/>
          <w:highlight w:val="none"/>
        </w:rPr>
        <w:t>、</w:t>
      </w:r>
      <w:r>
        <w:rPr>
          <w:rFonts w:ascii="Times New Roman" w:hAnsi="Times New Roman" w:eastAsia="宋体" w:cs="Times New Roman"/>
          <w:kern w:val="0"/>
          <w:sz w:val="21"/>
          <w:szCs w:val="21"/>
          <w:highlight w:val="none"/>
        </w:rPr>
        <w:t>MTT法等方法。采用3H-TdR掺入试验时，应对如下因素进行考虑：</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（1）应答细胞来自对照组和染毒组动物的脾细胞，在无菌条件下制备脾细胞。应答细胞的DNA合成没有采取阻断处理；</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（2）刺激细胞来自未经染毒的同种异品系动物的脾细胞，在无菌条件下制备脾细胞。刺激细胞的DNA合成用丝裂霉素或X线处理进行阻断；</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（3）测定应答细胞和刺激细胞的活力；</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（4）应设3份或4份对照，用于证明收获细胞的效益保证刺激细胞的非反应性、测定DNA合成的基础水平；</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（5）对空白对照和溶剂对照同时进行测定；</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（6）用每个培养皿中掺</w:t>
      </w:r>
      <w:r>
        <w:rPr>
          <w:rFonts w:hint="eastAsia" w:ascii="Times New Roman" w:hAnsi="Times New Roman" w:eastAsia="宋体" w:cs="Times New Roman"/>
          <w:kern w:val="0"/>
          <w:sz w:val="21"/>
          <w:szCs w:val="21"/>
          <w:highlight w:val="none"/>
        </w:rPr>
        <w:t>入</w:t>
      </w:r>
      <w:r>
        <w:rPr>
          <w:rFonts w:ascii="Times New Roman" w:hAnsi="Times New Roman" w:eastAsia="宋体" w:cs="Times New Roman"/>
          <w:kern w:val="0"/>
          <w:sz w:val="21"/>
          <w:szCs w:val="21"/>
          <w:highlight w:val="none"/>
        </w:rPr>
        <w:t>应答细胞的放射性标记物的量来表示脾细胞的增殖程度，表示为每分钟居里数（curie per minute，CPM）。要计算净CPM(nCPM)，即，应答细胞被刺激细胞刺激后掺入的CPM均值减去未经刺激的脾细胞掺入CPM的均值。染毒组与对照组差异的百分比表示为：[1-(染毒组nCPM/对照组nCPM]；</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（7）不同的淋巴细胞增殖试验存在许多不同，应说明所引用的试验方法及详细的试验步骤，说明主要试剂的来源，最好也说明这些试剂的纯度；</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（8）为了证明方法的灵敏性，应设立阳性对照组，用已知的免疫抑制剂进行染毒。</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 xml:space="preserve">5. </w:t>
      </w:r>
      <w:r>
        <w:rPr>
          <w:rFonts w:hint="eastAsia" w:ascii="Times New Roman" w:hAnsi="Times New Roman" w:eastAsia="宋体" w:cs="Times New Roman"/>
          <w:kern w:val="0"/>
          <w:sz w:val="21"/>
          <w:szCs w:val="21"/>
          <w:highlight w:val="none"/>
        </w:rPr>
        <w:t>7</w:t>
      </w:r>
      <w:r>
        <w:rPr>
          <w:rFonts w:ascii="Times New Roman" w:hAnsi="Times New Roman" w:eastAsia="宋体" w:cs="Times New Roman"/>
          <w:kern w:val="0"/>
          <w:sz w:val="21"/>
          <w:szCs w:val="21"/>
          <w:highlight w:val="none"/>
        </w:rPr>
        <w:t>.2.2迟发型过敏（Delayed -type Hypersensitivity，DTH）反应</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该方法是一种检测受试物对实验动物诱导性DTH影响的体内方法。一般来说，动物被胸腺依赖性抗原致敏，之后用相同的抗原进行激发，激发后24 h~48 h，比较染毒组和对照组DTH反应的差异。开展该试验时，应对如下因素进行考虑：</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（1）DTH检测方法有数种，如Buehler 试验（BT）等。应选用灵敏度高、可重复性好、并适用于所选用实验动物品系的方法；不同的方法中下列参数也可能不同，如致敏及激发动物所用抗原的性质，免疫性注射的次数及途径，免疫激发的时间，同位素的使用等。试验时选用的这些参数及其他相关的参数应可以使所选用的实验动物产生足够的DTH反应；</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（2）测定DTH反应前，应对动物染毒至少30 d。</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 xml:space="preserve">5. </w:t>
      </w:r>
      <w:r>
        <w:rPr>
          <w:rFonts w:hint="eastAsia" w:ascii="Times New Roman" w:hAnsi="Times New Roman" w:eastAsia="宋体" w:cs="Times New Roman"/>
          <w:kern w:val="0"/>
          <w:sz w:val="21"/>
          <w:szCs w:val="21"/>
          <w:highlight w:val="none"/>
        </w:rPr>
        <w:t>7</w:t>
      </w:r>
      <w:r>
        <w:rPr>
          <w:rFonts w:ascii="Times New Roman" w:hAnsi="Times New Roman" w:eastAsia="宋体" w:cs="Times New Roman"/>
          <w:kern w:val="0"/>
          <w:sz w:val="21"/>
          <w:szCs w:val="21"/>
          <w:highlight w:val="none"/>
        </w:rPr>
        <w:t>.2.3细胞毒性T淋巴细胞(Cytotoxic T-lymphocyte，CTL)检测</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该方法用于证明染毒受试物30d对CTL生成的影响。常取动物脾淋巴细胞进行细胞毒性T淋巴细胞实验，检测采用放射法或流式细胞术。放射法使用同种异品系肿瘤抗原对CTL进行诱导(体内或体外诱导)，然后，来自染毒组和对照组动物的脾细胞与</w:t>
      </w:r>
      <w:r>
        <w:rPr>
          <w:rFonts w:ascii="Times New Roman" w:hAnsi="Times New Roman" w:eastAsia="宋体" w:cs="Times New Roman"/>
          <w:kern w:val="0"/>
          <w:sz w:val="21"/>
          <w:szCs w:val="21"/>
          <w:highlight w:val="none"/>
          <w:vertAlign w:val="superscript"/>
        </w:rPr>
        <w:t>51</w:t>
      </w:r>
      <w:r>
        <w:rPr>
          <w:rFonts w:ascii="Times New Roman" w:hAnsi="Times New Roman" w:eastAsia="宋体" w:cs="Times New Roman"/>
          <w:kern w:val="0"/>
          <w:sz w:val="21"/>
          <w:szCs w:val="21"/>
          <w:highlight w:val="none"/>
        </w:rPr>
        <w:t>Cr标记的同种异品系肿瘤细胞共孵育，4h后，肿瘤细胞所释放的放射性标记物的量可以说明T淋巴细胞溶解肿瘤细胞的能力。试验时，应对如下因素进行考虑：</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（1）应设立对照组来测定效应细胞不存在时靶细胞释放的放射性标记物的本底量和放射性标记物的总的释放量；</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（2）应可以证明试验中所选用的动物可产生CTLs，所选用的试验方法应适合于诱导动物CTL的生成；</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（3）CTL检测有数种不同的方法，引用某一种方法时应做到完全引用，对方法进行修改时应予以说明，合适的情况下应说明主要试剂的来源、活性和/或纯度。</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 xml:space="preserve">5. </w:t>
      </w:r>
      <w:r>
        <w:rPr>
          <w:rFonts w:hint="eastAsia" w:ascii="Times New Roman" w:hAnsi="Times New Roman" w:eastAsia="宋体" w:cs="Times New Roman"/>
          <w:kern w:val="0"/>
          <w:sz w:val="21"/>
          <w:szCs w:val="21"/>
          <w:highlight w:val="none"/>
        </w:rPr>
        <w:t>7</w:t>
      </w:r>
      <w:r>
        <w:rPr>
          <w:rFonts w:ascii="Times New Roman" w:hAnsi="Times New Roman" w:eastAsia="宋体" w:cs="Times New Roman"/>
          <w:kern w:val="0"/>
          <w:sz w:val="21"/>
          <w:szCs w:val="21"/>
          <w:highlight w:val="none"/>
        </w:rPr>
        <w:t>.3非特异性细胞免疫反应</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通过测定NK细胞的功能、巨噬细胞数及其吞噬作用可以评价染毒30 d受试物对非特异性细胞免疫的影响。</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5.</w:t>
      </w:r>
      <w:r>
        <w:rPr>
          <w:rFonts w:hint="eastAsia" w:ascii="Times New Roman" w:hAnsi="Times New Roman" w:eastAsia="宋体" w:cs="Times New Roman"/>
          <w:kern w:val="0"/>
          <w:sz w:val="21"/>
          <w:szCs w:val="21"/>
          <w:highlight w:val="none"/>
        </w:rPr>
        <w:t>7</w:t>
      </w:r>
      <w:r>
        <w:rPr>
          <w:rFonts w:ascii="Times New Roman" w:hAnsi="Times New Roman" w:eastAsia="宋体" w:cs="Times New Roman"/>
          <w:kern w:val="0"/>
          <w:sz w:val="21"/>
          <w:szCs w:val="21"/>
          <w:highlight w:val="none"/>
        </w:rPr>
        <w:t>.3.1 NK细胞的活性(natural killer cell activity)</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建议采用Reynolds和Herberman的微量培养法来检测染毒30 d受试物对NK细胞活性的影响，也可采用LDH释放法等其他适合的方法。微量培养法是将染毒组和未染毒组动物的脾细胞与</w:t>
      </w:r>
      <w:r>
        <w:rPr>
          <w:rFonts w:ascii="Times New Roman" w:hAnsi="Times New Roman" w:eastAsia="宋体" w:cs="Times New Roman"/>
          <w:kern w:val="0"/>
          <w:sz w:val="21"/>
          <w:szCs w:val="21"/>
          <w:highlight w:val="none"/>
          <w:vertAlign w:val="superscript"/>
        </w:rPr>
        <w:t>51</w:t>
      </w:r>
      <w:r>
        <w:rPr>
          <w:rFonts w:ascii="Times New Roman" w:hAnsi="Times New Roman" w:eastAsia="宋体" w:cs="Times New Roman"/>
          <w:kern w:val="0"/>
          <w:sz w:val="21"/>
          <w:szCs w:val="21"/>
          <w:highlight w:val="none"/>
        </w:rPr>
        <w:t>Cr标记的YAC-1淋巴瘤细胞共培养。靶细胞与效应细胞共培养4h后，靶细胞中释放的放射性标记物的量可用于表示NK细胞杀伤肿瘤细胞的能力。开展该试验时，应对如下因素进行考虑：</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（1）应设立几个对照以说明在没有效应细胞存在时，靶细胞释放放射性标记物的本底量以及放射性标记物总的释放量；</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（2）试验使用除YAC-1淋巴瘤细胞之外的靶细胞也许是合适的。任何情况下都应测定靶细胞的存活力；</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3）也许需要对方法的某些步骤进行修改，但是，引用某种方法时应对方法进行整体引用，对方法所做的任何修改都应予以说明并能证明其合法性和合理性；应说明主要试剂的来源，最好也能说明这些试剂的活性或纯度。</w:t>
      </w:r>
    </w:p>
    <w:p>
      <w:pPr>
        <w:pStyle w:val="4"/>
        <w:spacing w:line="300" w:lineRule="auto"/>
        <w:ind w:firstLine="0" w:firstLineChars="0"/>
        <w:rPr>
          <w:rFonts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（4）</w:t>
      </w:r>
      <w:r>
        <w:rPr>
          <w:rFonts w:ascii="Times New Roman" w:hAnsi="Times New Roman" w:eastAsia="宋体" w:cs="Times New Roman"/>
          <w:kern w:val="0"/>
          <w:sz w:val="21"/>
          <w:szCs w:val="21"/>
          <w:highlight w:val="none"/>
        </w:rPr>
        <w:t>NK细胞的活性</w:t>
      </w:r>
      <w:r>
        <w:rPr>
          <w:rFonts w:hint="eastAsia" w:ascii="Times New Roman" w:hAnsi="Times New Roman" w:eastAsia="宋体" w:cs="Times New Roman"/>
          <w:kern w:val="0"/>
          <w:sz w:val="21"/>
          <w:szCs w:val="21"/>
          <w:highlight w:val="none"/>
        </w:rPr>
        <w:t xml:space="preserve">可与90天重复剂量毒性试验一起进行，在染毒90天后检测。 </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 xml:space="preserve">5. </w:t>
      </w:r>
      <w:r>
        <w:rPr>
          <w:rFonts w:hint="eastAsia" w:ascii="Times New Roman" w:hAnsi="Times New Roman" w:eastAsia="宋体" w:cs="Times New Roman"/>
          <w:kern w:val="0"/>
          <w:sz w:val="21"/>
          <w:szCs w:val="21"/>
          <w:highlight w:val="none"/>
        </w:rPr>
        <w:t>7</w:t>
      </w:r>
      <w:r>
        <w:rPr>
          <w:rFonts w:ascii="Times New Roman" w:hAnsi="Times New Roman" w:eastAsia="宋体" w:cs="Times New Roman"/>
          <w:kern w:val="0"/>
          <w:sz w:val="21"/>
          <w:szCs w:val="21"/>
          <w:highlight w:val="none"/>
        </w:rPr>
        <w:t>.3.2巨噬细胞检测</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该试验可以评价染毒30 d受试物对巨噬细胞数及其吞噬功能的影响。应对如下方面进行检测：</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（1）试验中应计数腹腔细胞的总数及分类计数；</w:t>
      </w:r>
    </w:p>
    <w:p>
      <w:pPr>
        <w:pStyle w:val="4"/>
        <w:spacing w:line="30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（2）评价在有或没有促进因子(如，γ-干扰素或细菌脂多糖)存在的情况下腹腔细胞对外源性物质(如，鸡红细胞、荧光微球等)的吞噬作用。</w:t>
      </w:r>
    </w:p>
    <w:p>
      <w:pPr>
        <w:pStyle w:val="4"/>
        <w:spacing w:line="360" w:lineRule="auto"/>
        <w:ind w:firstLine="0" w:firstLineChars="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3）有数种不同的巨噬细胞检测方法，如鸡红细胞吞噬法、巨噬细胞溶酶体酶测定、巨噬细胞表面受体检测、流式细胞法等，因此，应对所选用的方法进行描述并说明方法引证的来源；如果对所选用的方法作了一些修改，则应说明修改的合理和合法性。</w:t>
      </w:r>
    </w:p>
    <w:p>
      <w:pPr>
        <w:pStyle w:val="4"/>
        <w:spacing w:line="360" w:lineRule="auto"/>
        <w:ind w:firstLine="0" w:firstLineChars="0"/>
        <w:rPr>
          <w:rFonts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5.7.4 淋巴细胞亚群测定</w:t>
      </w:r>
    </w:p>
    <w:p>
      <w:pPr>
        <w:pStyle w:val="4"/>
        <w:spacing w:line="300" w:lineRule="auto"/>
        <w:ind w:firstLine="420"/>
        <w:rPr>
          <w:rFonts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淋巴细胞亚群测定试验属于免疫表型分析，目的是对淋巴细胞亚型进行鉴定和计数，通常采用流式细胞术。</w:t>
      </w:r>
      <w:r>
        <w:rPr>
          <w:rFonts w:ascii="Times New Roman" w:hAnsi="Times New Roman" w:eastAsia="宋体" w:cs="Times New Roman"/>
          <w:kern w:val="0"/>
          <w:sz w:val="21"/>
          <w:szCs w:val="21"/>
          <w:highlight w:val="none"/>
        </w:rPr>
        <w:t>应对如下方面进行检测：</w:t>
      </w:r>
    </w:p>
    <w:p>
      <w:pPr>
        <w:pStyle w:val="4"/>
        <w:numPr>
          <w:ilvl w:val="0"/>
          <w:numId w:val="3"/>
        </w:numPr>
        <w:spacing w:line="360" w:lineRule="auto"/>
        <w:ind w:firstLine="0" w:firstLineChars="0"/>
        <w:rPr>
          <w:rFonts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对全血、外周血或从淋巴组织分离的免疫细胞如T淋巴细胞、B淋巴细胞等进行计数；</w:t>
      </w:r>
    </w:p>
    <w:p>
      <w:pPr>
        <w:pStyle w:val="4"/>
        <w:numPr>
          <w:ilvl w:val="0"/>
          <w:numId w:val="3"/>
        </w:numPr>
        <w:spacing w:line="360" w:lineRule="auto"/>
        <w:ind w:firstLine="0" w:firstLineChars="0"/>
        <w:rPr>
          <w:rFonts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检测免疫细胞表面标志物的改变，评估CD4+和CD8+ T淋巴细胞或其它亚群的数量及比值。</w:t>
      </w:r>
    </w:p>
    <w:p>
      <w:pPr>
        <w:pStyle w:val="4"/>
        <w:numPr>
          <w:ilvl w:val="0"/>
          <w:numId w:val="3"/>
        </w:numPr>
        <w:spacing w:line="360" w:lineRule="auto"/>
        <w:ind w:firstLine="0" w:firstLineChars="0"/>
        <w:rPr>
          <w:rFonts w:ascii="Times New Roman" w:hAnsi="Times New Roman" w:eastAsia="宋体" w:cs="Times New Roman"/>
          <w:kern w:val="0"/>
          <w:sz w:val="21"/>
          <w:szCs w:val="21"/>
          <w:highlight w:val="none"/>
        </w:rPr>
      </w:pPr>
      <w:r>
        <w:rPr>
          <w:rFonts w:hint="eastAsia" w:ascii="Times New Roman" w:hAnsi="Times New Roman" w:eastAsia="宋体" w:cs="Times New Roman"/>
          <w:kern w:val="0"/>
          <w:sz w:val="21"/>
          <w:szCs w:val="21"/>
          <w:highlight w:val="none"/>
        </w:rPr>
        <w:t>淋巴细胞亚群测定可结合90天重复剂量毒性试验一起进行，可设计不同的检测时间点监测其动态变化。</w:t>
      </w:r>
    </w:p>
    <w:p>
      <w:pPr>
        <w:pStyle w:val="4"/>
        <w:spacing w:before="156" w:beforeLines="50" w:after="156" w:afterLines="50" w:line="300" w:lineRule="auto"/>
        <w:ind w:firstLine="0" w:firstLineChars="0"/>
        <w:rPr>
          <w:rFonts w:ascii="黑体" w:hAnsi="黑体" w:eastAsia="黑体" w:cs="黑体"/>
          <w:kern w:val="0"/>
          <w:sz w:val="21"/>
          <w:szCs w:val="21"/>
          <w:highlight w:val="none"/>
        </w:rPr>
      </w:pPr>
      <w:r>
        <w:rPr>
          <w:rFonts w:hint="eastAsia" w:ascii="黑体" w:hAnsi="黑体" w:eastAsia="黑体" w:cs="黑体"/>
          <w:kern w:val="0"/>
          <w:sz w:val="21"/>
          <w:szCs w:val="21"/>
          <w:highlight w:val="none"/>
        </w:rPr>
        <w:t xml:space="preserve">6 结果评价 </w:t>
      </w:r>
    </w:p>
    <w:p>
      <w:pPr>
        <w:pStyle w:val="4"/>
        <w:spacing w:before="156" w:beforeLines="50" w:after="156" w:afterLines="50" w:line="300" w:lineRule="auto"/>
        <w:ind w:firstLine="0" w:firstLineChars="0"/>
        <w:rPr>
          <w:rFonts w:ascii="Times New Roman" w:hAnsi="Times New Roman" w:eastAsia="宋体" w:cs="Times New Roman"/>
          <w:kern w:val="0"/>
          <w:sz w:val="21"/>
          <w:szCs w:val="21"/>
          <w:highlight w:val="none"/>
          <w:lang w:bidi="ar"/>
        </w:rPr>
      </w:pPr>
      <w:r>
        <w:rPr>
          <w:rFonts w:ascii="Times New Roman" w:hAnsi="Times New Roman" w:eastAsia="宋体" w:cs="Times New Roman"/>
          <w:kern w:val="0"/>
          <w:sz w:val="21"/>
          <w:szCs w:val="21"/>
          <w:highlight w:val="none"/>
          <w:lang w:bidi="ar"/>
        </w:rPr>
        <w:t xml:space="preserve">6.1 结果的处理 </w:t>
      </w:r>
    </w:p>
    <w:p>
      <w:pPr>
        <w:pStyle w:val="4"/>
        <w:spacing w:line="300" w:lineRule="auto"/>
        <w:ind w:firstLine="420"/>
        <w:rPr>
          <w:rFonts w:ascii="Times New Roman" w:hAnsi="Times New Roman" w:eastAsia="宋体" w:cs="Times New Roman"/>
          <w:kern w:val="0"/>
          <w:sz w:val="21"/>
          <w:szCs w:val="21"/>
          <w:highlight w:val="none"/>
          <w:lang w:bidi="ar"/>
        </w:rPr>
      </w:pPr>
      <w:r>
        <w:rPr>
          <w:rFonts w:ascii="Times New Roman" w:hAnsi="Times New Roman" w:eastAsia="宋体" w:cs="Times New Roman"/>
          <w:kern w:val="0"/>
          <w:sz w:val="21"/>
          <w:szCs w:val="21"/>
          <w:highlight w:val="none"/>
          <w:lang w:bidi="ar"/>
        </w:rPr>
        <w:t xml:space="preserve">可通过表格形式总结试验结果，显示试验开始时各组动物数、出现免疫毒性反应的动物数、免疫毒性损伤的类型和每种损伤的动物百分比。对所有数据应采用适当的统计学方法进行评价，统计学方法应在试验设计时确定。 </w:t>
      </w:r>
    </w:p>
    <w:p>
      <w:pPr>
        <w:pStyle w:val="4"/>
        <w:spacing w:before="156" w:beforeLines="50" w:after="156" w:afterLines="50" w:line="300" w:lineRule="auto"/>
        <w:ind w:firstLine="0" w:firstLineChars="0"/>
        <w:rPr>
          <w:rFonts w:ascii="Times New Roman" w:hAnsi="Times New Roman" w:eastAsia="宋体" w:cs="Times New Roman"/>
          <w:kern w:val="0"/>
          <w:sz w:val="21"/>
          <w:szCs w:val="21"/>
          <w:highlight w:val="none"/>
          <w:lang w:bidi="ar"/>
        </w:rPr>
      </w:pPr>
      <w:r>
        <w:rPr>
          <w:rFonts w:ascii="Times New Roman" w:hAnsi="Times New Roman" w:eastAsia="宋体" w:cs="Times New Roman"/>
          <w:kern w:val="0"/>
          <w:sz w:val="21"/>
          <w:szCs w:val="21"/>
          <w:highlight w:val="none"/>
          <w:lang w:bidi="ar"/>
        </w:rPr>
        <w:t xml:space="preserve">6.2 试验结果的评价 </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lang w:bidi="ar"/>
        </w:rPr>
        <w:t>免疫毒性试验结果应结合前期试验结果，如血液学、血清免疫球蛋白含量、免疫器官重量、组织病理学(胸腺、脾、</w:t>
      </w:r>
      <w:r>
        <w:rPr>
          <w:rFonts w:hint="eastAsia" w:ascii="Times New Roman" w:hAnsi="Times New Roman" w:eastAsia="宋体" w:cs="Times New Roman"/>
          <w:kern w:val="0"/>
          <w:sz w:val="21"/>
          <w:szCs w:val="21"/>
          <w:highlight w:val="none"/>
          <w:lang w:bidi="ar"/>
        </w:rPr>
        <w:t>肾上腺、</w:t>
      </w:r>
      <w:r>
        <w:rPr>
          <w:rFonts w:ascii="Times New Roman" w:hAnsi="Times New Roman" w:eastAsia="宋体" w:cs="Times New Roman"/>
          <w:kern w:val="0"/>
          <w:sz w:val="21"/>
          <w:szCs w:val="21"/>
          <w:highlight w:val="none"/>
          <w:lang w:bidi="ar"/>
        </w:rPr>
        <w:t>淋巴结)等，并考虑到免疫毒性效应指标结果进行综合评价。</w:t>
      </w:r>
      <w:r>
        <w:rPr>
          <w:rFonts w:ascii="Times New Roman" w:hAnsi="Times New Roman" w:eastAsia="宋体" w:cs="Times New Roman"/>
          <w:kern w:val="0"/>
          <w:sz w:val="21"/>
          <w:szCs w:val="21"/>
          <w:highlight w:val="none"/>
        </w:rPr>
        <w:t>根据所观察到的各种免疫毒性反应出现的时间、持续时间及严重程度等，分析各种反应在不同剂量时的发生率、严重程度。对观察结果进行归纳分析，判断每种反应的剂量-反应及</w:t>
      </w:r>
      <w:r>
        <w:rPr>
          <w:rFonts w:hint="eastAsia" w:ascii="Times New Roman" w:hAnsi="Times New Roman" w:eastAsia="宋体" w:cs="Times New Roman"/>
          <w:kern w:val="0"/>
          <w:sz w:val="21"/>
          <w:szCs w:val="21"/>
          <w:highlight w:val="none"/>
        </w:rPr>
        <w:t>发生率</w:t>
      </w:r>
      <w:r>
        <w:rPr>
          <w:rFonts w:ascii="Times New Roman" w:hAnsi="Times New Roman" w:eastAsia="宋体" w:cs="Times New Roman"/>
          <w:kern w:val="0"/>
          <w:sz w:val="21"/>
          <w:szCs w:val="21"/>
          <w:highlight w:val="none"/>
        </w:rPr>
        <w:t>-</w:t>
      </w:r>
      <w:r>
        <w:rPr>
          <w:rFonts w:hint="eastAsia" w:ascii="Times New Roman" w:hAnsi="Times New Roman" w:eastAsia="宋体" w:cs="Times New Roman"/>
          <w:kern w:val="0"/>
          <w:sz w:val="21"/>
          <w:szCs w:val="21"/>
          <w:highlight w:val="none"/>
        </w:rPr>
        <w:t>程度</w:t>
      </w:r>
      <w:r>
        <w:rPr>
          <w:rFonts w:ascii="Times New Roman" w:hAnsi="Times New Roman" w:eastAsia="宋体" w:cs="Times New Roman"/>
          <w:kern w:val="0"/>
          <w:sz w:val="21"/>
          <w:szCs w:val="21"/>
          <w:highlight w:val="none"/>
        </w:rPr>
        <w:t>关系。在综合分析的基础上得出</w:t>
      </w:r>
      <w:r>
        <w:rPr>
          <w:rFonts w:hint="eastAsia" w:ascii="Times New Roman" w:hAnsi="Times New Roman" w:eastAsia="宋体" w:cs="Times New Roman"/>
          <w:kern w:val="0"/>
          <w:sz w:val="21"/>
          <w:szCs w:val="21"/>
          <w:highlight w:val="none"/>
        </w:rPr>
        <w:t>未观察到反应的剂量水平</w:t>
      </w:r>
      <w:r>
        <w:rPr>
          <w:rFonts w:ascii="Times New Roman" w:hAnsi="Times New Roman" w:eastAsia="宋体" w:cs="Times New Roman"/>
          <w:kern w:val="0"/>
          <w:sz w:val="21"/>
          <w:szCs w:val="21"/>
          <w:highlight w:val="none"/>
        </w:rPr>
        <w:t>，为剂量、观察指标的选择提供依据</w:t>
      </w:r>
      <w:r>
        <w:rPr>
          <w:rFonts w:hint="eastAsia" w:ascii="Times New Roman" w:hAnsi="Times New Roman" w:eastAsia="宋体" w:cs="Times New Roman"/>
          <w:kern w:val="0"/>
          <w:sz w:val="21"/>
          <w:szCs w:val="21"/>
          <w:highlight w:val="none"/>
        </w:rPr>
        <w:t>，还可表明是否需要进行额外的研究。</w:t>
      </w:r>
    </w:p>
    <w:p>
      <w:pPr>
        <w:pStyle w:val="4"/>
        <w:spacing w:before="156" w:beforeLines="50" w:after="156" w:afterLines="50" w:line="300" w:lineRule="auto"/>
        <w:ind w:firstLine="0" w:firstLineChars="0"/>
        <w:rPr>
          <w:rFonts w:ascii="黑体" w:hAnsi="黑体" w:eastAsia="黑体" w:cs="黑体"/>
          <w:kern w:val="0"/>
          <w:sz w:val="21"/>
          <w:szCs w:val="21"/>
          <w:highlight w:val="none"/>
        </w:rPr>
      </w:pPr>
      <w:r>
        <w:rPr>
          <w:rFonts w:hint="eastAsia" w:ascii="黑体" w:hAnsi="黑体" w:eastAsia="黑体" w:cs="黑体"/>
          <w:kern w:val="0"/>
          <w:sz w:val="21"/>
          <w:szCs w:val="21"/>
          <w:highlight w:val="none"/>
        </w:rPr>
        <w:t xml:space="preserve">7 结果解释 </w:t>
      </w:r>
    </w:p>
    <w:p>
      <w:pPr>
        <w:pStyle w:val="4"/>
        <w:spacing w:line="300" w:lineRule="auto"/>
        <w:ind w:firstLine="420"/>
        <w:rPr>
          <w:rFonts w:ascii="Times New Roman" w:hAnsi="Times New Roman" w:eastAsia="宋体" w:cs="Times New Roman"/>
          <w:kern w:val="0"/>
          <w:sz w:val="21"/>
          <w:szCs w:val="21"/>
          <w:highlight w:val="none"/>
        </w:rPr>
      </w:pPr>
      <w:r>
        <w:rPr>
          <w:rFonts w:ascii="Times New Roman" w:hAnsi="Times New Roman" w:eastAsia="宋体" w:cs="Times New Roman"/>
          <w:kern w:val="0"/>
          <w:sz w:val="21"/>
          <w:szCs w:val="21"/>
          <w:highlight w:val="none"/>
        </w:rPr>
        <w:t>免疫毒性试验能够提供受试物在反复接触机体后的毒性作用资料。其试验结果</w:t>
      </w:r>
      <w:r>
        <w:rPr>
          <w:rFonts w:hint="eastAsia" w:ascii="Times New Roman" w:hAnsi="Times New Roman" w:eastAsia="宋体" w:cs="Times New Roman"/>
          <w:kern w:val="0"/>
          <w:sz w:val="21"/>
          <w:szCs w:val="21"/>
          <w:highlight w:val="none"/>
        </w:rPr>
        <w:t>仅</w:t>
      </w:r>
      <w:r>
        <w:rPr>
          <w:rFonts w:ascii="Times New Roman" w:hAnsi="Times New Roman" w:eastAsia="宋体" w:cs="Times New Roman"/>
          <w:kern w:val="0"/>
          <w:sz w:val="21"/>
          <w:szCs w:val="21"/>
          <w:highlight w:val="none"/>
        </w:rPr>
        <w:t>可在很有限的程度上外推到人，但它可为确定人群的允许接触水平提供有用的信息。</w:t>
      </w:r>
    </w:p>
    <w:p>
      <w:pPr>
        <w:ind w:firstLine="640" w:firstLineChars="200"/>
        <w:rPr>
          <w:rFonts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14:textFill>
            <w14:solidFill>
              <w14:schemeClr w14:val="tx1"/>
            </w14:solidFill>
          </w14:textFill>
        </w:rPr>
        <w:t xml:space="preserve">           </w:t>
      </w:r>
    </w:p>
    <w:p>
      <w:pPr>
        <w:ind w:firstLine="640" w:firstLineChars="200"/>
        <w:rPr>
          <w:rFonts w:ascii="Times New Roman" w:hAnsi="Times New Roman" w:eastAsia="仿宋" w:cs="Times New Roman"/>
          <w:color w:val="000000" w:themeColor="text1"/>
          <w:sz w:val="32"/>
          <w:szCs w:val="32"/>
          <w:highlight w:val="none"/>
          <w14:textFill>
            <w14:solidFill>
              <w14:schemeClr w14:val="tx1"/>
            </w14:solidFill>
          </w14:textFill>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424DC"/>
    <w:multiLevelType w:val="singleLevel"/>
    <w:tmpl w:val="BEE424DC"/>
    <w:lvl w:ilvl="0" w:tentative="0">
      <w:start w:val="1"/>
      <w:numFmt w:val="decimal"/>
      <w:suff w:val="nothing"/>
      <w:lvlText w:val="（%1）"/>
      <w:lvlJc w:val="left"/>
    </w:lvl>
  </w:abstractNum>
  <w:abstractNum w:abstractNumId="1">
    <w:nsid w:val="15E0135E"/>
    <w:multiLevelType w:val="singleLevel"/>
    <w:tmpl w:val="15E0135E"/>
    <w:lvl w:ilvl="0" w:tentative="0">
      <w:start w:val="3"/>
      <w:numFmt w:val="decimal"/>
      <w:suff w:val="space"/>
      <w:lvlText w:val="%1."/>
      <w:lvlJc w:val="left"/>
    </w:lvl>
  </w:abstractNum>
  <w:abstractNum w:abstractNumId="2">
    <w:nsid w:val="7D9FEFAB"/>
    <w:multiLevelType w:val="singleLevel"/>
    <w:tmpl w:val="7D9FEFAB"/>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NzA0NTJjZTE3ZmM3MGI4ZjQ4ZmZjZjg5OGZiOGEifQ=="/>
  </w:docVars>
  <w:rsids>
    <w:rsidRoot w:val="00B210F6"/>
    <w:rsid w:val="000749E3"/>
    <w:rsid w:val="000B71E3"/>
    <w:rsid w:val="000F7018"/>
    <w:rsid w:val="001F7F7E"/>
    <w:rsid w:val="002829FC"/>
    <w:rsid w:val="00310191"/>
    <w:rsid w:val="003663A9"/>
    <w:rsid w:val="004532F6"/>
    <w:rsid w:val="004B493E"/>
    <w:rsid w:val="004C1B23"/>
    <w:rsid w:val="00556453"/>
    <w:rsid w:val="0057213C"/>
    <w:rsid w:val="00652C29"/>
    <w:rsid w:val="00696FD2"/>
    <w:rsid w:val="00701F94"/>
    <w:rsid w:val="00711BED"/>
    <w:rsid w:val="00754C38"/>
    <w:rsid w:val="007C0557"/>
    <w:rsid w:val="00821AF9"/>
    <w:rsid w:val="008558FA"/>
    <w:rsid w:val="009C7951"/>
    <w:rsid w:val="009E0DF3"/>
    <w:rsid w:val="00A14E67"/>
    <w:rsid w:val="00A97C02"/>
    <w:rsid w:val="00AA0363"/>
    <w:rsid w:val="00B210F6"/>
    <w:rsid w:val="00B664B9"/>
    <w:rsid w:val="00BE67B3"/>
    <w:rsid w:val="00C0456F"/>
    <w:rsid w:val="00CE42BE"/>
    <w:rsid w:val="00CF3752"/>
    <w:rsid w:val="00D04C4D"/>
    <w:rsid w:val="00D9012D"/>
    <w:rsid w:val="00DD7848"/>
    <w:rsid w:val="00DE5743"/>
    <w:rsid w:val="00EB29D4"/>
    <w:rsid w:val="00EF5BA2"/>
    <w:rsid w:val="00F07D5C"/>
    <w:rsid w:val="00F20121"/>
    <w:rsid w:val="00F2264F"/>
    <w:rsid w:val="00F452C9"/>
    <w:rsid w:val="010341F4"/>
    <w:rsid w:val="01203FAE"/>
    <w:rsid w:val="017460A8"/>
    <w:rsid w:val="017C6D0A"/>
    <w:rsid w:val="02507375"/>
    <w:rsid w:val="026954E1"/>
    <w:rsid w:val="02B11C77"/>
    <w:rsid w:val="02BD04FD"/>
    <w:rsid w:val="02D84414"/>
    <w:rsid w:val="02F8789E"/>
    <w:rsid w:val="03561F09"/>
    <w:rsid w:val="0361265C"/>
    <w:rsid w:val="03667C72"/>
    <w:rsid w:val="03F60FF6"/>
    <w:rsid w:val="045B70AB"/>
    <w:rsid w:val="047343F5"/>
    <w:rsid w:val="047C599F"/>
    <w:rsid w:val="047D7976"/>
    <w:rsid w:val="04AE7B23"/>
    <w:rsid w:val="05087233"/>
    <w:rsid w:val="05235E1B"/>
    <w:rsid w:val="058D2695"/>
    <w:rsid w:val="05B66C8F"/>
    <w:rsid w:val="05BC1DCB"/>
    <w:rsid w:val="05BE5888"/>
    <w:rsid w:val="05D62E8D"/>
    <w:rsid w:val="05E530D0"/>
    <w:rsid w:val="05FD666C"/>
    <w:rsid w:val="062D12C6"/>
    <w:rsid w:val="064C314F"/>
    <w:rsid w:val="06585F98"/>
    <w:rsid w:val="069F3BC7"/>
    <w:rsid w:val="06A42F8B"/>
    <w:rsid w:val="06E17D3B"/>
    <w:rsid w:val="06F757B1"/>
    <w:rsid w:val="06FC4B75"/>
    <w:rsid w:val="072335B0"/>
    <w:rsid w:val="072B0FB7"/>
    <w:rsid w:val="074107DA"/>
    <w:rsid w:val="07697D31"/>
    <w:rsid w:val="078372B4"/>
    <w:rsid w:val="07B13BB2"/>
    <w:rsid w:val="07B410D1"/>
    <w:rsid w:val="07CD206E"/>
    <w:rsid w:val="081B102B"/>
    <w:rsid w:val="082F2606"/>
    <w:rsid w:val="0837398B"/>
    <w:rsid w:val="086F1377"/>
    <w:rsid w:val="089D5EE4"/>
    <w:rsid w:val="08DF57BA"/>
    <w:rsid w:val="08E6788B"/>
    <w:rsid w:val="08F63846"/>
    <w:rsid w:val="08FD6983"/>
    <w:rsid w:val="09167A44"/>
    <w:rsid w:val="09622C8A"/>
    <w:rsid w:val="09A514F4"/>
    <w:rsid w:val="09FE29B2"/>
    <w:rsid w:val="0A067AB9"/>
    <w:rsid w:val="0A2A37A7"/>
    <w:rsid w:val="0A2A7C4B"/>
    <w:rsid w:val="0A3E5B71"/>
    <w:rsid w:val="0A4C1970"/>
    <w:rsid w:val="0A5B6057"/>
    <w:rsid w:val="0AC81803"/>
    <w:rsid w:val="0B0264D2"/>
    <w:rsid w:val="0B7D1FFD"/>
    <w:rsid w:val="0BAD4F01"/>
    <w:rsid w:val="0BAE21B6"/>
    <w:rsid w:val="0BCF2858"/>
    <w:rsid w:val="0C2D3A23"/>
    <w:rsid w:val="0C550323"/>
    <w:rsid w:val="0CA21D1B"/>
    <w:rsid w:val="0CA3622B"/>
    <w:rsid w:val="0CCC6D98"/>
    <w:rsid w:val="0D466B4A"/>
    <w:rsid w:val="0DA73ACE"/>
    <w:rsid w:val="0DA90E87"/>
    <w:rsid w:val="0DBE2B84"/>
    <w:rsid w:val="0DEE0F90"/>
    <w:rsid w:val="0DF447F8"/>
    <w:rsid w:val="0E53101B"/>
    <w:rsid w:val="0E8536A2"/>
    <w:rsid w:val="0EA16002"/>
    <w:rsid w:val="0EAF4BC3"/>
    <w:rsid w:val="0EBE4E06"/>
    <w:rsid w:val="0EC73CBB"/>
    <w:rsid w:val="0F072309"/>
    <w:rsid w:val="0F302902"/>
    <w:rsid w:val="0F7F00F1"/>
    <w:rsid w:val="0F8C0A60"/>
    <w:rsid w:val="0F8D0B11"/>
    <w:rsid w:val="0FA20284"/>
    <w:rsid w:val="0FB71F81"/>
    <w:rsid w:val="0FDF3286"/>
    <w:rsid w:val="10376C1E"/>
    <w:rsid w:val="103C2486"/>
    <w:rsid w:val="105552F6"/>
    <w:rsid w:val="10B244F7"/>
    <w:rsid w:val="10C5422A"/>
    <w:rsid w:val="10D75D0B"/>
    <w:rsid w:val="10E32902"/>
    <w:rsid w:val="10F60887"/>
    <w:rsid w:val="10F93ED3"/>
    <w:rsid w:val="11036B00"/>
    <w:rsid w:val="11203B56"/>
    <w:rsid w:val="114F7F97"/>
    <w:rsid w:val="115630D4"/>
    <w:rsid w:val="11E46932"/>
    <w:rsid w:val="11FC3C7B"/>
    <w:rsid w:val="12105979"/>
    <w:rsid w:val="122D05F4"/>
    <w:rsid w:val="124B69B1"/>
    <w:rsid w:val="125A6BF4"/>
    <w:rsid w:val="127D77EB"/>
    <w:rsid w:val="12AD3AB9"/>
    <w:rsid w:val="1384217A"/>
    <w:rsid w:val="13EB0135"/>
    <w:rsid w:val="140F7C7A"/>
    <w:rsid w:val="143D057B"/>
    <w:rsid w:val="14891A12"/>
    <w:rsid w:val="155344FA"/>
    <w:rsid w:val="15A24B3A"/>
    <w:rsid w:val="15C727F2"/>
    <w:rsid w:val="15D373E9"/>
    <w:rsid w:val="15E10FC5"/>
    <w:rsid w:val="15E24D47"/>
    <w:rsid w:val="161536FB"/>
    <w:rsid w:val="16273291"/>
    <w:rsid w:val="1675224E"/>
    <w:rsid w:val="16BD3D30"/>
    <w:rsid w:val="16F2564D"/>
    <w:rsid w:val="16FE3FF2"/>
    <w:rsid w:val="170535D2"/>
    <w:rsid w:val="17481711"/>
    <w:rsid w:val="17545789"/>
    <w:rsid w:val="1773288D"/>
    <w:rsid w:val="17EF7DDE"/>
    <w:rsid w:val="17FB2C27"/>
    <w:rsid w:val="181F06C4"/>
    <w:rsid w:val="18221F62"/>
    <w:rsid w:val="183C4122"/>
    <w:rsid w:val="18552337"/>
    <w:rsid w:val="18822A00"/>
    <w:rsid w:val="18CE3E98"/>
    <w:rsid w:val="18FF1A08"/>
    <w:rsid w:val="190873AA"/>
    <w:rsid w:val="191775ED"/>
    <w:rsid w:val="195E6FCA"/>
    <w:rsid w:val="19600F94"/>
    <w:rsid w:val="197113F3"/>
    <w:rsid w:val="19715B13"/>
    <w:rsid w:val="198537F3"/>
    <w:rsid w:val="199450E1"/>
    <w:rsid w:val="199926F8"/>
    <w:rsid w:val="1A366198"/>
    <w:rsid w:val="1A660044"/>
    <w:rsid w:val="1A6E5932"/>
    <w:rsid w:val="1A9A2283"/>
    <w:rsid w:val="1A9B5FFB"/>
    <w:rsid w:val="1AB62E35"/>
    <w:rsid w:val="1B2B6971"/>
    <w:rsid w:val="1B3B3B2B"/>
    <w:rsid w:val="1B5E7755"/>
    <w:rsid w:val="1C4500D0"/>
    <w:rsid w:val="1C4E2785"/>
    <w:rsid w:val="1C543666"/>
    <w:rsid w:val="1C6568C1"/>
    <w:rsid w:val="1C6C5EA1"/>
    <w:rsid w:val="1C746B04"/>
    <w:rsid w:val="1CA473E9"/>
    <w:rsid w:val="1CB57848"/>
    <w:rsid w:val="1D4666F2"/>
    <w:rsid w:val="1D6A74B3"/>
    <w:rsid w:val="1DB573D4"/>
    <w:rsid w:val="1E0325F5"/>
    <w:rsid w:val="1E7102EB"/>
    <w:rsid w:val="1EA01E32"/>
    <w:rsid w:val="1EBA1146"/>
    <w:rsid w:val="1ED61CF8"/>
    <w:rsid w:val="1EFD7D4D"/>
    <w:rsid w:val="1F374545"/>
    <w:rsid w:val="1F3D49D6"/>
    <w:rsid w:val="1F600B40"/>
    <w:rsid w:val="1F6410B2"/>
    <w:rsid w:val="1F645556"/>
    <w:rsid w:val="1F7C63FB"/>
    <w:rsid w:val="1FC87893"/>
    <w:rsid w:val="1FD43192"/>
    <w:rsid w:val="20AF45AF"/>
    <w:rsid w:val="20E93F65"/>
    <w:rsid w:val="213B4094"/>
    <w:rsid w:val="2188552B"/>
    <w:rsid w:val="21E07116"/>
    <w:rsid w:val="22176285"/>
    <w:rsid w:val="223C1E72"/>
    <w:rsid w:val="22405E06"/>
    <w:rsid w:val="228C4BA7"/>
    <w:rsid w:val="22C04851"/>
    <w:rsid w:val="22C73E32"/>
    <w:rsid w:val="22DD3655"/>
    <w:rsid w:val="22E70030"/>
    <w:rsid w:val="231921B3"/>
    <w:rsid w:val="2378337E"/>
    <w:rsid w:val="23867849"/>
    <w:rsid w:val="23B05B3A"/>
    <w:rsid w:val="23CE11F0"/>
    <w:rsid w:val="23EB2DE2"/>
    <w:rsid w:val="240F7414"/>
    <w:rsid w:val="242F2EAF"/>
    <w:rsid w:val="244D480A"/>
    <w:rsid w:val="24863878"/>
    <w:rsid w:val="255F2A47"/>
    <w:rsid w:val="25FA451E"/>
    <w:rsid w:val="25FC794E"/>
    <w:rsid w:val="26147F1F"/>
    <w:rsid w:val="261F3F85"/>
    <w:rsid w:val="262B0B7B"/>
    <w:rsid w:val="263A05A8"/>
    <w:rsid w:val="2650486E"/>
    <w:rsid w:val="269009DE"/>
    <w:rsid w:val="269B1BED"/>
    <w:rsid w:val="26D052E6"/>
    <w:rsid w:val="26F176CF"/>
    <w:rsid w:val="26F45411"/>
    <w:rsid w:val="270F0C58"/>
    <w:rsid w:val="2714160F"/>
    <w:rsid w:val="273D2914"/>
    <w:rsid w:val="27532138"/>
    <w:rsid w:val="275F0ADD"/>
    <w:rsid w:val="27806CA5"/>
    <w:rsid w:val="278E4F1E"/>
    <w:rsid w:val="27D45DC8"/>
    <w:rsid w:val="27F356C9"/>
    <w:rsid w:val="284952E9"/>
    <w:rsid w:val="2858552C"/>
    <w:rsid w:val="285A097E"/>
    <w:rsid w:val="28887BBF"/>
    <w:rsid w:val="28C278FA"/>
    <w:rsid w:val="291E49C7"/>
    <w:rsid w:val="29241CBE"/>
    <w:rsid w:val="2940493E"/>
    <w:rsid w:val="2964687E"/>
    <w:rsid w:val="29826D04"/>
    <w:rsid w:val="298E62BC"/>
    <w:rsid w:val="29B544C6"/>
    <w:rsid w:val="29B9024C"/>
    <w:rsid w:val="2A244AE7"/>
    <w:rsid w:val="2A3F0751"/>
    <w:rsid w:val="2A5D507B"/>
    <w:rsid w:val="2A830320"/>
    <w:rsid w:val="2AA8279A"/>
    <w:rsid w:val="2ADA66CC"/>
    <w:rsid w:val="2B381D70"/>
    <w:rsid w:val="2B91322F"/>
    <w:rsid w:val="2BA70CA4"/>
    <w:rsid w:val="2BDA2E28"/>
    <w:rsid w:val="2BF0264B"/>
    <w:rsid w:val="2BFB4B4C"/>
    <w:rsid w:val="2C080E30"/>
    <w:rsid w:val="2C091759"/>
    <w:rsid w:val="2C136339"/>
    <w:rsid w:val="2C167BD8"/>
    <w:rsid w:val="2C730B86"/>
    <w:rsid w:val="2C884632"/>
    <w:rsid w:val="2C932FD6"/>
    <w:rsid w:val="2CA3146B"/>
    <w:rsid w:val="2CA84CD4"/>
    <w:rsid w:val="2CC87124"/>
    <w:rsid w:val="2CDB17CE"/>
    <w:rsid w:val="2CF3320B"/>
    <w:rsid w:val="2D8C0151"/>
    <w:rsid w:val="2DB9081B"/>
    <w:rsid w:val="2DD6761F"/>
    <w:rsid w:val="2E334A71"/>
    <w:rsid w:val="2E385BE3"/>
    <w:rsid w:val="2E69365B"/>
    <w:rsid w:val="2E701821"/>
    <w:rsid w:val="2E7F3812"/>
    <w:rsid w:val="2E9279E9"/>
    <w:rsid w:val="2EB0373B"/>
    <w:rsid w:val="2EEA15D4"/>
    <w:rsid w:val="2EED6B64"/>
    <w:rsid w:val="2F633134"/>
    <w:rsid w:val="2F7A1B16"/>
    <w:rsid w:val="2F8337D6"/>
    <w:rsid w:val="2FD656B4"/>
    <w:rsid w:val="3014442E"/>
    <w:rsid w:val="30395C43"/>
    <w:rsid w:val="303D3985"/>
    <w:rsid w:val="3046421F"/>
    <w:rsid w:val="307D4A19"/>
    <w:rsid w:val="309D4424"/>
    <w:rsid w:val="30A532D8"/>
    <w:rsid w:val="30EA7E6D"/>
    <w:rsid w:val="30EE04D3"/>
    <w:rsid w:val="31061FC9"/>
    <w:rsid w:val="316136A3"/>
    <w:rsid w:val="318C2E98"/>
    <w:rsid w:val="31A517E2"/>
    <w:rsid w:val="31B9528D"/>
    <w:rsid w:val="31C12394"/>
    <w:rsid w:val="31D370C3"/>
    <w:rsid w:val="31F42769"/>
    <w:rsid w:val="32024E86"/>
    <w:rsid w:val="32304E86"/>
    <w:rsid w:val="3253123E"/>
    <w:rsid w:val="32576468"/>
    <w:rsid w:val="32764F2C"/>
    <w:rsid w:val="329D695D"/>
    <w:rsid w:val="32C41FD4"/>
    <w:rsid w:val="32DA370D"/>
    <w:rsid w:val="32EA0C76"/>
    <w:rsid w:val="332E5807"/>
    <w:rsid w:val="3341553A"/>
    <w:rsid w:val="33C57F19"/>
    <w:rsid w:val="34310E1A"/>
    <w:rsid w:val="34767465"/>
    <w:rsid w:val="34871673"/>
    <w:rsid w:val="34936269"/>
    <w:rsid w:val="34A044E2"/>
    <w:rsid w:val="354B6B44"/>
    <w:rsid w:val="35544573"/>
    <w:rsid w:val="356D6ABA"/>
    <w:rsid w:val="358B4BAC"/>
    <w:rsid w:val="363D5497"/>
    <w:rsid w:val="3667350A"/>
    <w:rsid w:val="366854D4"/>
    <w:rsid w:val="369D2A0A"/>
    <w:rsid w:val="36B44275"/>
    <w:rsid w:val="36B6623F"/>
    <w:rsid w:val="36EE59D9"/>
    <w:rsid w:val="37BA1D5F"/>
    <w:rsid w:val="380B25BB"/>
    <w:rsid w:val="38123949"/>
    <w:rsid w:val="381B27FE"/>
    <w:rsid w:val="382C4A0B"/>
    <w:rsid w:val="38A345A1"/>
    <w:rsid w:val="38BA04B9"/>
    <w:rsid w:val="38C42E95"/>
    <w:rsid w:val="38E54BBA"/>
    <w:rsid w:val="38FA68B7"/>
    <w:rsid w:val="3A2B484E"/>
    <w:rsid w:val="3A573895"/>
    <w:rsid w:val="3A8D72B7"/>
    <w:rsid w:val="3A993EAE"/>
    <w:rsid w:val="3AD363B4"/>
    <w:rsid w:val="3ADD023E"/>
    <w:rsid w:val="3AE315CD"/>
    <w:rsid w:val="3B3E7EDA"/>
    <w:rsid w:val="3BAE70CC"/>
    <w:rsid w:val="3BC907C3"/>
    <w:rsid w:val="3BE97F2D"/>
    <w:rsid w:val="3BEC70D0"/>
    <w:rsid w:val="3C2854E9"/>
    <w:rsid w:val="3C435CB9"/>
    <w:rsid w:val="3C7B7D0F"/>
    <w:rsid w:val="3C822B45"/>
    <w:rsid w:val="3CB72D11"/>
    <w:rsid w:val="3CC03974"/>
    <w:rsid w:val="3CD0743A"/>
    <w:rsid w:val="3CD967E3"/>
    <w:rsid w:val="3CE60F00"/>
    <w:rsid w:val="3D0D2931"/>
    <w:rsid w:val="3D1617E6"/>
    <w:rsid w:val="3D5D5666"/>
    <w:rsid w:val="3D7D3613"/>
    <w:rsid w:val="3DB1150E"/>
    <w:rsid w:val="3DC01751"/>
    <w:rsid w:val="3DCC00F6"/>
    <w:rsid w:val="3DDC47DD"/>
    <w:rsid w:val="3E135D25"/>
    <w:rsid w:val="3E895A00"/>
    <w:rsid w:val="3E94330A"/>
    <w:rsid w:val="3E9A1FA2"/>
    <w:rsid w:val="3EA70539"/>
    <w:rsid w:val="3EC00850"/>
    <w:rsid w:val="3EDE4585"/>
    <w:rsid w:val="3F762A0F"/>
    <w:rsid w:val="3FFA0F4B"/>
    <w:rsid w:val="3FFD0A3B"/>
    <w:rsid w:val="400C0C7E"/>
    <w:rsid w:val="400C183F"/>
    <w:rsid w:val="401263FE"/>
    <w:rsid w:val="4033445D"/>
    <w:rsid w:val="40561685"/>
    <w:rsid w:val="40582115"/>
    <w:rsid w:val="40726126"/>
    <w:rsid w:val="40776A3F"/>
    <w:rsid w:val="407C4056"/>
    <w:rsid w:val="40827C4B"/>
    <w:rsid w:val="409018AF"/>
    <w:rsid w:val="4090365D"/>
    <w:rsid w:val="40E61E1C"/>
    <w:rsid w:val="41792343"/>
    <w:rsid w:val="419D4283"/>
    <w:rsid w:val="4226071D"/>
    <w:rsid w:val="426D00FA"/>
    <w:rsid w:val="42975177"/>
    <w:rsid w:val="42B86E9B"/>
    <w:rsid w:val="42BF718B"/>
    <w:rsid w:val="42C27D1A"/>
    <w:rsid w:val="42C65A5C"/>
    <w:rsid w:val="433B01F8"/>
    <w:rsid w:val="43996CCD"/>
    <w:rsid w:val="43B2269A"/>
    <w:rsid w:val="44022AC4"/>
    <w:rsid w:val="440525B4"/>
    <w:rsid w:val="44242A3A"/>
    <w:rsid w:val="44283D01"/>
    <w:rsid w:val="444A7FC7"/>
    <w:rsid w:val="445B167F"/>
    <w:rsid w:val="44CD4E80"/>
    <w:rsid w:val="44D206E8"/>
    <w:rsid w:val="45093003"/>
    <w:rsid w:val="451A5BEB"/>
    <w:rsid w:val="456F23DB"/>
    <w:rsid w:val="46470C62"/>
    <w:rsid w:val="46782E4E"/>
    <w:rsid w:val="4678706D"/>
    <w:rsid w:val="4723347D"/>
    <w:rsid w:val="4728564C"/>
    <w:rsid w:val="472E597E"/>
    <w:rsid w:val="479A4966"/>
    <w:rsid w:val="47A65E5C"/>
    <w:rsid w:val="47D06A35"/>
    <w:rsid w:val="47DE1152"/>
    <w:rsid w:val="48027536"/>
    <w:rsid w:val="48C04CFB"/>
    <w:rsid w:val="48EC5AF0"/>
    <w:rsid w:val="48FD5F50"/>
    <w:rsid w:val="49957F36"/>
    <w:rsid w:val="49A85EBB"/>
    <w:rsid w:val="49AB1508"/>
    <w:rsid w:val="49E35145"/>
    <w:rsid w:val="49EE0FBF"/>
    <w:rsid w:val="4A190B67"/>
    <w:rsid w:val="4A6F0787"/>
    <w:rsid w:val="4AB10E02"/>
    <w:rsid w:val="4AC00FE3"/>
    <w:rsid w:val="4B0B04B0"/>
    <w:rsid w:val="4B103D18"/>
    <w:rsid w:val="4B1530DD"/>
    <w:rsid w:val="4B1A6945"/>
    <w:rsid w:val="4B3D2633"/>
    <w:rsid w:val="4B4B11F4"/>
    <w:rsid w:val="4B5D6832"/>
    <w:rsid w:val="4B906C07"/>
    <w:rsid w:val="4BB903E1"/>
    <w:rsid w:val="4BF74ED8"/>
    <w:rsid w:val="4C453E95"/>
    <w:rsid w:val="4C551F7F"/>
    <w:rsid w:val="4C663160"/>
    <w:rsid w:val="4CD82614"/>
    <w:rsid w:val="4D37547A"/>
    <w:rsid w:val="4D5E35AF"/>
    <w:rsid w:val="4D706CF0"/>
    <w:rsid w:val="4D761E2D"/>
    <w:rsid w:val="4D7A36CB"/>
    <w:rsid w:val="4D8C1650"/>
    <w:rsid w:val="4DFC3F15"/>
    <w:rsid w:val="4DFD2C87"/>
    <w:rsid w:val="4E577EB0"/>
    <w:rsid w:val="4E6525CD"/>
    <w:rsid w:val="4E6B74B7"/>
    <w:rsid w:val="4E6C395B"/>
    <w:rsid w:val="4F0F22BC"/>
    <w:rsid w:val="4F147B4F"/>
    <w:rsid w:val="4F2613CC"/>
    <w:rsid w:val="4F5D5052"/>
    <w:rsid w:val="4F7F76BE"/>
    <w:rsid w:val="4FB1539E"/>
    <w:rsid w:val="4FBA06F6"/>
    <w:rsid w:val="4FC11A85"/>
    <w:rsid w:val="4FE6773D"/>
    <w:rsid w:val="501871CB"/>
    <w:rsid w:val="50446212"/>
    <w:rsid w:val="50504BB7"/>
    <w:rsid w:val="509727E6"/>
    <w:rsid w:val="50C335DB"/>
    <w:rsid w:val="50D05D72"/>
    <w:rsid w:val="51014A58"/>
    <w:rsid w:val="51071719"/>
    <w:rsid w:val="5144471C"/>
    <w:rsid w:val="51505F79"/>
    <w:rsid w:val="515E50B1"/>
    <w:rsid w:val="519D5BDA"/>
    <w:rsid w:val="51A90A23"/>
    <w:rsid w:val="51AF590D"/>
    <w:rsid w:val="51B57EC9"/>
    <w:rsid w:val="51C969CF"/>
    <w:rsid w:val="51FC6DA4"/>
    <w:rsid w:val="51FF0643"/>
    <w:rsid w:val="520143BB"/>
    <w:rsid w:val="522105B9"/>
    <w:rsid w:val="52276695"/>
    <w:rsid w:val="52A86F2C"/>
    <w:rsid w:val="52D7336D"/>
    <w:rsid w:val="53000B16"/>
    <w:rsid w:val="533A5A02"/>
    <w:rsid w:val="534A497F"/>
    <w:rsid w:val="53C71634"/>
    <w:rsid w:val="53E25DAE"/>
    <w:rsid w:val="541303D5"/>
    <w:rsid w:val="54176117"/>
    <w:rsid w:val="542F44D9"/>
    <w:rsid w:val="544669FD"/>
    <w:rsid w:val="54662A63"/>
    <w:rsid w:val="54A35BFD"/>
    <w:rsid w:val="55364B38"/>
    <w:rsid w:val="55456CB4"/>
    <w:rsid w:val="55517407"/>
    <w:rsid w:val="559D1048"/>
    <w:rsid w:val="55A6689C"/>
    <w:rsid w:val="55AC288F"/>
    <w:rsid w:val="55BF6A67"/>
    <w:rsid w:val="55C24E3B"/>
    <w:rsid w:val="560721BC"/>
    <w:rsid w:val="563A60ED"/>
    <w:rsid w:val="568944D0"/>
    <w:rsid w:val="56A354CD"/>
    <w:rsid w:val="56C97471"/>
    <w:rsid w:val="56D71B8E"/>
    <w:rsid w:val="56D77DE0"/>
    <w:rsid w:val="571C0482"/>
    <w:rsid w:val="574134AB"/>
    <w:rsid w:val="5767790F"/>
    <w:rsid w:val="578C2978"/>
    <w:rsid w:val="57CC546B"/>
    <w:rsid w:val="57D52571"/>
    <w:rsid w:val="57D91936"/>
    <w:rsid w:val="57E74053"/>
    <w:rsid w:val="57E91B79"/>
    <w:rsid w:val="57EB02E7"/>
    <w:rsid w:val="57F64453"/>
    <w:rsid w:val="58226E39"/>
    <w:rsid w:val="585C67EF"/>
    <w:rsid w:val="586438F5"/>
    <w:rsid w:val="58767185"/>
    <w:rsid w:val="58BC2ECC"/>
    <w:rsid w:val="58C46142"/>
    <w:rsid w:val="59372DB8"/>
    <w:rsid w:val="59A85A64"/>
    <w:rsid w:val="59AB49DD"/>
    <w:rsid w:val="59DD74BB"/>
    <w:rsid w:val="5A096502"/>
    <w:rsid w:val="5A274BDA"/>
    <w:rsid w:val="5A515731"/>
    <w:rsid w:val="5A7A1685"/>
    <w:rsid w:val="5A865DA5"/>
    <w:rsid w:val="5AA004E9"/>
    <w:rsid w:val="5AA91A93"/>
    <w:rsid w:val="5B0373F5"/>
    <w:rsid w:val="5B3D5A37"/>
    <w:rsid w:val="5B503CBD"/>
    <w:rsid w:val="5B653C0C"/>
    <w:rsid w:val="5B694D7F"/>
    <w:rsid w:val="5B7A20FF"/>
    <w:rsid w:val="5B9E711E"/>
    <w:rsid w:val="5BA67D81"/>
    <w:rsid w:val="5BFD3C70"/>
    <w:rsid w:val="5C11169E"/>
    <w:rsid w:val="5C8E7193"/>
    <w:rsid w:val="5CCC1228"/>
    <w:rsid w:val="5CCF6DD1"/>
    <w:rsid w:val="5CE172C2"/>
    <w:rsid w:val="5CEE5E83"/>
    <w:rsid w:val="5D07484F"/>
    <w:rsid w:val="5D5201C0"/>
    <w:rsid w:val="5D9914F5"/>
    <w:rsid w:val="5DB1138B"/>
    <w:rsid w:val="5DB20C5F"/>
    <w:rsid w:val="5DB26EB1"/>
    <w:rsid w:val="5DD961EC"/>
    <w:rsid w:val="5DF179D9"/>
    <w:rsid w:val="5E23390B"/>
    <w:rsid w:val="5E361890"/>
    <w:rsid w:val="5E5C7C47"/>
    <w:rsid w:val="5E96232F"/>
    <w:rsid w:val="5EF45FCD"/>
    <w:rsid w:val="5F0B0627"/>
    <w:rsid w:val="5F2B0CC9"/>
    <w:rsid w:val="5F93061C"/>
    <w:rsid w:val="5FC8476A"/>
    <w:rsid w:val="5FCA04E2"/>
    <w:rsid w:val="600825FB"/>
    <w:rsid w:val="603B0CED"/>
    <w:rsid w:val="604364E6"/>
    <w:rsid w:val="6051475F"/>
    <w:rsid w:val="60575AEE"/>
    <w:rsid w:val="60786190"/>
    <w:rsid w:val="60A61B02"/>
    <w:rsid w:val="60C56EFB"/>
    <w:rsid w:val="61137C66"/>
    <w:rsid w:val="6126799A"/>
    <w:rsid w:val="61601578"/>
    <w:rsid w:val="617A78E0"/>
    <w:rsid w:val="618D79EB"/>
    <w:rsid w:val="620D2908"/>
    <w:rsid w:val="62181AD6"/>
    <w:rsid w:val="622F23BA"/>
    <w:rsid w:val="622F6D22"/>
    <w:rsid w:val="6239194F"/>
    <w:rsid w:val="62402CDD"/>
    <w:rsid w:val="626562A0"/>
    <w:rsid w:val="62A56FE4"/>
    <w:rsid w:val="62AA63A9"/>
    <w:rsid w:val="62E47B0C"/>
    <w:rsid w:val="62FD0BCE"/>
    <w:rsid w:val="635A1B7D"/>
    <w:rsid w:val="639E415F"/>
    <w:rsid w:val="63CA286B"/>
    <w:rsid w:val="63FA6EBC"/>
    <w:rsid w:val="6416019A"/>
    <w:rsid w:val="64470E3A"/>
    <w:rsid w:val="64740A1C"/>
    <w:rsid w:val="647C2AD8"/>
    <w:rsid w:val="64882719"/>
    <w:rsid w:val="65BA4B55"/>
    <w:rsid w:val="65BD63F3"/>
    <w:rsid w:val="65BF03BD"/>
    <w:rsid w:val="65C54371"/>
    <w:rsid w:val="65D73958"/>
    <w:rsid w:val="65F77B57"/>
    <w:rsid w:val="661A3280"/>
    <w:rsid w:val="66486604"/>
    <w:rsid w:val="668D2269"/>
    <w:rsid w:val="669E4476"/>
    <w:rsid w:val="66D95D82"/>
    <w:rsid w:val="66E50537"/>
    <w:rsid w:val="671D35ED"/>
    <w:rsid w:val="672C2787"/>
    <w:rsid w:val="6760797E"/>
    <w:rsid w:val="6779459B"/>
    <w:rsid w:val="679413D5"/>
    <w:rsid w:val="67982C74"/>
    <w:rsid w:val="67D16185"/>
    <w:rsid w:val="67D55C76"/>
    <w:rsid w:val="682403BB"/>
    <w:rsid w:val="685A261F"/>
    <w:rsid w:val="68802085"/>
    <w:rsid w:val="689E075E"/>
    <w:rsid w:val="689F6284"/>
    <w:rsid w:val="68B47F81"/>
    <w:rsid w:val="68FD7449"/>
    <w:rsid w:val="691C51AA"/>
    <w:rsid w:val="692D388F"/>
    <w:rsid w:val="6949691B"/>
    <w:rsid w:val="69562DE6"/>
    <w:rsid w:val="695E1C9B"/>
    <w:rsid w:val="696A4AE4"/>
    <w:rsid w:val="6985191D"/>
    <w:rsid w:val="69961435"/>
    <w:rsid w:val="69B61AD7"/>
    <w:rsid w:val="69D10BD4"/>
    <w:rsid w:val="6A260A0B"/>
    <w:rsid w:val="6A681023"/>
    <w:rsid w:val="6A760B01"/>
    <w:rsid w:val="6A90712C"/>
    <w:rsid w:val="6AC9375A"/>
    <w:rsid w:val="6AEB755E"/>
    <w:rsid w:val="6B317667"/>
    <w:rsid w:val="6B460C38"/>
    <w:rsid w:val="6B5F5D4F"/>
    <w:rsid w:val="6B691D86"/>
    <w:rsid w:val="6B715CB5"/>
    <w:rsid w:val="6BB43DF4"/>
    <w:rsid w:val="6C0134DD"/>
    <w:rsid w:val="6C20148A"/>
    <w:rsid w:val="6C3C2767"/>
    <w:rsid w:val="6C400DED"/>
    <w:rsid w:val="6C4E4249"/>
    <w:rsid w:val="6C7C0DB6"/>
    <w:rsid w:val="6CB71DEE"/>
    <w:rsid w:val="6CBC4E31"/>
    <w:rsid w:val="6CD52274"/>
    <w:rsid w:val="6D434CC7"/>
    <w:rsid w:val="6E31797E"/>
    <w:rsid w:val="6E4E51DE"/>
    <w:rsid w:val="6E5B2C4D"/>
    <w:rsid w:val="6E5D4C17"/>
    <w:rsid w:val="6E930639"/>
    <w:rsid w:val="6EBE45F5"/>
    <w:rsid w:val="6EC9405A"/>
    <w:rsid w:val="6F3040D9"/>
    <w:rsid w:val="6F4631C8"/>
    <w:rsid w:val="6F6D2F12"/>
    <w:rsid w:val="6F736528"/>
    <w:rsid w:val="6FAA79E8"/>
    <w:rsid w:val="6FC00FB9"/>
    <w:rsid w:val="6FD74555"/>
    <w:rsid w:val="6FE56C72"/>
    <w:rsid w:val="6FF9305E"/>
    <w:rsid w:val="700341CA"/>
    <w:rsid w:val="7008338E"/>
    <w:rsid w:val="707149AA"/>
    <w:rsid w:val="70891CF3"/>
    <w:rsid w:val="70A80E9C"/>
    <w:rsid w:val="70BD199D"/>
    <w:rsid w:val="712B4B58"/>
    <w:rsid w:val="71493231"/>
    <w:rsid w:val="71A62431"/>
    <w:rsid w:val="71D84CE0"/>
    <w:rsid w:val="727644F9"/>
    <w:rsid w:val="72D51220"/>
    <w:rsid w:val="72DB7B34"/>
    <w:rsid w:val="72F4537E"/>
    <w:rsid w:val="7329331A"/>
    <w:rsid w:val="733544C3"/>
    <w:rsid w:val="73682094"/>
    <w:rsid w:val="73A6496A"/>
    <w:rsid w:val="73D142C6"/>
    <w:rsid w:val="73DE5EB2"/>
    <w:rsid w:val="73EF1E6D"/>
    <w:rsid w:val="7419513C"/>
    <w:rsid w:val="7420296E"/>
    <w:rsid w:val="74927C73"/>
    <w:rsid w:val="74A72748"/>
    <w:rsid w:val="74F57463"/>
    <w:rsid w:val="752C0E9F"/>
    <w:rsid w:val="7535244A"/>
    <w:rsid w:val="75504B8E"/>
    <w:rsid w:val="757C7B81"/>
    <w:rsid w:val="759233F8"/>
    <w:rsid w:val="75E1612D"/>
    <w:rsid w:val="75ED062E"/>
    <w:rsid w:val="75F95225"/>
    <w:rsid w:val="76167330"/>
    <w:rsid w:val="767D5E56"/>
    <w:rsid w:val="76B178AE"/>
    <w:rsid w:val="77185B7F"/>
    <w:rsid w:val="773F2FF6"/>
    <w:rsid w:val="77CD4BBB"/>
    <w:rsid w:val="77F6748E"/>
    <w:rsid w:val="781F6A99"/>
    <w:rsid w:val="78680440"/>
    <w:rsid w:val="78801C2E"/>
    <w:rsid w:val="78F41CD4"/>
    <w:rsid w:val="78FB2060"/>
    <w:rsid w:val="790939D1"/>
    <w:rsid w:val="790A0DE6"/>
    <w:rsid w:val="792720A9"/>
    <w:rsid w:val="794964C4"/>
    <w:rsid w:val="79695DE7"/>
    <w:rsid w:val="79915775"/>
    <w:rsid w:val="79AB7FAD"/>
    <w:rsid w:val="79C45B4A"/>
    <w:rsid w:val="7AA01628"/>
    <w:rsid w:val="7AC51B7A"/>
    <w:rsid w:val="7AD07482"/>
    <w:rsid w:val="7B072192"/>
    <w:rsid w:val="7B292109"/>
    <w:rsid w:val="7B4552A2"/>
    <w:rsid w:val="7B66335D"/>
    <w:rsid w:val="7B666A92"/>
    <w:rsid w:val="7B762E74"/>
    <w:rsid w:val="7B933A26"/>
    <w:rsid w:val="7B9A1258"/>
    <w:rsid w:val="7B9D48A5"/>
    <w:rsid w:val="7C413482"/>
    <w:rsid w:val="7C605FFE"/>
    <w:rsid w:val="7C6158D2"/>
    <w:rsid w:val="7C796FD5"/>
    <w:rsid w:val="7C905210"/>
    <w:rsid w:val="7D126BCC"/>
    <w:rsid w:val="7DB15308"/>
    <w:rsid w:val="7E1F5A45"/>
    <w:rsid w:val="7E1F77F3"/>
    <w:rsid w:val="7E484F9C"/>
    <w:rsid w:val="7E6D4A02"/>
    <w:rsid w:val="7EEE45CE"/>
    <w:rsid w:val="7EEF3669"/>
    <w:rsid w:val="7EFC7B34"/>
    <w:rsid w:val="7F3E1EFB"/>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ody Text Indent"/>
    <w:basedOn w:val="1"/>
    <w:unhideWhenUsed/>
    <w:qFormat/>
    <w:uiPriority w:val="0"/>
    <w:pPr>
      <w:topLinePunct/>
      <w:ind w:firstLine="560" w:firstLineChars="200"/>
    </w:pPr>
    <w:rPr>
      <w:rFonts w:eastAsia="仿宋_GB2312"/>
      <w:sz w:val="28"/>
      <w:szCs w:val="20"/>
    </w:rPr>
  </w:style>
  <w:style w:type="paragraph" w:styleId="5">
    <w:name w:val="toc 3"/>
    <w:basedOn w:val="1"/>
    <w:next w:val="1"/>
    <w:qFormat/>
    <w:uiPriority w:val="0"/>
    <w:pPr>
      <w:ind w:left="840" w:leftChars="400"/>
    </w:pPr>
  </w:style>
  <w:style w:type="paragraph" w:styleId="6">
    <w:name w:val="Balloon Text"/>
    <w:basedOn w:val="1"/>
    <w:link w:val="18"/>
    <w:qFormat/>
    <w:uiPriority w:val="0"/>
    <w:rPr>
      <w:rFonts w:ascii="宋体" w:eastAsia="宋体"/>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pPr>
      <w:widowControl/>
      <w:spacing w:after="100" w:line="259" w:lineRule="auto"/>
      <w:jc w:val="left"/>
    </w:pPr>
    <w:rPr>
      <w:rFonts w:cs="Times New Roman"/>
      <w:kern w:val="0"/>
      <w:sz w:val="22"/>
    </w:rPr>
  </w:style>
  <w:style w:type="paragraph" w:styleId="10">
    <w:name w:val="toc 2"/>
    <w:basedOn w:val="1"/>
    <w:next w:val="1"/>
    <w:unhideWhenUsed/>
    <w:qFormat/>
    <w:uiPriority w:val="39"/>
    <w:pPr>
      <w:widowControl/>
      <w:spacing w:after="100" w:line="259" w:lineRule="auto"/>
      <w:ind w:left="220"/>
      <w:jc w:val="left"/>
    </w:pPr>
    <w:rPr>
      <w:rFonts w:cs="Times New Roman"/>
      <w:kern w:val="0"/>
      <w:sz w:val="22"/>
    </w:rPr>
  </w:style>
  <w:style w:type="paragraph" w:styleId="11">
    <w:name w:val="annotation subject"/>
    <w:basedOn w:val="3"/>
    <w:next w:val="3"/>
    <w:link w:val="20"/>
    <w:qFormat/>
    <w:uiPriority w:val="0"/>
    <w:rPr>
      <w:b/>
      <w:bCs/>
    </w:rPr>
  </w:style>
  <w:style w:type="character" w:styleId="14">
    <w:name w:val="Emphasis"/>
    <w:basedOn w:val="13"/>
    <w:qFormat/>
    <w:uiPriority w:val="0"/>
    <w:rPr>
      <w:i/>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qFormat/>
    <w:uiPriority w:val="0"/>
    <w:rPr>
      <w:sz w:val="21"/>
      <w:szCs w:val="21"/>
    </w:rPr>
  </w:style>
  <w:style w:type="paragraph" w:styleId="17">
    <w:name w:val="List Paragraph"/>
    <w:basedOn w:val="1"/>
    <w:qFormat/>
    <w:uiPriority w:val="34"/>
    <w:pPr>
      <w:ind w:firstLine="420" w:firstLineChars="200"/>
    </w:pPr>
    <w:rPr>
      <w:rFonts w:ascii="Calibri" w:hAnsi="Calibri" w:eastAsia="宋体" w:cs="Times New Roman"/>
      <w:szCs w:val="24"/>
    </w:rPr>
  </w:style>
  <w:style w:type="character" w:customStyle="1" w:styleId="18">
    <w:name w:val="批注框文本 Char"/>
    <w:basedOn w:val="13"/>
    <w:link w:val="6"/>
    <w:qFormat/>
    <w:uiPriority w:val="0"/>
    <w:rPr>
      <w:rFonts w:ascii="宋体" w:hAnsiTheme="minorHAnsi" w:cstheme="minorBidi"/>
      <w:kern w:val="2"/>
      <w:sz w:val="18"/>
      <w:szCs w:val="18"/>
    </w:rPr>
  </w:style>
  <w:style w:type="character" w:customStyle="1" w:styleId="19">
    <w:name w:val="批注文字 Char"/>
    <w:basedOn w:val="13"/>
    <w:link w:val="3"/>
    <w:qFormat/>
    <w:uiPriority w:val="0"/>
    <w:rPr>
      <w:rFonts w:asciiTheme="minorHAnsi" w:hAnsiTheme="minorHAnsi" w:eastAsiaTheme="minorEastAsia" w:cstheme="minorBidi"/>
      <w:kern w:val="2"/>
      <w:sz w:val="21"/>
      <w:szCs w:val="22"/>
    </w:rPr>
  </w:style>
  <w:style w:type="character" w:customStyle="1" w:styleId="20">
    <w:name w:val="批注主题 Char"/>
    <w:basedOn w:val="19"/>
    <w:link w:val="11"/>
    <w:qFormat/>
    <w:uiPriority w:val="0"/>
    <w:rPr>
      <w:rFonts w:asciiTheme="minorHAnsi" w:hAnsiTheme="minorHAnsi" w:eastAsiaTheme="minorEastAsia" w:cstheme="minorBidi"/>
      <w:b/>
      <w:bCs/>
      <w:kern w:val="2"/>
      <w:sz w:val="21"/>
      <w:szCs w:val="22"/>
    </w:rPr>
  </w:style>
  <w:style w:type="paragraph" w:customStyle="1" w:styleId="21">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11188</Words>
  <Characters>12718</Characters>
  <Lines>43</Lines>
  <Paragraphs>32</Paragraphs>
  <TotalTime>21</TotalTime>
  <ScaleCrop>false</ScaleCrop>
  <LinksUpToDate>false</LinksUpToDate>
  <CharactersWithSpaces>12976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2023-03-01T07:36:00Z</dcterms:created>
  <dc:creator>Shirley</dc:creator>
  <cp:lastModifiedBy>林铌</cp:lastModifiedBy>
  <cp:lastPrinted>2023-09-06T08:16:00Z</cp:lastPrinted>
  <dcterms:modified xsi:type="dcterms:W3CDTF">2023-09-06T08:42:50Z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0C44AAB881534A65BAEE65F8AA54B7EA_13</vt:lpwstr>
  </property>
</Properties>
</file>