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638" w:beforeLines="200" w:after="319" w:afterLines="100" w:line="700" w:lineRule="exact"/>
        <w:jc w:val="center"/>
        <w:outlineLvl w:val="0"/>
        <w:rPr>
          <w:rFonts w:ascii="Calibri" w:hAnsi="Calibri" w:eastAsia="方正小标宋简体" w:cs="Times New Roman"/>
          <w:kern w:val="44"/>
          <w:sz w:val="28"/>
          <w:szCs w:val="28"/>
          <w:highlight w:val="none"/>
        </w:rPr>
      </w:pPr>
      <w:r>
        <w:rPr>
          <w:rFonts w:hint="eastAsia" w:ascii="Calibri" w:hAnsi="Calibri" w:eastAsia="方正小标宋简体" w:cs="Times New Roman"/>
          <w:kern w:val="44"/>
          <w:sz w:val="24"/>
          <w:szCs w:val="28"/>
          <w:highlight w:val="none"/>
        </w:rPr>
        <w:t>国产特殊化妆品首次注册审批办事指南</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一、行政许可事项名称及编码</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rPr>
        <w:t>特殊化妆品注册审批</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zh-TW"/>
        </w:rPr>
        <w:t>00017214900Y</w:t>
      </w:r>
      <w:r>
        <w:rPr>
          <w:rFonts w:ascii="Times New Roman" w:hAnsi="Times New Roman" w:eastAsia="仿宋_GB2312" w:cs="Times New Roman"/>
          <w:szCs w:val="21"/>
          <w:highlight w:val="none"/>
          <w:lang w:val="zh-TW"/>
        </w:rPr>
        <w:t>）</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rPr>
        <w:t>（一）</w:t>
      </w:r>
      <w:r>
        <w:rPr>
          <w:rFonts w:hint="eastAsia" w:ascii="楷体_GB2312" w:hAnsi="Times New Roman" w:eastAsia="楷体_GB2312" w:cs="Times New Roman"/>
          <w:szCs w:val="21"/>
          <w:highlight w:val="none"/>
          <w:lang w:val="zh-TW"/>
        </w:rPr>
        <w:t>许可事项名称</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国产特殊化妆品</w:t>
      </w:r>
      <w:r>
        <w:rPr>
          <w:rFonts w:hint="eastAsia" w:ascii="Times New Roman" w:hAnsi="Times New Roman" w:eastAsia="仿宋_GB2312" w:cs="Times New Roman"/>
          <w:szCs w:val="21"/>
          <w:highlight w:val="none"/>
          <w:u w:val="single"/>
          <w:lang w:val="en-US" w:eastAsia="zh-CN"/>
        </w:rPr>
        <w:t>首次</w:t>
      </w:r>
      <w:r>
        <w:rPr>
          <w:rFonts w:hint="eastAsia" w:ascii="Times New Roman" w:hAnsi="Times New Roman" w:eastAsia="仿宋_GB2312" w:cs="Times New Roman"/>
          <w:szCs w:val="21"/>
          <w:highlight w:val="none"/>
          <w:u w:val="single"/>
          <w:lang w:val="zh-TW"/>
        </w:rPr>
        <w:t xml:space="preserve">注册审批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（二）办事指南编码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（三）对应政务服务事项实施清单</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（四）实施编码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11100000MB0341032Y1000172036000           </w:t>
      </w:r>
    </w:p>
    <w:p>
      <w:pPr>
        <w:tabs>
          <w:tab w:val="left" w:pos="1880"/>
        </w:tabs>
        <w:spacing w:line="360" w:lineRule="exact"/>
        <w:ind w:firstLine="420" w:firstLineChars="200"/>
        <w:rPr>
          <w:rFonts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（五）业务办理项编码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11100000MB0341032Y100017203600001            </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二、行政许可事项的子项名称及编码、业务办理项</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（一）子项：</w:t>
      </w:r>
      <w:r>
        <w:rPr>
          <w:rFonts w:hint="eastAsia" w:ascii="Times New Roman" w:hAnsi="仿宋_GB2312" w:eastAsia="仿宋_GB2312"/>
          <w:szCs w:val="21"/>
          <w:highlight w:val="none"/>
        </w:rPr>
        <w:t>国产</w:t>
      </w:r>
      <w:r>
        <w:rPr>
          <w:rFonts w:ascii="Times New Roman" w:hAnsi="仿宋_GB2312" w:eastAsia="仿宋_GB2312"/>
          <w:szCs w:val="21"/>
          <w:highlight w:val="none"/>
        </w:rPr>
        <w:t>特殊化妆品</w:t>
      </w:r>
      <w:r>
        <w:rPr>
          <w:rFonts w:hint="eastAsia" w:ascii="Times New Roman" w:hAnsi="仿宋_GB2312" w:eastAsia="仿宋_GB2312"/>
          <w:szCs w:val="21"/>
          <w:highlight w:val="none"/>
        </w:rPr>
        <w:t>注册审批</w:t>
      </w:r>
      <w:r>
        <w:rPr>
          <w:rFonts w:ascii="Times New Roman" w:hAnsi="仿宋_GB2312" w:eastAsia="仿宋_GB2312"/>
          <w:szCs w:val="21"/>
          <w:highlight w:val="none"/>
        </w:rPr>
        <w:t>（</w:t>
      </w:r>
      <w:r>
        <w:rPr>
          <w:rFonts w:hint="eastAsia" w:ascii="Times New Roman" w:hAnsi="Times New Roman" w:eastAsia="仿宋_GB2312"/>
          <w:szCs w:val="21"/>
          <w:highlight w:val="none"/>
        </w:rPr>
        <w:t>00017214900</w:t>
      </w:r>
      <w:r>
        <w:rPr>
          <w:rFonts w:hint="eastAsia" w:ascii="Times New Roman" w:hAnsi="Times New Roman" w:eastAsia="仿宋_GB2312"/>
          <w:szCs w:val="21"/>
          <w:highlight w:val="none"/>
          <w:lang w:val="en-US" w:eastAsia="zh-CN"/>
        </w:rPr>
        <w:t>1</w:t>
      </w:r>
      <w:r>
        <w:rPr>
          <w:rFonts w:ascii="Times New Roman" w:hAnsi="仿宋_GB2312" w:eastAsia="仿宋_GB2312"/>
          <w:szCs w:val="21"/>
          <w:highlight w:val="none"/>
        </w:rPr>
        <w:t>）</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（二）业务办理项：</w:t>
      </w:r>
      <w:r>
        <w:rPr>
          <w:rFonts w:hint="eastAsia" w:ascii="Times New Roman" w:hAnsi="仿宋_GB2312" w:eastAsia="仿宋_GB2312" w:cs="Times New Roman"/>
          <w:szCs w:val="21"/>
          <w:highlight w:val="none"/>
        </w:rPr>
        <w:t>国产</w:t>
      </w:r>
      <w:r>
        <w:rPr>
          <w:rFonts w:ascii="Times New Roman" w:hAnsi="仿宋_GB2312" w:eastAsia="仿宋_GB2312" w:cs="Times New Roman"/>
          <w:szCs w:val="21"/>
          <w:highlight w:val="none"/>
        </w:rPr>
        <w:t>特殊化妆品首次注册</w:t>
      </w:r>
      <w:r>
        <w:rPr>
          <w:rFonts w:hint="eastAsia" w:ascii="Times New Roman" w:hAnsi="仿宋_GB2312" w:eastAsia="仿宋_GB2312" w:cs="Times New Roman"/>
          <w:szCs w:val="21"/>
          <w:highlight w:val="none"/>
        </w:rPr>
        <w:t>审批</w:t>
      </w:r>
    </w:p>
    <w:p>
      <w:pPr>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黑体_GBK" w:cs="Times New Roman"/>
          <w:szCs w:val="21"/>
          <w:highlight w:val="none"/>
        </w:rPr>
        <w:t>三、主管部门</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_GB2312" w:cs="Times New Roman"/>
          <w:szCs w:val="21"/>
          <w:highlight w:val="none"/>
          <w:lang w:val="zh-TW"/>
        </w:rPr>
        <w:t>国家药监局</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四、设定和实施依据</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（一）设定依据：</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《化妆品监督管理条例》第四条：国家按照风险程度对化妆品、化妆品新原料实行分类管理。国家对特殊化妆品实行注册管理，对普通化妆品实行备案管理；</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第十七条：特殊化妆品经国务院药品监督管理部门注册后方可生产、进口。</w:t>
      </w:r>
    </w:p>
    <w:p>
      <w:pPr>
        <w:tabs>
          <w:tab w:val="left" w:pos="3112"/>
        </w:tabs>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（二）实施依据：</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szCs w:val="21"/>
          <w:highlight w:val="none"/>
        </w:rPr>
        <w:t>《化妆品监督管理条例》</w:t>
      </w:r>
      <w:r>
        <w:rPr>
          <w:rFonts w:hint="eastAsia" w:ascii="Times New Roman" w:hAnsi="Times New Roman" w:eastAsia="仿宋_GB2312" w:cs="Times New Roman"/>
          <w:szCs w:val="21"/>
          <w:highlight w:val="none"/>
          <w:lang w:val="en"/>
        </w:rPr>
        <w:t>第十七条：特殊化妆品经国务院药品监督管理部门注册后方可生产、进口。</w:t>
      </w:r>
    </w:p>
    <w:p>
      <w:pPr>
        <w:spacing w:line="360" w:lineRule="exact"/>
        <w:ind w:firstLine="420" w:firstLineChars="200"/>
        <w:rPr>
          <w:rFonts w:ascii="Times New Roman" w:hAnsi="Times New Roman" w:eastAsia="宋体" w:cs="Times New Roman"/>
          <w:szCs w:val="21"/>
          <w:highlight w:val="none"/>
        </w:rPr>
      </w:pPr>
      <w:r>
        <w:rPr>
          <w:rFonts w:ascii="Times New Roman" w:hAnsi="Times New Roman" w:eastAsia="方正楷体_GBK" w:cs="Times New Roman"/>
          <w:szCs w:val="21"/>
          <w:highlight w:val="none"/>
        </w:rPr>
        <w:t>（三）监管依据：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注册备案管理办法》第六条：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第四十八条：特殊化妆品取得注册证后，注册人应当在产品投放市场前，将上市销售的产品标签图片上传至信息服务平台，供社会公众查询。</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numPr>
          <w:ilvl w:val="255"/>
          <w:numId w:val="0"/>
        </w:num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五、实施机关</w:t>
      </w:r>
    </w:p>
    <w:p>
      <w:pPr>
        <w:tabs>
          <w:tab w:val="left" w:pos="1880"/>
        </w:tabs>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国家药监局</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楷体_GB2312" w:hAnsi="Times New Roman" w:eastAsia="楷体_GB2312" w:cs="Times New Roman"/>
          <w:szCs w:val="21"/>
          <w:highlight w:val="none"/>
        </w:rPr>
        <w:t>（一）权力来源</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  法定本级行使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（二）实施主体</w:t>
      </w:r>
      <w:r>
        <w:rPr>
          <w:rFonts w:hint="eastAsia"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single"/>
        </w:rPr>
        <w:t xml:space="preserve"> 国家药品监督管理局</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（三）实施主体性质</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法定机关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如是受委托组织，请填写委托部门：</w:t>
      </w:r>
      <w:r>
        <w:rPr>
          <w:rFonts w:hint="eastAsia" w:ascii="Times New Roman" w:hAnsi="Times New Roman" w:eastAsia="仿宋" w:cs="Times New Roman"/>
          <w:szCs w:val="21"/>
          <w:highlight w:val="none"/>
          <w:u w:val="single"/>
        </w:rPr>
        <w:t xml:space="preserve">    </w:t>
      </w:r>
      <w:r>
        <w:rPr>
          <w:rFonts w:hint="eastAsia" w:ascii="Times New Roman" w:hAnsi="Times New Roman" w:eastAsia="仿宋" w:cs="Times New Roman"/>
          <w:szCs w:val="21"/>
          <w:highlight w:val="none"/>
          <w:u w:val="single"/>
          <w:lang w:eastAsia="zh-CN"/>
        </w:rPr>
        <w:t>无</w:t>
      </w:r>
      <w:r>
        <w:rPr>
          <w:rFonts w:hint="eastAsia" w:ascii="Times New Roman" w:hAnsi="Times New Roman" w:eastAsia="仿宋" w:cs="Times New Roman"/>
          <w:szCs w:val="21"/>
          <w:highlight w:val="none"/>
          <w:u w:val="single"/>
          <w:lang w:val="en-US" w:eastAsia="zh-CN"/>
        </w:rPr>
        <w:t xml:space="preserve"> </w:t>
      </w:r>
      <w:r>
        <w:rPr>
          <w:rFonts w:hint="eastAsia" w:ascii="Times New Roman" w:hAnsi="Times New Roman" w:eastAsia="仿宋"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（四）实施主体编码</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11100000MB0341032Y</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六、审批层级</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（一）审批层级：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（二）行使层级：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（三）受理层级：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（四）初审层级：</w:t>
      </w:r>
      <w:r>
        <w:rPr>
          <w:rFonts w:hint="eastAsia"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七、行政许可事项类型</w:t>
      </w:r>
      <w:r>
        <w:rPr>
          <w:rFonts w:hint="eastAsia" w:ascii="Times New Roman" w:hAnsi="Times New Roman" w:eastAsia="方正黑体_GBK" w:cs="Times New Roman"/>
          <w:szCs w:val="21"/>
          <w:highlight w:val="none"/>
        </w:rPr>
        <w:t>（不对外公开）</w:t>
      </w:r>
      <w:r>
        <w:rPr>
          <w:rFonts w:ascii="Times New Roman" w:hAnsi="Times New Roman" w:eastAsia="仿宋" w:cs="Times New Roman"/>
          <w:szCs w:val="21"/>
          <w:highlight w:val="none"/>
        </w:rPr>
        <w:t xml:space="preserve"> </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仿宋_GB2312" w:cs="Times New Roman"/>
          <w:szCs w:val="21"/>
          <w:highlight w:val="none"/>
          <w:lang w:val="zh-TW"/>
        </w:rPr>
        <w:t>条件型</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八、许可条件</w:t>
      </w:r>
    </w:p>
    <w:p>
      <w:pPr>
        <w:spacing w:line="360" w:lineRule="exact"/>
        <w:ind w:firstLine="421" w:firstLineChars="200"/>
        <w:rPr>
          <w:rFonts w:ascii="Times New Roman" w:hAnsi="Times New Roman" w:eastAsia="仿宋" w:cs="Times New Roman"/>
          <w:b/>
          <w:szCs w:val="21"/>
          <w:highlight w:val="none"/>
          <w:lang w:val="zh-TW"/>
        </w:rPr>
      </w:pPr>
      <w:r>
        <w:rPr>
          <w:rFonts w:ascii="Times New Roman" w:hAnsi="Times New Roman" w:eastAsia="方正楷体_GBK" w:cs="Times New Roman"/>
          <w:b/>
          <w:szCs w:val="21"/>
          <w:highlight w:val="none"/>
          <w:lang w:val="zh-TW"/>
        </w:rPr>
        <w:t>（一）准予行政许可的条件：</w:t>
      </w:r>
    </w:p>
    <w:p>
      <w:pPr>
        <w:tabs>
          <w:tab w:val="left" w:pos="3112"/>
        </w:tabs>
        <w:spacing w:line="360" w:lineRule="exact"/>
        <w:ind w:firstLine="420" w:firstLineChars="200"/>
        <w:jc w:val="left"/>
        <w:rPr>
          <w:rFonts w:ascii="Times New Roman" w:hAnsi="Times New Roman" w:eastAsia="黑体"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化妆品注册人应当遵循风险管理的原则，以科学研究为基础，对提交的注册资料的合法性、真实性、</w:t>
      </w:r>
      <w:r>
        <w:rPr>
          <w:rFonts w:hint="eastAsia" w:ascii="Times New Roman" w:hAnsi="仿宋_GB2312" w:eastAsia="仿宋_GB2312" w:cs="Times New Roman"/>
          <w:szCs w:val="21"/>
          <w:highlight w:val="none"/>
        </w:rPr>
        <w:t>准确性、</w:t>
      </w:r>
      <w:r>
        <w:rPr>
          <w:rFonts w:ascii="Times New Roman" w:hAnsi="仿宋_GB2312" w:eastAsia="仿宋_GB2312" w:cs="Times New Roman"/>
          <w:szCs w:val="21"/>
          <w:highlight w:val="none"/>
        </w:rPr>
        <w:t>完整性</w:t>
      </w:r>
      <w:r>
        <w:rPr>
          <w:rFonts w:hint="eastAsia" w:ascii="Times New Roman" w:hAnsi="仿宋_GB2312" w:eastAsia="仿宋_GB2312" w:cs="Times New Roman"/>
          <w:szCs w:val="21"/>
          <w:highlight w:val="none"/>
        </w:rPr>
        <w:t>和可追溯性</w:t>
      </w:r>
      <w:r>
        <w:rPr>
          <w:rFonts w:ascii="Times New Roman" w:hAnsi="仿宋_GB2312" w:eastAsia="仿宋_GB2312" w:cs="Times New Roman"/>
          <w:szCs w:val="21"/>
          <w:highlight w:val="none"/>
        </w:rPr>
        <w:t>负责</w:t>
      </w:r>
      <w:r>
        <w:rPr>
          <w:rFonts w:hint="eastAsia"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ascii="Times New Roman" w:hAnsi="仿宋_GB2312" w:eastAsia="仿宋_GB2312" w:cs="Times New Roman"/>
          <w:szCs w:val="21"/>
          <w:highlight w:val="none"/>
        </w:rPr>
        <w:t>2</w:t>
      </w:r>
      <w:r>
        <w:rPr>
          <w:rFonts w:hint="eastAsia" w:ascii="Times New Roman" w:hAnsi="仿宋_GB2312" w:eastAsia="仿宋_GB2312" w:cs="Times New Roman"/>
          <w:szCs w:val="21"/>
          <w:highlight w:val="none"/>
        </w:rPr>
        <w:t>.资料真实完整，能够证明产品安全性和质量可控性，符合法律、行政法规、强制性国家标准和技术规范要求。</w:t>
      </w:r>
    </w:p>
    <w:p>
      <w:pPr>
        <w:spacing w:line="360" w:lineRule="exact"/>
        <w:ind w:firstLine="421" w:firstLineChars="200"/>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（二）受理条件：</w:t>
      </w:r>
    </w:p>
    <w:p>
      <w:pPr>
        <w:tabs>
          <w:tab w:val="left" w:pos="1880"/>
        </w:tabs>
        <w:spacing w:line="360" w:lineRule="exact"/>
        <w:ind w:firstLine="420" w:firstLineChars="200"/>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1、化妆品注册人应是依法设立的企业或者其他组织，具有与申请注册、进行备案化妆品相适应的质量管理体系和有不良反应监测与评价的能力。</w:t>
      </w:r>
    </w:p>
    <w:p>
      <w:pPr>
        <w:tabs>
          <w:tab w:val="left" w:pos="1880"/>
        </w:tabs>
        <w:spacing w:line="360" w:lineRule="exact"/>
        <w:ind w:firstLine="420" w:firstLineChars="200"/>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2、化妆品注册人应当依照法律、行政法规、强制性国家标准、技术规范和注册备案管理等规定，开展化妆品研制、安全评估、注册备案检验等工作，并按照《化妆品注册备案资料管理规定》的要求提交注册资料。注册资料应当使用规范汉字、清晰完整、符合国家有关用章规定，确保申报资料中同项内容前后一致。</w:t>
      </w:r>
    </w:p>
    <w:p>
      <w:pPr>
        <w:tabs>
          <w:tab w:val="left" w:pos="1880"/>
        </w:tabs>
        <w:spacing w:line="360" w:lineRule="exact"/>
        <w:ind w:firstLine="421" w:firstLineChars="200"/>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zh-TW"/>
        </w:rPr>
        <w:t>三</w:t>
      </w:r>
      <w:r>
        <w:rPr>
          <w:rFonts w:ascii="Times New Roman" w:hAnsi="Times New Roman" w:eastAsia="方正楷体_GBK" w:cs="Times New Roman"/>
          <w:b/>
          <w:szCs w:val="21"/>
          <w:highlight w:val="none"/>
          <w:lang w:val="zh-TW"/>
        </w:rPr>
        <w:t>）规定许可条件的依据：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《化妆品监督管理条例》第十七条：特殊化妆品经国务院药品监督管理部门注册后方可生产、进口。</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第十九条：申请特殊化妆品注册或者进行普通化妆品备案，应当提交下列资料：</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（一）注册申请人、备案人的名称、地址、联系方式；</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（二）生产企业的名称、地址、联系方式；</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（三）产品名称；</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（四）产品配方或者产品全成分；</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（五）产品执行的标准；</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（六）产品标签样稿；</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（七）产品检验报告；</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（八）产品安全评估资料。</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注册申请人首次申请特殊化妆品注册或者备案人首次进行普通化妆品备案的，应当提交其符合本条例第十八条规定条件的证明资料。</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注册申请人、备案人应当对所提交资料的真实性、科学性负责。</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二十条：国务院药品监督管理部门依照本条例第十三条第一款规定的化妆品新原料注册审查程序对特殊化妆品注册申请进行审查。对符合要求的，准予注册并发给特殊化妆品注册证；对不符合要求的，不予注册并书面说明理由。</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化妆品注册备案管理办法》（国家市场监督管理总局令第35号）第三条：化妆品、化妆品新原料注册，是指注册申请人依照法定程序和要求提出注册申请，药品监督管理部门对申请注册的化妆品、化妆品新原料的安全性和质量可控性进行审查，决定是否同意其申请的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第十四条：技术审评机构应当自收到申请资料之日起90个工作日内，按照技术审评的要求组织开展技术审评，并根据下列情况分别作出处理：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（一）申请资料真实完整，能够证明产品安全性和质量可控性、产品配方和产品执行的标准合理，且符合现行法律、行政法规、强制性国家标准和技术规范要求的，作出技术审评通过的审评结论；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（二）申请资料不真实，不能证明产品安全性和质量可控性、产品配方和产品执行的标准不合理，或者不符合现行法律、行政法规、强制性国家标准和技术规范要求的，作出技术审评不通过的审评结论；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第四十条 国家药品监督管理局应当自收到技术审评结论之日起20个工作日内，对技术审评程序和结论的合法性、规范性以及完整性进行审查，并作出是否准予注册的决定。</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受理机构应当自国家药品监督管理局作出行政审批决定之日起10个工作日内，向申请人发出化妆品注册证或者不予注册决定书。化妆品注册证有效期5年。</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w:t>
      </w:r>
      <w:r>
        <w:rPr>
          <w:rFonts w:hint="eastAsia"/>
          <w:highlight w:val="none"/>
        </w:rPr>
        <w:t xml:space="preserve"> </w:t>
      </w:r>
      <w:r>
        <w:rPr>
          <w:rFonts w:hint="eastAsia" w:ascii="Times New Roman" w:hAnsi="Times New Roman" w:eastAsia="仿宋_GB2312" w:cs="Times New Roman"/>
          <w:szCs w:val="21"/>
          <w:highlight w:val="none"/>
        </w:rPr>
        <w:t>国家药监局关于发布《化妆品注册备案资料管理规定》的公告（2021年第32号）</w:t>
      </w:r>
      <w:r>
        <w:rPr>
          <w:rFonts w:hint="eastAsia"/>
          <w:highlight w:val="none"/>
        </w:rPr>
        <w:t xml:space="preserve"> 第三条：</w:t>
      </w:r>
      <w:r>
        <w:rPr>
          <w:rFonts w:hint="eastAsia" w:ascii="Times New Roman" w:hAnsi="Times New Roman" w:eastAsia="仿宋_GB2312" w:cs="Times New Roman"/>
          <w:szCs w:val="21"/>
          <w:highlight w:val="none"/>
        </w:rPr>
        <w:t>化妆品注册人、备案人应当遵循风险管理的原则，以科学研究为基础，对提交的注册备案资料的合法性、真实性、准确性、完整性和可追溯性负责，并且承担相应的法律责任。境外化妆品注册人、备案人应当对境内责任人的注册备案工作进行监督。</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九、申请材料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（一）</w:t>
      </w:r>
      <w:r>
        <w:rPr>
          <w:rFonts w:hint="eastAsia" w:ascii="Times New Roman" w:hAnsi="Times New Roman" w:eastAsia="方正楷体_GBK" w:cs="Times New Roman"/>
          <w:b/>
          <w:szCs w:val="21"/>
          <w:highlight w:val="none"/>
          <w:lang w:val="zh-TW"/>
        </w:rPr>
        <w:t>国产</w:t>
      </w:r>
      <w:r>
        <w:rPr>
          <w:rFonts w:ascii="Times New Roman" w:hAnsi="Times New Roman" w:eastAsia="方正楷体_GBK" w:cs="Times New Roman"/>
          <w:b/>
          <w:szCs w:val="21"/>
          <w:highlight w:val="none"/>
          <w:lang w:val="zh-TW"/>
        </w:rPr>
        <w:t>特殊化妆品首次注册审批</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《化妆品注册备案信息表》</w:t>
      </w:r>
      <w:r>
        <w:rPr>
          <w:rFonts w:hint="eastAsia" w:ascii="Times New Roman" w:hAnsi="仿宋_GB2312" w:eastAsia="仿宋_GB2312" w:cs="Times New Roman"/>
          <w:szCs w:val="21"/>
          <w:highlight w:val="none"/>
        </w:rPr>
        <w:t>及相关资料</w:t>
      </w:r>
      <w:r>
        <w:rPr>
          <w:rFonts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2. </w:t>
      </w:r>
      <w:r>
        <w:rPr>
          <w:rFonts w:ascii="Times New Roman" w:hAnsi="仿宋_GB2312" w:eastAsia="仿宋_GB2312" w:cs="Times New Roman"/>
          <w:szCs w:val="21"/>
          <w:highlight w:val="none"/>
        </w:rPr>
        <w:t>产品名称信息；</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3. </w:t>
      </w:r>
      <w:r>
        <w:rPr>
          <w:rFonts w:ascii="Times New Roman" w:hAnsi="仿宋_GB2312" w:eastAsia="仿宋_GB2312" w:cs="Times New Roman"/>
          <w:szCs w:val="21"/>
          <w:highlight w:val="none"/>
        </w:rPr>
        <w:t>产品配方；</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4. </w:t>
      </w:r>
      <w:r>
        <w:rPr>
          <w:rFonts w:ascii="Times New Roman" w:hAnsi="仿宋_GB2312" w:eastAsia="仿宋_GB2312" w:cs="Times New Roman"/>
          <w:szCs w:val="21"/>
          <w:highlight w:val="none"/>
        </w:rPr>
        <w:t>产品执行的标准；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5. </w:t>
      </w:r>
      <w:r>
        <w:rPr>
          <w:rFonts w:ascii="Times New Roman" w:hAnsi="仿宋_GB2312" w:eastAsia="仿宋_GB2312" w:cs="Times New Roman"/>
          <w:szCs w:val="21"/>
          <w:highlight w:val="none"/>
        </w:rPr>
        <w:t>产品标签样稿；</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6. 产品检验报告；</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7. 产品安全评估资料；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具体要求详见《国家药监局关于发布&lt;化妆品注册备案资料管理规定&gt;的公告》（2021年第32号）第三章。</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规定申请材料的依据：</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1.《化妆品监督管理条例》第十九条：申请特殊化妆品注册或者进行普通化妆品备案，应当提交下列资料：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（一）注册申请人、备案人的名称、地址、联系方式；</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（二）生产企业的名称、地址、联系方式；</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（三）产品名称；</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（四）产品配方或者产品全成分；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（五）产品执行的标准；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（六）产品标签样稿；</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（七）产品检验报告；</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（八）产品安全评估资料。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第二十一条：化妆品新原料和化妆品注册、备案前，注册申请人、备案人应当自行或者委托专业机构开展安全评估。……</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2.《国家药监局关于发布&lt;化妆品注册备案资料管理规定&gt;的公告》（2021年第32号）第二十六条：注册人、备案人办理注册或者备案时，应当提交以下资料：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（一）《化妆品注册备案信息表》及相关资料；</w:t>
      </w:r>
    </w:p>
    <w:p>
      <w:pPr>
        <w:tabs>
          <w:tab w:val="left" w:pos="3526"/>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（二）产品名称信息；</w:t>
      </w:r>
      <w:r>
        <w:rPr>
          <w:rFonts w:ascii="Times New Roman" w:hAnsi="仿宋_GB2312" w:eastAsia="仿宋_GB2312" w:cs="Times New Roman"/>
          <w:szCs w:val="21"/>
          <w:highlight w:val="none"/>
        </w:rPr>
        <w:tab/>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（三）产品配方；</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（四）产品执行的标准；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（五）产品标签样稿；</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（六）产品检验报告；</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（七）产品安全评估资料。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材料信息：</w:t>
      </w:r>
    </w:p>
    <w:p>
      <w:pPr>
        <w:pStyle w:val="11"/>
        <w:numPr>
          <w:ilvl w:val="0"/>
          <w:numId w:val="1"/>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《化妆品注册备案信息表》及相关资料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附2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内容完整、清晰，信息一致，签章齐全，真实合法。《化妆品注册备案信息表》和相关资料应当规范、完整，符合《化妆品注册备案资料管理规定》的要求。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1       </w:t>
      </w:r>
    </w:p>
    <w:p>
      <w:pPr>
        <w:pStyle w:val="11"/>
        <w:numPr>
          <w:ilvl w:val="0"/>
          <w:numId w:val="1"/>
        </w:numPr>
        <w:tabs>
          <w:tab w:val="left" w:pos="3112"/>
        </w:tabs>
        <w:spacing w:line="360" w:lineRule="exact"/>
        <w:ind w:firstLineChars="0"/>
        <w:jc w:val="left"/>
        <w:rPr>
          <w:rFonts w:ascii="Times New Roman" w:hAnsi="仿宋_GB2312" w:eastAsia="仿宋_GB2312" w:cs="Times New Roman"/>
          <w:szCs w:val="21"/>
          <w:highlight w:val="none"/>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产品名称信息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附3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附4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lang w:val="zh-TW"/>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r>
        <w:rPr>
          <w:rFonts w:hint="eastAsia" w:ascii="Times New Roman" w:hAnsi="Times New Roman" w:eastAsia="仿宋_GB2312" w:cs="Times New Roman"/>
          <w:szCs w:val="21"/>
          <w:highlight w:val="none"/>
          <w:u w:val="single"/>
          <w:lang w:val="zh-TW"/>
        </w:rPr>
        <w:t xml:space="preserve"> </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 xml:space="preserve">  内容完整、清晰，信息一致，签章齐全，真实合法，产品命名应当符合《化妆品标签管理办法》等相关法规要求。</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2     </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3.</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产品配方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附5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附6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lang w:val="zh-TW"/>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 xml:space="preserve">  内容完整、清晰，信息一致，签章齐全，真实合法。产品配方为生产投料配方，应当符合国家有关法律法规和技术规范的相关要求。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3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4.</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产品执行的标准</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附7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附8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lang w:val="zh-TW"/>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内容完整、清晰，信息一致，签章齐全，真实合法。产品执行的标准应当符合国家有关法律法规、强制性国家标准和技术规范的相关要求。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4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5.</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w:t>
      </w:r>
      <w:r>
        <w:rPr>
          <w:rFonts w:hint="eastAsia" w:ascii="Times New Roman" w:hAnsi="仿宋_GB2312" w:eastAsia="仿宋_GB2312" w:cs="Times New Roman"/>
          <w:szCs w:val="21"/>
          <w:highlight w:val="none"/>
          <w:u w:val="single"/>
        </w:rPr>
        <w:t>标签样稿</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w:t>
      </w:r>
      <w:r>
        <w:rPr>
          <w:rFonts w:hint="eastAsia" w:ascii="Times New Roman" w:hAnsi="Times New Roman" w:eastAsia="仿宋_GB2312" w:cs="Times New Roman"/>
          <w:szCs w:val="21"/>
          <w:highlight w:val="none"/>
          <w:u w:val="single"/>
          <w:lang w:val="en-US" w:eastAsia="zh-CN"/>
        </w:rPr>
        <w:t xml:space="preserve">  </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电子版线上填报，纸质版线下打印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zh-TW"/>
        </w:rPr>
        <w:t>9</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附10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lang w:val="zh-TW"/>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内容完整、清晰，信息一致，签章齐全，真实合法。产品标签样稿应当符合《化妆品监督管理条例》《化妆品标签管理办法》和《化妆品功效宣称评价规范》等相关法规要求。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5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6.</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w:t>
      </w:r>
      <w:r>
        <w:rPr>
          <w:rFonts w:hint="eastAsia" w:ascii="Times New Roman" w:hAnsi="仿宋_GB2312" w:eastAsia="仿宋_GB2312" w:cs="Times New Roman"/>
          <w:szCs w:val="21"/>
          <w:highlight w:val="none"/>
          <w:u w:val="single"/>
        </w:rPr>
        <w:t>检验报告</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纸质和电子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其他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电子版线上提交，纸质版检验机构出具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w:t>
      </w:r>
      <w:r>
        <w:rPr>
          <w:rFonts w:hint="eastAsia" w:ascii="Times New Roman" w:hAnsi="Times New Roman" w:eastAsia="仿宋_GB2312" w:cs="Times New Roman"/>
          <w:szCs w:val="21"/>
          <w:highlight w:val="none"/>
          <w:u w:val="single"/>
          <w:lang w:val="zh-TW"/>
        </w:rPr>
        <w:t xml:space="preserve"> 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lang w:val="zh-TW"/>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内容完整、清晰，信息一致，签章齐全，真实合法。产品检验报告应由化妆品注册和备案检验机构出具，应当符合《化妆品安全技术规范》《化妆品注册和备案检验工作规范》等相关法规的规定。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6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7.</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w:t>
      </w:r>
      <w:r>
        <w:rPr>
          <w:rFonts w:hint="eastAsia" w:ascii="Times New Roman" w:hAnsi="仿宋_GB2312" w:eastAsia="仿宋_GB2312" w:cs="Times New Roman"/>
          <w:szCs w:val="21"/>
          <w:highlight w:val="none"/>
          <w:u w:val="single"/>
        </w:rPr>
        <w:t>安全评估报告</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电子、纸质和电子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电子版线上提交，纸质版由企业自行或委托专业机构出具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zh-TW"/>
        </w:rPr>
        <w:t>11</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附12</w:t>
      </w:r>
      <w:r>
        <w:rPr>
          <w:rFonts w:hint="eastAsia" w:ascii="Times New Roman" w:hAnsi="Times New Roman" w:eastAsia="仿宋_GB2312" w:cs="Times New Roman"/>
          <w:szCs w:val="21"/>
          <w:highlight w:val="none"/>
          <w:u w:val="single"/>
        </w:rPr>
        <w:t>-</w:t>
      </w:r>
      <w:r>
        <w:rPr>
          <w:rFonts w:hint="eastAsia" w:ascii="Times New Roman" w:hAnsi="Times New Roman" w:eastAsia="仿宋_GB2312" w:cs="Times New Roman"/>
          <w:szCs w:val="21"/>
          <w:highlight w:val="none"/>
          <w:u w:val="single"/>
          <w:lang w:val="zh-TW"/>
        </w:rPr>
        <w:t xml:space="preserve">13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提供的注册相关资料均真实合法。企业对资料内容负责，并承担相应的法律责任。企业</w:t>
      </w:r>
      <w:r>
        <w:rPr>
          <w:rFonts w:hint="eastAsia" w:ascii="Times New Roman" w:hAnsi="Times New Roman" w:eastAsia="仿宋_GB2312" w:cs="Times New Roman"/>
          <w:szCs w:val="21"/>
          <w:highlight w:val="none"/>
          <w:u w:val="single"/>
          <w:lang w:val="zh-TW"/>
        </w:rPr>
        <w:t>应</w:t>
      </w:r>
      <w:r>
        <w:rPr>
          <w:rFonts w:ascii="Times New Roman" w:hAnsi="Times New Roman" w:eastAsia="仿宋_GB2312" w:cs="Times New Roman"/>
          <w:szCs w:val="21"/>
          <w:highlight w:val="none"/>
          <w:u w:val="single"/>
          <w:lang w:val="zh-TW"/>
        </w:rPr>
        <w:t>妥善保管用户密码，通过该用户进行的注册备案相关行为均代表企业行为，因密码丢失或泄密造成的损失将由企业自行承担。</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内容完整、清晰，信息一致，签章齐全，真实合法。产品安全评估报告应当符合《化妆品安全评估技术导则》以及相关指导原则要求。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7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十、中介服务</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（一）有无法定中介服务事项</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（二）中介服务事项名称</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（三）设定中介服务事项的依据</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（四）提供中介服务的机构</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（五）中介服务事项的收费性质</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十一、审批程序</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（一）办理行政许可的程序环节：</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1</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受理</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2</w:t>
      </w:r>
      <w:r>
        <w:rPr>
          <w:rFonts w:ascii="Times New Roman" w:hAnsi="Times New Roman" w:eastAsia="仿宋_GB2312" w:cs="Times New Roman"/>
          <w:szCs w:val="21"/>
          <w:highlight w:val="none"/>
          <w:lang w:val="zh-TW"/>
        </w:rPr>
        <w:t>）审查</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3</w:t>
      </w:r>
      <w:r>
        <w:rPr>
          <w:rFonts w:ascii="Times New Roman" w:hAnsi="Times New Roman" w:eastAsia="仿宋_GB2312" w:cs="Times New Roman"/>
          <w:szCs w:val="21"/>
          <w:highlight w:val="none"/>
          <w:lang w:val="zh-TW"/>
        </w:rPr>
        <w:t>）现场检查和审核（整改的现场复查和审核）</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4</w:t>
      </w:r>
      <w:r>
        <w:rPr>
          <w:rFonts w:ascii="Times New Roman" w:hAnsi="Times New Roman" w:eastAsia="仿宋_GB2312" w:cs="Times New Roman"/>
          <w:szCs w:val="21"/>
          <w:highlight w:val="none"/>
          <w:lang w:val="zh-TW"/>
        </w:rPr>
        <w:t>）决定</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5</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送达</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（6）办理流程（附件）：</w:t>
      </w:r>
      <w:r>
        <w:rPr>
          <w:rFonts w:hint="eastAsia" w:ascii="Times New Roman" w:hAnsi="Times New Roman" w:eastAsia="仿宋_GB2312" w:cs="Times New Roman"/>
          <w:szCs w:val="21"/>
          <w:highlight w:val="none"/>
          <w:u w:val="single"/>
          <w:lang w:val="zh-TW"/>
        </w:rPr>
        <w:t xml:space="preserve">     附14          </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（二）规定行政许可程序的依据：</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《化妆品注册备案管理办法》（国家市场监督管理总局令第35号）第三十八条：特殊化妆品生产或者进口前，注册申请人应当按照国家药品监督管理局的要求提交申请资料。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特殊化妆品注册程序和时限未作规定的，适用本办法关于化妆品新原料注册的规定。</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三条：申请注册具有防腐、防晒、着色、染发、祛斑美白功能的化妆品新原料，应当按照国家药品监督管理局要求提交申请资料。受理机构应当自收到申请之日起5个工作日内完成对申请资料的形式审查，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（一）申请事项依法不需要取得注册的，作出不予受理的决定，出具不予受理通知书；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（二）申请事项依法不属于国家药品监督管理局职权范围的，应当作出不予受理的决定，出具不予受理通知书，并告知申请人向有关行政机关申请；</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（三）申请资料不齐全或者不符合规定形式的，出具补正通知书，一次告知申请人需要补正的全部内容，逾期未告知的，自收到申请资料之日起即为受理；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（四）申请资料齐全、符合规定形式要求的，或者申请人按照要求提交全部补正材料的，应当受理注册申请并出具受理通知书。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受理机构应当自受理注册申请后3个工作日内，将申请资料转交技术审评机构。</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第三十九条：技术审评机构应当自收到申请资料之日起90个工作日内，按照技术审评的要求组织开展技术审评，并根据下列情况分别作出处理：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（一）申请资料真实完整，能够证明产品安全性和质量可控性、产品配方和产品执行的标准合理，且符合现行法律、行政法规、强制性国家标准和技术规范要求的，作出技术审评通过的审评结论；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（二）申请资料不真实，不能证明产品安全性和质量可控性、产品配方和产品执行的标准不合理，或者不符合现行法律、行政法规、强制性国家标准和技术规范要求的，作出技术审评不通过的审评结论；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第四十条</w:t>
      </w:r>
      <w:r>
        <w:rPr>
          <w:rFonts w:hint="eastAsia" w:ascii="仿宋" w:hAnsi="仿宋" w:eastAsia="仿宋"/>
          <w:highlight w:val="none"/>
        </w:rPr>
        <w:t>：</w:t>
      </w:r>
      <w:r>
        <w:rPr>
          <w:rFonts w:ascii="仿宋" w:hAnsi="仿宋" w:eastAsia="仿宋"/>
          <w:highlight w:val="none"/>
        </w:rPr>
        <w:t>国家药品监督管理局应当自收到技术审评结论之日起20个工作日内，对技术审评程序和结论的合法性、规范性以及完整性进行审查，并作出是否准予注册的决定。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受理机构应当自国家药品监督管理局作出行政审批决定之日起10个工作日内，向申请人发出化妆品注册证或者不予注册决定书。化妆品注册证有效期5年。</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第十五条：技术审评结论为审评不通过的，技术审评机构应当告知申请人并说明理由。申请人有异议的，可以自收到技术审评结论之日起20个工作日内申请复核。复核的内容仅限于原申请事项以及申请资料。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技术审评机构应当自收到复核申请之日起30个工作日内作出复核结论。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四十七条：技术审评机构在注册技术审评过程中，可以根据需要通知审核查验机构开展现场核查。境内现场核查应当在45个工作日内完成，境外现场核查应当按照境外核查相关规定执行。现场核查所用时间不计算在审评时限之内。</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注册申请人应当配合现场核查工作，需要抽样检验的，应当按照要求提供样品。</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（三）是否由审批机关受理</w:t>
      </w:r>
      <w:r>
        <w:rPr>
          <w:rFonts w:ascii="Times New Roman" w:hAnsi="Times New Roman" w:eastAsia="仿宋_GB2312" w:cs="Times New Roman"/>
          <w:szCs w:val="21"/>
          <w:highlight w:val="none"/>
          <w:lang w:val="zh-TW"/>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（四）是否存在初审环节</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（五）是否需要现场勘验</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（六）是否需要组织听证</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（七）是否需要招标、拍卖、挂牌交易</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（八）是否需要检验、检测、检疫</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（九）是否需要鉴定</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b/>
          <w:bCs/>
          <w:szCs w:val="21"/>
          <w:highlight w:val="none"/>
          <w:lang w:val="en"/>
        </w:rPr>
      </w:pPr>
      <w:r>
        <w:rPr>
          <w:rFonts w:ascii="Times New Roman" w:hAnsi="Times New Roman" w:eastAsia="方正楷体_GBK" w:cs="Times New Roman"/>
          <w:szCs w:val="21"/>
          <w:highlight w:val="none"/>
          <w:lang w:val="zh-TW"/>
        </w:rPr>
        <w:t>（十）是否需要专家评审</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是</w:t>
      </w:r>
    </w:p>
    <w:p>
      <w:pPr>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（十一）审批机关是否委托服务机构开展技术性服务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（十二）是否需要向社会公示</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（十三）是否实行告知承诺办理</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十二、受理和审批时限</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（一）承诺受理时限：</w:t>
      </w:r>
      <w:r>
        <w:rPr>
          <w:rFonts w:ascii="Times New Roman" w:hAnsi="Times New Roman" w:eastAsia="仿宋_GB2312" w:cs="Times New Roman"/>
          <w:szCs w:val="21"/>
          <w:highlight w:val="none"/>
        </w:rPr>
        <w:t>5个工作日</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（二）法定审批时限</w:t>
      </w:r>
      <w:r>
        <w:rPr>
          <w:rFonts w:ascii="Times New Roman" w:hAnsi="Times New Roman" w:eastAsia="仿宋_GB2312" w:cs="Times New Roman"/>
          <w:szCs w:val="21"/>
          <w:highlight w:val="none"/>
        </w:rPr>
        <w:t>：20个工作日（</w:t>
      </w:r>
      <w:r>
        <w:rPr>
          <w:rFonts w:ascii="Times New Roman" w:hAnsi="Times New Roman" w:eastAsia="仿宋_GB2312"/>
          <w:szCs w:val="21"/>
          <w:highlight w:val="none"/>
        </w:rPr>
        <w:t>技术审评时间90个工作日，审批时间20个工作日</w:t>
      </w:r>
      <w:r>
        <w:rPr>
          <w:rFonts w:ascii="Times New Roman" w:hAnsi="Times New Roman" w:eastAsia="仿宋_GB2312" w:cs="Times New Roman"/>
          <w:szCs w:val="21"/>
          <w:highlight w:val="none"/>
        </w:rPr>
        <w:t>）</w:t>
      </w:r>
    </w:p>
    <w:p>
      <w:pPr>
        <w:tabs>
          <w:tab w:val="left" w:pos="3112"/>
        </w:tabs>
        <w:spacing w:line="360" w:lineRule="exact"/>
        <w:ind w:firstLine="420" w:firstLineChars="200"/>
        <w:jc w:val="left"/>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（三）规定法定审批时限的依据：</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《化妆品注册备案管理办法》</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第三十八条：...... 特殊化妆品注册程序和时限未作规定的，适用本办法关于化妆品新原料注册的规定。</w:t>
      </w:r>
    </w:p>
    <w:p>
      <w:pPr>
        <w:tabs>
          <w:tab w:val="left" w:pos="3112"/>
        </w:tabs>
        <w:spacing w:line="360" w:lineRule="exact"/>
        <w:ind w:firstLine="420" w:firstLineChars="200"/>
        <w:jc w:val="left"/>
        <w:rPr>
          <w:highlight w:val="none"/>
        </w:rPr>
      </w:pPr>
      <w:r>
        <w:rPr>
          <w:rFonts w:hint="eastAsia" w:ascii="Times New Roman" w:hAnsi="Times New Roman" w:eastAsia="仿宋_GB2312"/>
          <w:szCs w:val="21"/>
          <w:highlight w:val="none"/>
        </w:rPr>
        <w:t>第十三条：...... 受理机构应当自收到申请之日起5个工作日内完成对申请资料的形式审查，并根据下列情况分别作出处理：......</w:t>
      </w:r>
      <w:r>
        <w:rPr>
          <w:rFonts w:hint="eastAsia"/>
          <w:highlight w:val="none"/>
        </w:rPr>
        <w:t xml:space="preserve"> </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受理机构应当自受理注册申请后3个工作日内，将申请资料转交技术审评机构。</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第三十九条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技术审评机构应当自收到申请资料之日起90个工作日内，按照技术审评的要求组织开展技术审评，并根据下列情况分别作出处理：</w:t>
      </w:r>
      <w:r>
        <w:rPr>
          <w:rFonts w:hint="eastAsia" w:ascii="Times New Roman" w:hAnsi="Times New Roman" w:eastAsia="仿宋_GB2312"/>
          <w:color w:val="000000"/>
          <w:kern w:val="0"/>
          <w:szCs w:val="21"/>
          <w:highlight w:val="none"/>
        </w:rPr>
        <w:t>......</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第四十条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国家药品监督管理局应当自收到技术审评结论之日起</w:t>
      </w:r>
      <w:r>
        <w:rPr>
          <w:rFonts w:ascii="Times New Roman" w:hAnsi="Times New Roman"/>
          <w:color w:val="000000"/>
          <w:kern w:val="0"/>
          <w:szCs w:val="21"/>
          <w:highlight w:val="none"/>
        </w:rPr>
        <w:t>20</w:t>
      </w:r>
      <w:r>
        <w:rPr>
          <w:rFonts w:ascii="Times New Roman" w:hAnsi="Times New Roman" w:eastAsia="仿宋_GB2312"/>
          <w:color w:val="000000"/>
          <w:kern w:val="0"/>
          <w:szCs w:val="21"/>
          <w:highlight w:val="none"/>
        </w:rPr>
        <w:t>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受理机构应当自国家药品监督管理局作出行政审批决定之日起</w:t>
      </w:r>
      <w:r>
        <w:rPr>
          <w:rFonts w:ascii="Times New Roman" w:hAnsi="Times New Roman"/>
          <w:color w:val="000000"/>
          <w:kern w:val="0"/>
          <w:szCs w:val="21"/>
          <w:highlight w:val="none"/>
        </w:rPr>
        <w:t>10</w:t>
      </w:r>
      <w:r>
        <w:rPr>
          <w:rFonts w:ascii="Times New Roman" w:hAnsi="Times New Roman" w:eastAsia="仿宋_GB2312"/>
          <w:color w:val="000000"/>
          <w:kern w:val="0"/>
          <w:szCs w:val="21"/>
          <w:highlight w:val="none"/>
        </w:rPr>
        <w:t>个工作日内，向申请人发出化妆品注册证或者不予注册决定书。化妆品注册证有效期</w:t>
      </w:r>
      <w:r>
        <w:rPr>
          <w:rFonts w:ascii="Times New Roman" w:hAnsi="Times New Roman"/>
          <w:color w:val="000000"/>
          <w:kern w:val="0"/>
          <w:szCs w:val="21"/>
          <w:highlight w:val="none"/>
        </w:rPr>
        <w:t>5</w:t>
      </w:r>
      <w:r>
        <w:rPr>
          <w:rFonts w:ascii="Times New Roman" w:hAnsi="Times New Roman" w:eastAsia="仿宋_GB2312"/>
          <w:color w:val="000000"/>
          <w:kern w:val="0"/>
          <w:szCs w:val="21"/>
          <w:highlight w:val="none"/>
        </w:rPr>
        <w:t>年。</w:t>
      </w:r>
    </w:p>
    <w:p>
      <w:pPr>
        <w:widowControl/>
        <w:shd w:val="clear" w:color="auto" w:fill="FFFFFF"/>
        <w:spacing w:line="360" w:lineRule="exact"/>
        <w:ind w:firstLine="420" w:firstLineChars="200"/>
        <w:rPr>
          <w:rFonts w:cs="宋体"/>
          <w:color w:val="000000"/>
          <w:kern w:val="0"/>
          <w:szCs w:val="21"/>
          <w:highlight w:val="none"/>
        </w:rPr>
      </w:pPr>
      <w:r>
        <w:rPr>
          <w:rFonts w:ascii="Times New Roman" w:hAnsi="Times New Roman" w:eastAsia="仿宋_GB2312"/>
          <w:color w:val="000000"/>
          <w:kern w:val="0"/>
          <w:szCs w:val="21"/>
          <w:highlight w:val="none"/>
        </w:rPr>
        <w:t>第十五条</w:t>
      </w:r>
      <w:r>
        <w:rPr>
          <w:rFonts w:hint="eastAsia" w:ascii="Times New Roman" w:hAnsi="Times New Roman" w:eastAsia="仿宋_GB2312"/>
          <w:color w:val="000000"/>
          <w:kern w:val="0"/>
          <w:szCs w:val="21"/>
          <w:highlight w:val="none"/>
        </w:rPr>
        <w:t>：</w:t>
      </w:r>
      <w:r>
        <w:rPr>
          <w:rFonts w:ascii="仿宋_GB2312" w:hAnsi="Times New Roman" w:eastAsia="仿宋_GB2312"/>
          <w:color w:val="000000"/>
          <w:kern w:val="0"/>
          <w:szCs w:val="21"/>
          <w:highlight w:val="none"/>
        </w:rPr>
        <w:t>技术审评结论为审评不通过的，技术审评机构应当告知申请人并说明理由。申请人有异议的，可以自收到技术审评结论之日起</w:t>
      </w:r>
      <w:r>
        <w:rPr>
          <w:rFonts w:ascii="Times New Roman" w:hAnsi="Times New Roman"/>
          <w:color w:val="000000"/>
          <w:kern w:val="0"/>
          <w:szCs w:val="21"/>
          <w:highlight w:val="none"/>
        </w:rPr>
        <w:t>20</w:t>
      </w:r>
      <w:r>
        <w:rPr>
          <w:rFonts w:ascii="仿宋_GB2312" w:hAnsi="Times New Roman" w:eastAsia="仿宋_GB2312"/>
          <w:color w:val="000000"/>
          <w:kern w:val="0"/>
          <w:szCs w:val="21"/>
          <w:highlight w:val="none"/>
        </w:rPr>
        <w:t>个工作日内申请复核。复核的内容仅限于原申请事项以及申请资料。</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仿宋_GB2312" w:hAnsi="Times New Roman" w:eastAsia="仿宋_GB2312"/>
          <w:color w:val="000000"/>
          <w:kern w:val="0"/>
          <w:szCs w:val="21"/>
          <w:highlight w:val="none"/>
        </w:rPr>
        <w:t>技术审评机构应当自收到复核申请之日起</w:t>
      </w:r>
      <w:r>
        <w:rPr>
          <w:rFonts w:ascii="Times New Roman" w:hAnsi="Times New Roman"/>
          <w:color w:val="000000"/>
          <w:kern w:val="0"/>
          <w:szCs w:val="21"/>
          <w:highlight w:val="none"/>
        </w:rPr>
        <w:t>30</w:t>
      </w:r>
      <w:r>
        <w:rPr>
          <w:rFonts w:ascii="仿宋_GB2312" w:hAnsi="Times New Roman" w:eastAsia="仿宋_GB2312"/>
          <w:color w:val="000000"/>
          <w:kern w:val="0"/>
          <w:szCs w:val="21"/>
          <w:highlight w:val="none"/>
        </w:rPr>
        <w:t>个工作日内作出复核结论。</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第四十七条：技术审评机构在注册技术审评过程中，可以根据需要通知审核查验机构开展现场核查。境内现场核查应当在</w:t>
      </w:r>
      <w:r>
        <w:rPr>
          <w:rFonts w:ascii="Times New Roman" w:hAnsi="Times New Roman" w:eastAsia="仿宋_GB2312"/>
          <w:color w:val="000000"/>
          <w:kern w:val="0"/>
          <w:szCs w:val="21"/>
          <w:highlight w:val="none"/>
        </w:rPr>
        <w:t>45</w:t>
      </w:r>
      <w:r>
        <w:rPr>
          <w:rFonts w:hint="eastAsia" w:ascii="Times New Roman" w:hAnsi="Times New Roman" w:eastAsia="仿宋_GB2312"/>
          <w:color w:val="000000"/>
          <w:kern w:val="0"/>
          <w:szCs w:val="21"/>
          <w:highlight w:val="none"/>
        </w:rPr>
        <w:t>个工作日内完成，境外现场核查应当按照境外核查相关规定执行。现场核查所用时间不计算在审评时限之内。</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（四）承诺审批时限</w:t>
      </w:r>
      <w:r>
        <w:rPr>
          <w:rFonts w:ascii="Times New Roman" w:hAnsi="Times New Roman" w:eastAsia="仿宋_GB2312" w:cs="Times New Roman"/>
          <w:szCs w:val="21"/>
          <w:highlight w:val="none"/>
        </w:rPr>
        <w:t>：20个工作日</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（五）承诺送达时限</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10个工作日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lang w:eastAsia="zh-CN"/>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，另需时间不超过</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lang w:eastAsia="zh-CN"/>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（七）</w:t>
      </w:r>
      <w:r>
        <w:rPr>
          <w:rFonts w:ascii="Times New Roman" w:hAnsi="Times New Roman" w:eastAsia="方正楷体_GBK" w:cs="Times New Roman"/>
          <w:szCs w:val="21"/>
          <w:highlight w:val="none"/>
          <w:lang w:val="zh-TW"/>
        </w:rPr>
        <w:t>依法进行</w:t>
      </w:r>
      <w:r>
        <w:rPr>
          <w:rFonts w:hint="eastAsia" w:ascii="Times New Roman" w:hAnsi="Times New Roman" w:eastAsia="方正楷体_GBK" w:cs="Times New Roman"/>
          <w:szCs w:val="21"/>
          <w:highlight w:val="none"/>
          <w:u w:val="single"/>
          <w:lang w:val="zh-TW"/>
        </w:rPr>
        <w:t xml:space="preserve"> </w:t>
      </w:r>
      <w:r>
        <w:rPr>
          <w:rFonts w:ascii="Times New Roman" w:hAnsi="Times New Roman" w:eastAsia="仿宋_GB2312" w:cs="Times New Roman"/>
          <w:szCs w:val="21"/>
          <w:highlight w:val="none"/>
          <w:u w:val="single"/>
        </w:rPr>
        <w:t>现场检查</w:t>
      </w:r>
      <w:r>
        <w:rPr>
          <w:rFonts w:hint="eastAsia"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，另需时间不计算在该时限内。</w:t>
      </w:r>
    </w:p>
    <w:p>
      <w:pPr>
        <w:tabs>
          <w:tab w:val="left" w:pos="1880"/>
        </w:tabs>
        <w:spacing w:line="360" w:lineRule="exact"/>
        <w:ind w:firstLine="420" w:firstLineChars="200"/>
        <w:rPr>
          <w:rFonts w:hint="eastAsia" w:ascii="Times New Roman" w:hAnsi="Times New Roman" w:eastAsia="仿宋_GB2312" w:cs="Times New Roman"/>
          <w:szCs w:val="21"/>
          <w:highlight w:val="none"/>
          <w:u w:val="single"/>
        </w:rPr>
      </w:pPr>
      <w:r>
        <w:rPr>
          <w:rFonts w:hint="eastAsia" w:ascii="Times New Roman" w:hAnsi="Times New Roman" w:eastAsia="方正楷体_GBK" w:cs="Times New Roman"/>
          <w:szCs w:val="21"/>
          <w:highlight w:val="none"/>
          <w:lang w:val="zh-TW"/>
        </w:rPr>
        <w:t>（八）办件类型：</w:t>
      </w:r>
      <w:r>
        <w:rPr>
          <w:rFonts w:hint="eastAsia" w:ascii="Times New Roman" w:hAnsi="Times New Roman" w:eastAsia="仿宋_GB2312" w:cs="Times New Roman"/>
          <w:szCs w:val="21"/>
          <w:highlight w:val="none"/>
          <w:u w:val="single"/>
        </w:rPr>
        <w:t xml:space="preserve">   承诺件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十三、收费</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（一）办理行政许可是否收费</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（二）收费项目名称及标准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（三）设定收费项目的依据：</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（四）规定收费标准的依据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 xml:space="preserve">（五）是否允许减免： </w:t>
      </w:r>
      <w:r>
        <w:rPr>
          <w:rFonts w:hint="eastAsia" w:ascii="Times New Roman" w:hAnsi="Times New Roman" w:eastAsia="仿宋_GB2312" w:cs="Times New Roman"/>
          <w:szCs w:val="21"/>
          <w:highlight w:val="none"/>
          <w:u w:val="single"/>
        </w:rPr>
        <w:t xml:space="preserve">     无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十四、行政许可证件</w:t>
      </w:r>
    </w:p>
    <w:p>
      <w:pPr>
        <w:pStyle w:val="11"/>
        <w:numPr>
          <w:ilvl w:val="0"/>
          <w:numId w:val="2"/>
        </w:numPr>
        <w:tabs>
          <w:tab w:val="left" w:pos="1880"/>
        </w:tabs>
        <w:spacing w:line="360" w:lineRule="exact"/>
        <w:ind w:firstLineChars="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审批结果类型</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证照</w:t>
      </w:r>
    </w:p>
    <w:p>
      <w:pPr>
        <w:tabs>
          <w:tab w:val="left" w:pos="1880"/>
        </w:tabs>
        <w:spacing w:line="360" w:lineRule="exact"/>
        <w:ind w:left="42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审批结果样本（附件）：</w:t>
      </w:r>
      <w:r>
        <w:rPr>
          <w:rFonts w:hint="eastAsia" w:ascii="Times New Roman" w:hAnsi="Times New Roman" w:eastAsia="仿宋_GB2312" w:cs="Times New Roman"/>
          <w:szCs w:val="21"/>
          <w:highlight w:val="none"/>
          <w:u w:val="single"/>
        </w:rPr>
        <w:t xml:space="preserve">    附15-16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（二）如选择证照，请明确是否颁发行政许可证件</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（三）如选择是，请明确</w:t>
      </w:r>
      <w:r>
        <w:rPr>
          <w:rFonts w:ascii="Times New Roman" w:hAnsi="Times New Roman" w:eastAsia="仿宋_GB2312" w:cs="Times New Roman"/>
          <w:szCs w:val="21"/>
          <w:highlight w:val="none"/>
        </w:rPr>
        <w:t>：</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 行政许可证件名称：特殊化妆品注册证</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 行政许可证件的有效期：5年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 规定行政许可证件有效期限的依据：《化妆品监督管理条例》第二十四条：特殊化妆品注册证有效期为5年。……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4. 是否允许办理行政许可变更手续？是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5. 办理行政许可证件变更手续的要求：已经注册的特殊化妆品的涉及安全性的注册事项发生变化的，以及生产工艺、功效宣称等方面发生实质性变化的，注册人应当向国家药品监督管理局提出产品注册变更申请。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6. 是否允许办理行政许可证件延续手续？是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7. 办理行政许可证件延续手续的要求：特殊化妆品注册证有效期为5年。有效期届满需要延续注册的，应当在有效期届满30个工作日前提出延续注册的申请。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8. 行政许可证件的有效地域范围：全国</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9. 规定行政许可证件有效地域范围的依据：</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《中华人民共和国行政许可法》第四十一条：法律、行政法规设定的行政许可，其适用范围没有地域限制的，申请人取得的行政许可在全国范围内有效。</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十五、行政许可数量限制</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（一）有无行政许可数量限制</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（二）规定数量限制的依据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（三）公布数量限制的方式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（四）公布数量限制的周期</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（五）在数量限制条件下实施行政许可的方式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（六）规定在数量限制条件下实施行政许可方式的依据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十六、行政许可后年检要求</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（一）有无年检要求</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（二）设定年检要求的依据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hint="default" w:ascii="Times New Roman" w:hAnsi="Times New Roman" w:eastAsia="仿宋_GB2312" w:cs="Times New Roman"/>
          <w:szCs w:val="21"/>
          <w:highlight w:val="none"/>
          <w:lang w:val="en"/>
        </w:rPr>
      </w:pPr>
      <w:r>
        <w:rPr>
          <w:rFonts w:ascii="Times New Roman" w:hAnsi="Times New Roman" w:eastAsia="方正楷体_GBK" w:cs="Times New Roman"/>
          <w:szCs w:val="21"/>
          <w:highlight w:val="none"/>
        </w:rPr>
        <w:t>（三）年检周期：</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（四）年检是否要求报送材料</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（五）年检报送材料名称</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（六）年检是否收费</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（七）年检收费项目的名称、类型及标准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（八）设定年检收费项目的依据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（九）规定年检项目收费标准的依据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（十）通过年检的证明或标志</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十七、行政许可后年报要求</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（一）有无年报要求</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无</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（二）年报报送材料名称</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napToGrid w:val="0"/>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（三）设定年报要求的依据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十八、监管主体</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国家药监局；县级以上地方人民政府药品监督管理部门</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十九、服务对象类型</w:t>
      </w:r>
    </w:p>
    <w:p>
      <w:pPr>
        <w:spacing w:line="360" w:lineRule="exact"/>
        <w:ind w:firstLine="420" w:firstLineChars="200"/>
        <w:rPr>
          <w:rFonts w:ascii="Times New Roman" w:hAnsi="Times New Roman" w:eastAsia="宋体" w:cs="Times New Roman"/>
          <w:szCs w:val="21"/>
          <w:highlight w:val="none"/>
          <w:lang w:val="en"/>
        </w:rPr>
      </w:pPr>
      <w:r>
        <w:rPr>
          <w:rFonts w:ascii="Times New Roman" w:hAnsi="Times New Roman" w:eastAsia="方正楷体_GBK" w:cs="Times New Roman"/>
          <w:szCs w:val="21"/>
          <w:highlight w:val="none"/>
        </w:rPr>
        <w:t>（一）服务对象类型</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企业法人、事业法人、非法人企业、其他组织</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面向法人事项主题分类：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面向法人地方特色主题分类：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是否列为涉企经营许可事项：是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涉企经营许可事项名称：</w:t>
      </w:r>
      <w:r>
        <w:rPr>
          <w:rFonts w:hint="eastAsia" w:ascii="Times New Roman" w:hAnsi="Times New Roman" w:eastAsia="仿宋_GB2312" w:cs="Times New Roman"/>
          <w:szCs w:val="21"/>
          <w:highlight w:val="none"/>
          <w:lang w:val="zh-TW"/>
        </w:rPr>
        <w:t>国产特殊化妆品注册审批</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许可证件名称：</w:t>
      </w:r>
      <w:r>
        <w:rPr>
          <w:rFonts w:hint="eastAsia" w:ascii="Times New Roman" w:hAnsi="Times New Roman" w:eastAsia="仿宋_GB2312" w:cs="Times New Roman"/>
          <w:color w:val="000000"/>
          <w:kern w:val="0"/>
          <w:szCs w:val="24"/>
          <w:highlight w:val="none"/>
        </w:rPr>
        <w:t>特殊化妆品注册证</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改革方式：优化审批服务</w:t>
      </w:r>
    </w:p>
    <w:p>
      <w:pPr>
        <w:spacing w:line="360" w:lineRule="exact"/>
        <w:ind w:firstLine="420" w:firstLineChars="200"/>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lang w:val="en"/>
        </w:rPr>
        <w:t>具体改革措施：</w:t>
      </w:r>
      <w:r>
        <w:rPr>
          <w:rFonts w:ascii="Times New Roman" w:hAnsi="Times New Roman" w:eastAsia="仿宋_GB2312" w:cs="Times New Roman"/>
          <w:kern w:val="0"/>
          <w:szCs w:val="21"/>
          <w:highlight w:val="none"/>
        </w:rPr>
        <w:t>实现申请、审批全程网上办理。</w:t>
      </w:r>
    </w:p>
    <w:p>
      <w:pPr>
        <w:spacing w:line="360" w:lineRule="exact"/>
        <w:ind w:firstLine="420" w:firstLineChars="20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加强事中事后监管措施</w:t>
      </w:r>
      <w:r>
        <w:rPr>
          <w:rFonts w:hint="eastAsia" w:ascii="Times New Roman" w:hAnsi="Times New Roman" w:eastAsia="仿宋_GB2312" w:cs="Times New Roman"/>
          <w:kern w:val="0"/>
          <w:szCs w:val="21"/>
          <w:highlight w:val="none"/>
          <w:lang w:val="en"/>
        </w:rPr>
        <w:t>：</w:t>
      </w: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推动落实省级药监部门化妆品注册管理的日常监管职责。2.对注册产品检查过程中发现的违法违规行为要依法查处。</w:t>
      </w:r>
    </w:p>
    <w:p>
      <w:pPr>
        <w:tabs>
          <w:tab w:val="left" w:pos="1880"/>
        </w:tabs>
        <w:spacing w:line="360" w:lineRule="exact"/>
        <w:ind w:firstLine="420" w:firstLineChars="200"/>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二十、业务办理信息</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（一）是否通办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如是，通办业务模式：</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跨省通办事项名称：</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是否是35号文中的跨省通办事项：</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应用场景：</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（二）联办机构</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（三）办理形式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窗口办理、网上办理、快递申请</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（四）是否网办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网上办理深度：</w:t>
      </w:r>
      <w:r>
        <w:rPr>
          <w:rFonts w:hint="eastAsia" w:ascii="Times New Roman" w:hAnsi="Times New Roman" w:eastAsia="仿宋_GB2312" w:cs="Times New Roman"/>
          <w:kern w:val="0"/>
          <w:szCs w:val="21"/>
          <w:highlight w:val="none"/>
          <w:u w:val="single"/>
          <w:lang w:val="en"/>
        </w:rPr>
        <w:t xml:space="preserve">互联网受理、互联网办理结果信息反馈、互联网电子证照反馈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网办地址：</w:t>
      </w:r>
      <w:r>
        <w:rPr>
          <w:rFonts w:hint="eastAsia" w:ascii="Times New Roman" w:hAnsi="Times New Roman" w:eastAsia="仿宋_GB2312" w:cs="Times New Roman"/>
          <w:kern w:val="0"/>
          <w:szCs w:val="21"/>
          <w:highlight w:val="none"/>
          <w:u w:val="single"/>
          <w:lang w:val="en"/>
        </w:rPr>
        <w:fldChar w:fldCharType="begin"/>
      </w:r>
      <w:r>
        <w:rPr>
          <w:rFonts w:hint="eastAsia" w:ascii="Times New Roman" w:hAnsi="Times New Roman" w:eastAsia="仿宋_GB2312" w:cs="Times New Roman"/>
          <w:kern w:val="0"/>
          <w:szCs w:val="21"/>
          <w:highlight w:val="none"/>
          <w:u w:val="single"/>
          <w:lang w:val="en"/>
        </w:rPr>
        <w:instrText xml:space="preserve"> HYPERLINK "https://zwfw.nmpa.gov.cn/web/index?sourceType=nmpa" </w:instrText>
      </w:r>
      <w:r>
        <w:rPr>
          <w:rFonts w:hint="eastAsia" w:ascii="Times New Roman" w:hAnsi="Times New Roman" w:eastAsia="仿宋_GB2312" w:cs="Times New Roman"/>
          <w:kern w:val="0"/>
          <w:szCs w:val="21"/>
          <w:highlight w:val="none"/>
          <w:u w:val="single"/>
          <w:lang w:val="en"/>
        </w:rPr>
        <w:fldChar w:fldCharType="separate"/>
      </w:r>
      <w:r>
        <w:rPr>
          <w:rFonts w:hint="eastAsia" w:ascii="Times New Roman" w:hAnsi="Times New Roman" w:eastAsia="仿宋_GB2312" w:cs="Times New Roman"/>
          <w:kern w:val="0"/>
          <w:szCs w:val="21"/>
          <w:highlight w:val="none"/>
          <w:u w:val="single"/>
          <w:lang w:val="en"/>
        </w:rPr>
        <w:t>https://zwfw.nmpa.gov.cn/web/index?sourceType=nmpa</w:t>
      </w:r>
      <w:r>
        <w:rPr>
          <w:rFonts w:hint="eastAsia" w:ascii="Times New Roman" w:hAnsi="Times New Roman" w:eastAsia="仿宋_GB2312" w:cs="Times New Roman"/>
          <w:kern w:val="0"/>
          <w:szCs w:val="21"/>
          <w:highlight w:val="none"/>
          <w:u w:val="single"/>
          <w:lang w:val="en"/>
        </w:rPr>
        <w:fldChar w:fldCharType="end"/>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（五）是否可在移动端办理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如是，移动端办理地址：</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（六）计算机端是否对接单点登录</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是</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hint="eastAsia"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如是，计算机端在线办理跳转地址：</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xml:space="preserve">https://zhjg.nmpa.gov.cn/idp/authcenter/ActionAuthChain?entityId=isp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（七）到办事现场次数</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（八）必须现场办理原因说明</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（九）服务渠道</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实体大厅、互联网政务服务大厅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（十）是否进驻政务大厅</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（十一）办理地点</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北京市西城区宣武门西大街28号大成广场3门1层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（十二）办理时间</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工作日9:00-11:30，13:00-16:30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（十三）咨询方式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1、化妆品受理相关问题可每周二、周四上午9：00-11：30，下午13：00-16：30拨打010-88331701电话咨询；2、化妆品技术审评相关问题咨询可每周二13：00-16：30到国家局行政受理服务大厅现场咨询。3、邮箱咨询，可发送邮件至hzpzcgzyx@nifdc.org.cn进行咨询。</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（十四）监督投诉方式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1、国家局行政受理服务大厅现场投诉；2、投诉电话：010-88331866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（十五）是否支持预约办理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（十六）是否支持网上支付</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（十七）是否支持物流快递</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（十八）是否支持自助终端办理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i/>
          <w:kern w:val="0"/>
          <w:szCs w:val="21"/>
          <w:highlight w:val="none"/>
          <w:u w:val="single"/>
          <w:lang w:val="en"/>
        </w:rPr>
      </w:pPr>
      <w:r>
        <w:rPr>
          <w:rFonts w:hint="eastAsia" w:ascii="黑体" w:hAnsi="黑体" w:eastAsia="黑体" w:cs="Times New Roman"/>
          <w:kern w:val="0"/>
          <w:szCs w:val="21"/>
          <w:highlight w:val="none"/>
          <w:lang w:val="en"/>
        </w:rPr>
        <w:t>二十一、常见问题解答</w:t>
      </w:r>
      <w:r>
        <w:rPr>
          <w:rFonts w:hint="eastAsia" w:ascii="Times New Roman" w:hAnsi="Times New Roman" w:eastAsia="仿宋_GB2312" w:cs="Times New Roman"/>
          <w:i/>
          <w:kern w:val="0"/>
          <w:szCs w:val="21"/>
          <w:highlight w:val="none"/>
          <w:u w:val="single"/>
          <w:lang w:val="en"/>
        </w:rPr>
        <w:t>（每个常见问题解答均包含以下信息）</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问题：特殊化妆品不予注册， 再次申报资料的要求是什么，可以使用复印件吗？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五十八条，对于非安全性原因不予注册的特殊产品再次申请注册时，可使用原注册资料的复印件，同时提交不予注册未涉及安全性的说明，包括对不予注册原因的解释。</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1</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问题：注册人被吸收合并或成立子公司，可以申请变更注册人吗？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管理办法》第四十九条规定，化妆品注册证不得转让。因企业合并、分立等法定事由导致原注册人主体资格注销，将注册人变更为新设立的企业或者其他组织的，应当按照本办法的规定申请变更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2</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问题：染发产品含有Ⅰ剂、Ⅱ剂，有两个配方，如何申请注册？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三十五条，包含两个或者两个以上必须配合使用或者包装容器不可拆分的独立配方的化妆品，应当分别填写配方，按一个产品申请注册。染发产品的两剂为必须配合的产品，需要分别填写配方，按一个产品申请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3</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问题：化妆品注册备案时文件中的外文资料有哪些要求？</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化妆品注册备案资料管理规定》第四条规定，化妆品注册备案资料应当使用国家公布的规范汉字。除注册商标、网址、专利名称、境外企业的名称和地址等必须使用其他文字的，或约定俗成的专业术语（如SPF、PFA、PA、UVA、UVB、维生素C等），所有其他文字均应完整、规范地翻译为中文，并将原文附在相应的译文之后。</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4</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问题：原产品注册证中未体现PA值，需要增加PA值标注的，应如何申请？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解答：根据《化妆品注册备案资料管理规定》第四十四条，产品增加SPF/PA值应按照标签样稿内容发生变化，提出变更申请，并提供拟变更产品相应的功效试验报告。</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5</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rPr>
        <w:t>问题：</w:t>
      </w:r>
      <w:r>
        <w:rPr>
          <w:rFonts w:hint="eastAsia" w:ascii="Times New Roman" w:hAnsi="Times New Roman" w:eastAsia="仿宋_GB2312" w:cs="Times New Roman"/>
          <w:szCs w:val="21"/>
          <w:highlight w:val="none"/>
          <w:lang w:val="en"/>
        </w:rPr>
        <w:t>脱毛、美乳、健美、除臭类化妆品是否可以提出变更、补发、延续等申请？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解答：根据国家药品监督管理局《关于贯彻实施〈化妆品监督管理条例〉有关事项的公告》（2020年第144号）、国家药监局关于进一步明确原特殊用途化妆品过渡期管理等有关事宜的公告（2021年 第150号）规定，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对于可以申请的事项，申请人可通过线下提交纸质资料的方式进行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6</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问题：所有的化妆品注册备案时都需要在国家药监局指定的专门网站上传产品功效宣称依据的摘要吗？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功效宣称评价规范》第七条，“能够通过视觉、嗅觉等感官直接识别的（如清洁、卸妆、美容修饰、芳香、爽身、染发、烫发、发色护理、脱毛、除臭和辅助剃须剃毛等），或者通过简单物理遮盖、附着、摩擦等方式发生效果（如物理遮盖祛斑美白、物理方式去角质和物理方式去黑头等）且在标签上明确标识仅具物理作用的功效宣称，可免予公布产品功效宣称依据的摘要”。其他的功效宣称应按照国家药监局关于发布的《化妆品功效宣称评价规范》的公告（2021年第50号）进行评价，并在申请注册或进行备案的同时，上传产品功效宣称依据的摘要。</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7</w:t>
      </w:r>
      <w:r>
        <w:rPr>
          <w:rFonts w:hint="eastAsia" w:ascii="Times New Roman" w:hAnsi="Times New Roman" w:eastAsia="仿宋_GB2312" w:cs="Times New Roman"/>
          <w:szCs w:val="21"/>
          <w:highlight w:val="none"/>
          <w:lang w:val="en"/>
        </w:rPr>
        <w:t xml:space="preserve"> </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问题：申请化妆品注册时，对于还未取得原料报送码的原料应如何提交原料安全信息？</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解答：以下两种方式均可，注册人、备案人或境内责任人可根据自身情况提供</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1.提供加盖原料生产商公章的原料质量规格文件或原料安全相关信息（《化妆品注册备案资料管理规定》附件14）。（注：注册人或境内责任人还应同时逐页加盖公章）</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2.原料生产商授权注册人、备案人或者境内责任人填写原料安全相关信息（附件14）的，应提供加盖注册人、备案人或者境内责任人公章的原料安全相关信息（附件14），其中“其他需要说明的问题”中备注如下内容：注册人、备案人或境内责任人（具体企业名称）受原料生产商（具体企业名称）的授权填写附件14中的相关内容，内容真实完整准确，特此说明。</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8</w:t>
      </w:r>
      <w:r>
        <w:rPr>
          <w:rFonts w:hint="eastAsia" w:ascii="Times New Roman" w:hAnsi="Times New Roman" w:eastAsia="仿宋_GB2312" w:cs="Times New Roman"/>
          <w:szCs w:val="21"/>
          <w:highlight w:val="none"/>
          <w:lang w:val="en"/>
        </w:rPr>
        <w:t xml:space="preserve"> </w:t>
      </w:r>
    </w:p>
    <w:p>
      <w:pPr>
        <w:spacing w:line="360" w:lineRule="exact"/>
        <w:rPr>
          <w:rFonts w:ascii="Times New Roman" w:hAnsi="Times New Roman" w:eastAsia="仿宋_GB2312" w:cs="Times New Roman"/>
          <w:i/>
          <w:kern w:val="0"/>
          <w:szCs w:val="21"/>
          <w:highlight w:val="none"/>
          <w:u w:val="single"/>
          <w:lang w:val="en"/>
        </w:rPr>
      </w:pPr>
    </w:p>
    <w:p>
      <w:pPr>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br w:type="page"/>
      </w:r>
    </w:p>
    <w:p>
      <w:pPr>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color w:val="000000"/>
          <w:sz w:val="28"/>
          <w:szCs w:val="28"/>
          <w:highlight w:val="none"/>
        </w:rPr>
        <w:t xml:space="preserve">附1 </w:t>
      </w:r>
    </w:p>
    <w:p>
      <w:pPr>
        <w:snapToGrid w:val="0"/>
        <w:spacing w:line="640" w:lineRule="exact"/>
        <w:jc w:val="center"/>
        <w:rPr>
          <w:rFonts w:ascii="方正小标宋简体" w:hAnsi="黑体" w:eastAsia="方正小标宋简体" w:cs="黑体"/>
          <w:color w:val="000000"/>
          <w:sz w:val="30"/>
          <w:szCs w:val="30"/>
          <w:highlight w:val="none"/>
        </w:rPr>
      </w:pPr>
      <w:r>
        <w:rPr>
          <w:rFonts w:hint="eastAsia" w:ascii="方正小标宋简体" w:hAnsi="黑体" w:eastAsia="方正小标宋简体" w:cs="黑体"/>
          <w:color w:val="000000"/>
          <w:sz w:val="30"/>
          <w:szCs w:val="30"/>
          <w:highlight w:val="none"/>
        </w:rPr>
        <w:t>化妆品注册备案信息表</w:t>
      </w:r>
    </w:p>
    <w:p>
      <w:pPr>
        <w:snapToGrid w:val="0"/>
        <w:spacing w:line="640" w:lineRule="exact"/>
        <w:jc w:val="center"/>
        <w:rPr>
          <w:rFonts w:ascii="方正小标宋简体" w:hAnsi="黑体" w:eastAsia="方正小标宋简体" w:cs="黑体"/>
          <w:color w:val="000000"/>
          <w:sz w:val="30"/>
          <w:szCs w:val="30"/>
          <w:highlight w:val="none"/>
        </w:rPr>
      </w:pPr>
      <w:r>
        <w:rPr>
          <w:rFonts w:hint="eastAsia" w:ascii="方正小标宋简体" w:hAnsi="黑体" w:eastAsia="方正小标宋简体" w:cs="黑体"/>
          <w:color w:val="000000"/>
          <w:sz w:val="30"/>
          <w:szCs w:val="30"/>
          <w:highlight w:val="none"/>
        </w:rPr>
        <w:t>（国产产品，境内注册人</w:t>
      </w:r>
      <w:r>
        <w:rPr>
          <w:rFonts w:hint="eastAsia" w:ascii="方正小标宋简体" w:hAnsi="黑体" w:eastAsia="方正小标宋简体" w:cs="黑体"/>
          <w:color w:val="000000"/>
          <w:sz w:val="30"/>
          <w:szCs w:val="30"/>
          <w:highlight w:val="none"/>
          <w:lang w:val="en"/>
        </w:rPr>
        <w:t>/</w:t>
      </w:r>
      <w:r>
        <w:rPr>
          <w:rFonts w:hint="eastAsia" w:ascii="方正小标宋简体" w:hAnsi="黑体" w:eastAsia="方正小标宋简体" w:cs="黑体"/>
          <w:color w:val="000000"/>
          <w:sz w:val="30"/>
          <w:szCs w:val="30"/>
          <w:highlight w:val="none"/>
        </w:rPr>
        <w:t>备案人）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859"/>
        <w:gridCol w:w="850"/>
        <w:gridCol w:w="171"/>
        <w:gridCol w:w="657"/>
        <w:gridCol w:w="529"/>
        <w:gridCol w:w="343"/>
        <w:gridCol w:w="159"/>
        <w:gridCol w:w="388"/>
        <w:gridCol w:w="307"/>
        <w:gridCol w:w="337"/>
        <w:gridCol w:w="51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产品信息</w:t>
            </w: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产品名称（中文）</w:t>
            </w:r>
          </w:p>
        </w:tc>
        <w:tc>
          <w:tcPr>
            <w:tcW w:w="5109" w:type="dxa"/>
            <w:gridSpan w:val="11"/>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分类编码</w:t>
            </w: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功效宣称</w:t>
            </w:r>
          </w:p>
        </w:tc>
        <w:tc>
          <w:tcPr>
            <w:tcW w:w="4088" w:type="dxa"/>
            <w:gridSpan w:val="9"/>
            <w:vAlign w:val="center"/>
          </w:tcPr>
          <w:p>
            <w:pPr>
              <w:jc w:val="center"/>
              <w:rPr>
                <w:rFonts w:ascii="Times New Roman" w:hAnsi="Times New Roman" w:eastAsia="仿宋_GB2312" w:cs="Times New Roman"/>
                <w:color w:val="000000"/>
                <w:sz w:val="2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作用部位</w:t>
            </w:r>
          </w:p>
        </w:tc>
        <w:tc>
          <w:tcPr>
            <w:tcW w:w="4088" w:type="dxa"/>
            <w:gridSpan w:val="9"/>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产品剂型</w:t>
            </w:r>
          </w:p>
        </w:tc>
        <w:tc>
          <w:tcPr>
            <w:tcW w:w="4088" w:type="dxa"/>
            <w:gridSpan w:val="9"/>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适用人群</w:t>
            </w:r>
          </w:p>
        </w:tc>
        <w:tc>
          <w:tcPr>
            <w:tcW w:w="4088" w:type="dxa"/>
            <w:gridSpan w:val="9"/>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使用方法</w:t>
            </w:r>
          </w:p>
        </w:tc>
        <w:tc>
          <w:tcPr>
            <w:tcW w:w="4088" w:type="dxa"/>
            <w:gridSpan w:val="9"/>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申报类别</w:t>
            </w:r>
          </w:p>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 w:val="18"/>
                <w:szCs w:val="24"/>
                <w:highlight w:val="none"/>
              </w:rPr>
              <w:t>（特殊化妆品填报）</w:t>
            </w: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□染发类</w:t>
            </w:r>
          </w:p>
        </w:tc>
        <w:tc>
          <w:tcPr>
            <w:tcW w:w="1726" w:type="dxa"/>
            <w:gridSpan w:val="5"/>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□烫发类</w:t>
            </w:r>
          </w:p>
        </w:tc>
        <w:tc>
          <w:tcPr>
            <w:tcW w:w="1705"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□防脱类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□祛斑美白类</w:t>
            </w:r>
          </w:p>
        </w:tc>
        <w:tc>
          <w:tcPr>
            <w:tcW w:w="3431" w:type="dxa"/>
            <w:gridSpan w:val="8"/>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□祛斑美白类（仅具物理遮盖作用）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Merge w:val="restart"/>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□防晒类</w:t>
            </w:r>
          </w:p>
        </w:tc>
        <w:tc>
          <w:tcPr>
            <w:tcW w:w="1031" w:type="dxa"/>
            <w:gridSpan w:val="3"/>
            <w:vAlign w:val="center"/>
          </w:tcPr>
          <w:p>
            <w:pPr>
              <w:jc w:val="center"/>
              <w:rPr>
                <w:rFonts w:ascii="Times New Roman" w:hAnsi="Times New Roman" w:eastAsia="仿宋_GB2312" w:cs="Times New Roman"/>
                <w:color w:val="000000"/>
                <w:sz w:val="18"/>
                <w:szCs w:val="21"/>
                <w:highlight w:val="none"/>
              </w:rPr>
            </w:pPr>
            <w:r>
              <w:rPr>
                <w:rFonts w:ascii="Times New Roman" w:hAnsi="Times New Roman" w:eastAsia="仿宋_GB2312" w:cs="Times New Roman"/>
                <w:color w:val="000000"/>
                <w:sz w:val="18"/>
                <w:szCs w:val="21"/>
                <w:highlight w:val="none"/>
              </w:rPr>
              <w:t>SPF值</w:t>
            </w:r>
          </w:p>
        </w:tc>
        <w:tc>
          <w:tcPr>
            <w:tcW w:w="1032" w:type="dxa"/>
            <w:gridSpan w:val="3"/>
            <w:vAlign w:val="center"/>
          </w:tcPr>
          <w:p>
            <w:pPr>
              <w:jc w:val="center"/>
              <w:rPr>
                <w:rFonts w:ascii="Times New Roman" w:hAnsi="Times New Roman" w:eastAsia="仿宋_GB2312" w:cs="Times New Roman"/>
                <w:color w:val="000000"/>
                <w:sz w:val="18"/>
                <w:szCs w:val="21"/>
                <w:highlight w:val="none"/>
              </w:rPr>
            </w:pPr>
            <w:r>
              <w:rPr>
                <w:rFonts w:ascii="Times New Roman" w:hAnsi="Times New Roman" w:eastAsia="仿宋_GB2312" w:cs="Times New Roman"/>
                <w:color w:val="000000"/>
                <w:sz w:val="18"/>
                <w:szCs w:val="21"/>
                <w:highlight w:val="none"/>
              </w:rPr>
              <w:t>PA</w:t>
            </w:r>
          </w:p>
        </w:tc>
        <w:tc>
          <w:tcPr>
            <w:tcW w:w="1368" w:type="dxa"/>
            <w:gridSpan w:val="2"/>
            <w:vAlign w:val="center"/>
          </w:tcPr>
          <w:p>
            <w:pPr>
              <w:jc w:val="center"/>
              <w:rPr>
                <w:rFonts w:ascii="Times New Roman" w:hAnsi="Times New Roman" w:eastAsia="仿宋_GB2312" w:cs="Times New Roman"/>
                <w:color w:val="000000"/>
                <w:sz w:val="18"/>
                <w:szCs w:val="21"/>
                <w:highlight w:val="none"/>
              </w:rPr>
            </w:pPr>
            <w:r>
              <w:rPr>
                <w:rFonts w:ascii="Times New Roman" w:hAnsi="Times New Roman" w:eastAsia="仿宋_GB2312" w:cs="Times New Roman"/>
                <w:color w:val="000000"/>
                <w:sz w:val="18"/>
                <w:szCs w:val="21"/>
                <w:highlight w:val="none"/>
              </w:rPr>
              <w:t>浴后SPF值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Merge w:val="continue"/>
            <w:vAlign w:val="center"/>
          </w:tcPr>
          <w:p>
            <w:pPr>
              <w:jc w:val="left"/>
              <w:rPr>
                <w:rFonts w:ascii="Times New Roman" w:hAnsi="Times New Roman" w:eastAsia="仿宋_GB2312" w:cs="Times New Roman"/>
                <w:color w:val="000000"/>
                <w:szCs w:val="24"/>
                <w:highlight w:val="none"/>
              </w:rPr>
            </w:pPr>
          </w:p>
        </w:tc>
        <w:tc>
          <w:tcPr>
            <w:tcW w:w="1031" w:type="dxa"/>
            <w:gridSpan w:val="3"/>
            <w:vAlign w:val="center"/>
          </w:tcPr>
          <w:p>
            <w:pPr>
              <w:jc w:val="center"/>
              <w:rPr>
                <w:rFonts w:ascii="Times New Roman" w:hAnsi="Times New Roman" w:eastAsia="仿宋_GB2312" w:cs="Times New Roman"/>
                <w:color w:val="000000"/>
                <w:sz w:val="18"/>
                <w:szCs w:val="21"/>
                <w:highlight w:val="none"/>
              </w:rPr>
            </w:pPr>
          </w:p>
        </w:tc>
        <w:tc>
          <w:tcPr>
            <w:tcW w:w="1032" w:type="dxa"/>
            <w:gridSpan w:val="3"/>
            <w:vAlign w:val="center"/>
          </w:tcPr>
          <w:p>
            <w:pPr>
              <w:jc w:val="center"/>
              <w:rPr>
                <w:rFonts w:ascii="Times New Roman" w:hAnsi="Times New Roman" w:eastAsia="仿宋_GB2312" w:cs="Times New Roman"/>
                <w:color w:val="000000"/>
                <w:sz w:val="18"/>
                <w:szCs w:val="21"/>
                <w:highlight w:val="none"/>
              </w:rPr>
            </w:pPr>
          </w:p>
        </w:tc>
        <w:tc>
          <w:tcPr>
            <w:tcW w:w="1368" w:type="dxa"/>
            <w:gridSpan w:val="2"/>
            <w:vAlign w:val="center"/>
          </w:tcPr>
          <w:p>
            <w:pPr>
              <w:jc w:val="center"/>
              <w:rPr>
                <w:rFonts w:ascii="Times New Roman" w:hAnsi="Times New Roman" w:eastAsia="仿宋_GB2312" w:cs="Times New Roman"/>
                <w:color w:val="00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□新功效</w:t>
            </w:r>
          </w:p>
        </w:tc>
        <w:tc>
          <w:tcPr>
            <w:tcW w:w="3431" w:type="dxa"/>
            <w:gridSpan w:val="8"/>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18"/>
                <w:szCs w:val="21"/>
                <w:highlight w:val="none"/>
              </w:rPr>
              <w:t>（填写宣称功效）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注册人/备案人信息</w:t>
            </w: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名称</w:t>
            </w:r>
          </w:p>
        </w:tc>
        <w:tc>
          <w:tcPr>
            <w:tcW w:w="5109" w:type="dxa"/>
            <w:gridSpan w:val="11"/>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 w:val="18"/>
                <w:szCs w:val="21"/>
                <w:highlight w:val="none"/>
              </w:rPr>
              <w:t>统一社会信用代码</w:t>
            </w:r>
          </w:p>
        </w:tc>
        <w:tc>
          <w:tcPr>
            <w:tcW w:w="5109" w:type="dxa"/>
            <w:gridSpan w:val="11"/>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住所地址</w:t>
            </w:r>
          </w:p>
        </w:tc>
        <w:tc>
          <w:tcPr>
            <w:tcW w:w="5109" w:type="dxa"/>
            <w:gridSpan w:val="11"/>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所在地</w:t>
            </w:r>
          </w:p>
        </w:tc>
        <w:tc>
          <w:tcPr>
            <w:tcW w:w="850" w:type="dxa"/>
            <w:vAlign w:val="center"/>
          </w:tcPr>
          <w:p>
            <w:pPr>
              <w:adjustRightInd w:val="0"/>
              <w:snapToGrid w:val="0"/>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省</w:t>
            </w:r>
          </w:p>
        </w:tc>
        <w:tc>
          <w:tcPr>
            <w:tcW w:w="828" w:type="dxa"/>
            <w:gridSpan w:val="2"/>
            <w:vAlign w:val="center"/>
          </w:tcPr>
          <w:p>
            <w:pPr>
              <w:adjustRightInd w:val="0"/>
              <w:snapToGrid w:val="0"/>
              <w:jc w:val="center"/>
              <w:rPr>
                <w:rFonts w:ascii="Times New Roman" w:hAnsi="Times New Roman" w:eastAsia="仿宋_GB2312" w:cs="Times New Roman"/>
                <w:color w:val="000000"/>
                <w:szCs w:val="24"/>
                <w:highlight w:val="none"/>
              </w:rPr>
            </w:pPr>
          </w:p>
        </w:tc>
        <w:tc>
          <w:tcPr>
            <w:tcW w:w="872" w:type="dxa"/>
            <w:gridSpan w:val="2"/>
            <w:vAlign w:val="center"/>
          </w:tcPr>
          <w:p>
            <w:pPr>
              <w:adjustRightInd w:val="0"/>
              <w:snapToGrid w:val="0"/>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市</w:t>
            </w:r>
          </w:p>
        </w:tc>
        <w:tc>
          <w:tcPr>
            <w:tcW w:w="854" w:type="dxa"/>
            <w:gridSpan w:val="3"/>
            <w:vAlign w:val="center"/>
          </w:tcPr>
          <w:p>
            <w:pPr>
              <w:adjustRightInd w:val="0"/>
              <w:snapToGrid w:val="0"/>
              <w:jc w:val="center"/>
              <w:rPr>
                <w:rFonts w:ascii="Times New Roman" w:hAnsi="Times New Roman" w:eastAsia="仿宋_GB2312" w:cs="Times New Roman"/>
                <w:color w:val="000000"/>
                <w:szCs w:val="24"/>
                <w:highlight w:val="none"/>
              </w:rPr>
            </w:pPr>
          </w:p>
        </w:tc>
        <w:tc>
          <w:tcPr>
            <w:tcW w:w="850" w:type="dxa"/>
            <w:gridSpan w:val="2"/>
            <w:vAlign w:val="center"/>
          </w:tcPr>
          <w:p>
            <w:pPr>
              <w:adjustRightInd w:val="0"/>
              <w:snapToGrid w:val="0"/>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区</w:t>
            </w:r>
          </w:p>
        </w:tc>
        <w:tc>
          <w:tcPr>
            <w:tcW w:w="855" w:type="dxa"/>
            <w:vAlign w:val="center"/>
          </w:tcPr>
          <w:p>
            <w:pPr>
              <w:adjustRightInd w:val="0"/>
              <w:snapToGrid w:val="0"/>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联系人</w:t>
            </w:r>
          </w:p>
        </w:tc>
        <w:tc>
          <w:tcPr>
            <w:tcW w:w="1678" w:type="dxa"/>
            <w:gridSpan w:val="3"/>
            <w:vAlign w:val="center"/>
          </w:tcPr>
          <w:p>
            <w:pPr>
              <w:jc w:val="center"/>
              <w:rPr>
                <w:rFonts w:ascii="Times New Roman" w:hAnsi="Times New Roman" w:eastAsia="仿宋_GB2312" w:cs="Times New Roman"/>
                <w:color w:val="000000"/>
                <w:szCs w:val="24"/>
                <w:highlight w:val="none"/>
              </w:rPr>
            </w:pPr>
          </w:p>
        </w:tc>
        <w:tc>
          <w:tcPr>
            <w:tcW w:w="1726" w:type="dxa"/>
            <w:gridSpan w:val="5"/>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联系电话</w:t>
            </w:r>
          </w:p>
        </w:tc>
        <w:tc>
          <w:tcPr>
            <w:tcW w:w="1705" w:type="dxa"/>
            <w:gridSpan w:val="3"/>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生产信息</w:t>
            </w: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□境内自行生产</w:t>
            </w: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20"/>
                <w:szCs w:val="24"/>
                <w:highlight w:val="none"/>
              </w:rPr>
              <w:t>生产许可证编号</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生产地址</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□委托境内生产</w:t>
            </w: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生产企业名称</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20"/>
                <w:szCs w:val="24"/>
                <w:highlight w:val="none"/>
              </w:rPr>
              <w:t>生产许可证编号</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住所地址</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生产地址</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8" w:type="dxa"/>
            <w:vMerge w:val="restart"/>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其他信息</w:t>
            </w: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检验受理编号</w:t>
            </w:r>
          </w:p>
          <w:p>
            <w:pPr>
              <w:spacing w:line="260" w:lineRule="exact"/>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20"/>
                <w:szCs w:val="24"/>
                <w:highlight w:val="none"/>
              </w:rPr>
              <w:t>（补充检验报告编号无需单独填报）</w:t>
            </w:r>
          </w:p>
        </w:tc>
        <w:tc>
          <w:tcPr>
            <w:tcW w:w="5109" w:type="dxa"/>
            <w:gridSpan w:val="11"/>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left"/>
              <w:rPr>
                <w:rFonts w:ascii="Times New Roman" w:hAnsi="Times New Roman" w:eastAsia="仿宋_GB2312" w:cs="Times New Roman"/>
                <w:color w:val="000000"/>
                <w:sz w:val="18"/>
                <w:szCs w:val="21"/>
                <w:highlight w:val="none"/>
              </w:rPr>
            </w:pPr>
          </w:p>
        </w:tc>
        <w:tc>
          <w:tcPr>
            <w:tcW w:w="5109" w:type="dxa"/>
            <w:gridSpan w:val="11"/>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是否使用新原料</w:t>
            </w:r>
          </w:p>
        </w:tc>
        <w:tc>
          <w:tcPr>
            <w:tcW w:w="220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□使用已注册新原料</w:t>
            </w:r>
          </w:p>
        </w:tc>
        <w:tc>
          <w:tcPr>
            <w:tcW w:w="890"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注册号</w:t>
            </w:r>
          </w:p>
        </w:tc>
        <w:tc>
          <w:tcPr>
            <w:tcW w:w="2012" w:type="dxa"/>
            <w:gridSpan w:val="4"/>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left"/>
              <w:rPr>
                <w:rFonts w:ascii="Times New Roman" w:hAnsi="Times New Roman" w:eastAsia="仿宋_GB2312" w:cs="Times New Roman"/>
                <w:color w:val="000000"/>
                <w:szCs w:val="24"/>
                <w:highlight w:val="none"/>
              </w:rPr>
            </w:pPr>
          </w:p>
        </w:tc>
        <w:tc>
          <w:tcPr>
            <w:tcW w:w="220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□使用已备案新原料</w:t>
            </w:r>
          </w:p>
        </w:tc>
        <w:tc>
          <w:tcPr>
            <w:tcW w:w="890"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备案号</w:t>
            </w:r>
          </w:p>
        </w:tc>
        <w:tc>
          <w:tcPr>
            <w:tcW w:w="2012" w:type="dxa"/>
            <w:gridSpan w:val="4"/>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left"/>
              <w:rPr>
                <w:rFonts w:ascii="Times New Roman" w:hAnsi="Times New Roman" w:eastAsia="仿宋_GB2312" w:cs="Times New Roman"/>
                <w:color w:val="000000"/>
                <w:szCs w:val="24"/>
                <w:highlight w:val="none"/>
              </w:rPr>
            </w:pP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□不使用</w:t>
            </w:r>
          </w:p>
        </w:tc>
        <w:tc>
          <w:tcPr>
            <w:tcW w:w="3431" w:type="dxa"/>
            <w:gridSpan w:val="8"/>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353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□套装产品</w:t>
            </w:r>
          </w:p>
        </w:tc>
        <w:tc>
          <w:tcPr>
            <w:tcW w:w="3431" w:type="dxa"/>
            <w:gridSpan w:val="8"/>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353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□配合仪器使用产品</w:t>
            </w:r>
          </w:p>
        </w:tc>
        <w:tc>
          <w:tcPr>
            <w:tcW w:w="3431" w:type="dxa"/>
            <w:gridSpan w:val="8"/>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353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96" w:type="dxa"/>
            <w:gridSpan w:val="13"/>
            <w:vAlign w:val="bottom"/>
          </w:tcPr>
          <w:p>
            <w:pPr>
              <w:wordWrap w:val="0"/>
              <w:adjustRightInd w:val="0"/>
              <w:snapToGrid w:val="0"/>
              <w:jc w:val="right"/>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sz w:val="24"/>
                <w:szCs w:val="24"/>
                <w:highlight w:val="none"/>
              </w:rPr>
              <w:t>（注册人/备案人盖章）</w:t>
            </w:r>
          </w:p>
          <w:p>
            <w:pPr>
              <w:wordWrap w:val="0"/>
              <w:adjustRightInd w:val="0"/>
              <w:snapToGrid w:val="0"/>
              <w:jc w:val="right"/>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sz w:val="24"/>
                <w:szCs w:val="24"/>
                <w:highlight w:val="none"/>
              </w:rPr>
              <w:t xml:space="preserve">    年  月  日  </w:t>
            </w:r>
          </w:p>
        </w:tc>
      </w:tr>
    </w:tbl>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 2  </w:t>
      </w:r>
    </w:p>
    <w:p>
      <w:pPr>
        <w:snapToGrid w:val="0"/>
        <w:spacing w:line="640" w:lineRule="exact"/>
        <w:jc w:val="center"/>
        <w:rPr>
          <w:rFonts w:ascii="方正小标宋简体" w:hAnsi="黑体" w:eastAsia="方正小标宋简体" w:cs="黑体"/>
          <w:color w:val="000000"/>
          <w:sz w:val="30"/>
          <w:szCs w:val="30"/>
          <w:highlight w:val="none"/>
        </w:rPr>
      </w:pPr>
      <w:r>
        <w:rPr>
          <w:rFonts w:hint="eastAsia" w:ascii="方正小标宋简体" w:hAnsi="黑体" w:eastAsia="方正小标宋简体" w:cs="黑体"/>
          <w:color w:val="000000"/>
          <w:sz w:val="30"/>
          <w:szCs w:val="30"/>
          <w:highlight w:val="none"/>
        </w:rPr>
        <w:t>化妆品注册备案信息表示例</w:t>
      </w:r>
    </w:p>
    <w:p>
      <w:pPr>
        <w:snapToGrid w:val="0"/>
        <w:spacing w:line="640" w:lineRule="exact"/>
        <w:jc w:val="center"/>
        <w:rPr>
          <w:rFonts w:ascii="方正小标宋简体" w:eastAsia="方正小标宋简体"/>
          <w:color w:val="000000"/>
          <w:sz w:val="30"/>
          <w:szCs w:val="30"/>
          <w:highlight w:val="none"/>
        </w:rPr>
      </w:pPr>
      <w:r>
        <w:rPr>
          <w:rFonts w:hint="eastAsia" w:ascii="方正小标宋简体" w:eastAsia="方正小标宋简体"/>
          <w:color w:val="000000"/>
          <w:sz w:val="30"/>
          <w:szCs w:val="30"/>
          <w:highlight w:val="none"/>
        </w:rPr>
        <w:t>（国产产品，境内注册人</w:t>
      </w:r>
      <w:r>
        <w:rPr>
          <w:rFonts w:hint="eastAsia" w:ascii="方正小标宋简体" w:eastAsia="方正小标宋简体"/>
          <w:color w:val="000000"/>
          <w:sz w:val="30"/>
          <w:szCs w:val="30"/>
          <w:highlight w:val="none"/>
          <w:lang w:val="en"/>
        </w:rPr>
        <w:t>/</w:t>
      </w:r>
      <w:r>
        <w:rPr>
          <w:rFonts w:hint="eastAsia" w:ascii="方正小标宋简体" w:eastAsia="方正小标宋简体"/>
          <w:color w:val="000000"/>
          <w:sz w:val="30"/>
          <w:szCs w:val="30"/>
          <w:highlight w:val="none"/>
        </w:rPr>
        <w:t>备案人）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859"/>
        <w:gridCol w:w="850"/>
        <w:gridCol w:w="171"/>
        <w:gridCol w:w="657"/>
        <w:gridCol w:w="529"/>
        <w:gridCol w:w="343"/>
        <w:gridCol w:w="159"/>
        <w:gridCol w:w="388"/>
        <w:gridCol w:w="307"/>
        <w:gridCol w:w="337"/>
        <w:gridCol w:w="51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产品信息</w:t>
            </w: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产品名称（中文）</w:t>
            </w:r>
          </w:p>
        </w:tc>
        <w:tc>
          <w:tcPr>
            <w:tcW w:w="5109" w:type="dxa"/>
            <w:gridSpan w:val="11"/>
            <w:vAlign w:val="center"/>
          </w:tcPr>
          <w:p>
            <w:pPr>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分类编码</w:t>
            </w: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功效宣称</w:t>
            </w:r>
          </w:p>
        </w:tc>
        <w:tc>
          <w:tcPr>
            <w:tcW w:w="4088" w:type="dxa"/>
            <w:gridSpan w:val="9"/>
            <w:vMerge w:val="restart"/>
            <w:vAlign w:val="center"/>
          </w:tcPr>
          <w:p>
            <w:pPr>
              <w:jc w:val="center"/>
              <w:rPr>
                <w:rFonts w:ascii="Times New Roman" w:hAnsi="Times New Roman" w:eastAsia="仿宋_GB2312" w:cs="Times New Roman"/>
                <w:color w:val="000000"/>
                <w:sz w:val="20"/>
                <w:szCs w:val="24"/>
                <w:highlight w:val="none"/>
              </w:rPr>
            </w:pPr>
            <w:r>
              <w:rPr>
                <w:rFonts w:hint="eastAsia" w:ascii="Times New Roman" w:hAnsi="Times New Roman" w:eastAsia="仿宋_GB2312" w:cs="Times New Roman"/>
                <w:color w:val="000000"/>
                <w:sz w:val="20"/>
                <w:szCs w:val="24"/>
                <w:highlight w:val="none"/>
              </w:rPr>
              <w:t>企业填写，分类编码应当符合《化妆品监督管理条例》和《化妆品分类规则与分类目录》的规定，应当与产品名称和产品相关信息相符。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作用部位</w:t>
            </w:r>
          </w:p>
        </w:tc>
        <w:tc>
          <w:tcPr>
            <w:tcW w:w="4088" w:type="dxa"/>
            <w:gridSpan w:val="9"/>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产品剂型</w:t>
            </w:r>
          </w:p>
        </w:tc>
        <w:tc>
          <w:tcPr>
            <w:tcW w:w="4088" w:type="dxa"/>
            <w:gridSpan w:val="9"/>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适用人群</w:t>
            </w:r>
          </w:p>
        </w:tc>
        <w:tc>
          <w:tcPr>
            <w:tcW w:w="4088" w:type="dxa"/>
            <w:gridSpan w:val="9"/>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021" w:type="dxa"/>
            <w:gridSpan w:val="2"/>
            <w:vAlign w:val="center"/>
          </w:tcPr>
          <w:p>
            <w:pPr>
              <w:jc w:val="center"/>
              <w:rPr>
                <w:rFonts w:ascii="Times New Roman" w:hAnsi="Times New Roman" w:eastAsia="仿宋_GB2312" w:cs="Times New Roman"/>
                <w:color w:val="000000"/>
                <w:sz w:val="20"/>
                <w:szCs w:val="24"/>
                <w:highlight w:val="none"/>
              </w:rPr>
            </w:pPr>
            <w:r>
              <w:rPr>
                <w:rFonts w:ascii="Times New Roman" w:hAnsi="Times New Roman" w:eastAsia="仿宋_GB2312" w:cs="Times New Roman"/>
                <w:color w:val="000000"/>
                <w:sz w:val="20"/>
                <w:szCs w:val="24"/>
                <w:highlight w:val="none"/>
              </w:rPr>
              <w:t>使用方法</w:t>
            </w:r>
          </w:p>
        </w:tc>
        <w:tc>
          <w:tcPr>
            <w:tcW w:w="4088" w:type="dxa"/>
            <w:gridSpan w:val="9"/>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申报类别</w:t>
            </w:r>
          </w:p>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 w:val="18"/>
                <w:szCs w:val="24"/>
                <w:highlight w:val="none"/>
              </w:rPr>
              <w:t>（特殊化妆品填报）</w:t>
            </w: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□染发类</w:t>
            </w:r>
          </w:p>
        </w:tc>
        <w:tc>
          <w:tcPr>
            <w:tcW w:w="1726" w:type="dxa"/>
            <w:gridSpan w:val="5"/>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□烫发类</w:t>
            </w:r>
          </w:p>
        </w:tc>
        <w:tc>
          <w:tcPr>
            <w:tcW w:w="1705"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□防脱类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□祛斑美白类</w:t>
            </w:r>
          </w:p>
        </w:tc>
        <w:tc>
          <w:tcPr>
            <w:tcW w:w="3431" w:type="dxa"/>
            <w:gridSpan w:val="8"/>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□祛斑美白类（仅具物理遮盖作用）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Merge w:val="restart"/>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□防晒类</w:t>
            </w:r>
          </w:p>
        </w:tc>
        <w:tc>
          <w:tcPr>
            <w:tcW w:w="1031" w:type="dxa"/>
            <w:gridSpan w:val="3"/>
            <w:vAlign w:val="center"/>
          </w:tcPr>
          <w:p>
            <w:pPr>
              <w:jc w:val="center"/>
              <w:rPr>
                <w:rFonts w:ascii="Times New Roman" w:hAnsi="Times New Roman" w:eastAsia="仿宋_GB2312" w:cs="Times New Roman"/>
                <w:color w:val="000000"/>
                <w:sz w:val="18"/>
                <w:szCs w:val="21"/>
                <w:highlight w:val="none"/>
              </w:rPr>
            </w:pPr>
            <w:r>
              <w:rPr>
                <w:rFonts w:ascii="Times New Roman" w:hAnsi="Times New Roman" w:eastAsia="仿宋_GB2312" w:cs="Times New Roman"/>
                <w:color w:val="000000"/>
                <w:sz w:val="18"/>
                <w:szCs w:val="21"/>
                <w:highlight w:val="none"/>
              </w:rPr>
              <w:t>SPF值</w:t>
            </w:r>
          </w:p>
        </w:tc>
        <w:tc>
          <w:tcPr>
            <w:tcW w:w="1032" w:type="dxa"/>
            <w:gridSpan w:val="3"/>
            <w:vAlign w:val="center"/>
          </w:tcPr>
          <w:p>
            <w:pPr>
              <w:jc w:val="center"/>
              <w:rPr>
                <w:rFonts w:ascii="Times New Roman" w:hAnsi="Times New Roman" w:eastAsia="仿宋_GB2312" w:cs="Times New Roman"/>
                <w:color w:val="000000"/>
                <w:sz w:val="18"/>
                <w:szCs w:val="21"/>
                <w:highlight w:val="none"/>
              </w:rPr>
            </w:pPr>
            <w:r>
              <w:rPr>
                <w:rFonts w:ascii="Times New Roman" w:hAnsi="Times New Roman" w:eastAsia="仿宋_GB2312" w:cs="Times New Roman"/>
                <w:color w:val="000000"/>
                <w:sz w:val="18"/>
                <w:szCs w:val="21"/>
                <w:highlight w:val="none"/>
              </w:rPr>
              <w:t>PA</w:t>
            </w:r>
          </w:p>
        </w:tc>
        <w:tc>
          <w:tcPr>
            <w:tcW w:w="1368" w:type="dxa"/>
            <w:gridSpan w:val="2"/>
            <w:vAlign w:val="center"/>
          </w:tcPr>
          <w:p>
            <w:pPr>
              <w:jc w:val="center"/>
              <w:rPr>
                <w:rFonts w:ascii="Times New Roman" w:hAnsi="Times New Roman" w:eastAsia="仿宋_GB2312" w:cs="Times New Roman"/>
                <w:color w:val="000000"/>
                <w:sz w:val="18"/>
                <w:szCs w:val="21"/>
                <w:highlight w:val="none"/>
              </w:rPr>
            </w:pPr>
            <w:r>
              <w:rPr>
                <w:rFonts w:ascii="Times New Roman" w:hAnsi="Times New Roman" w:eastAsia="仿宋_GB2312" w:cs="Times New Roman"/>
                <w:color w:val="000000"/>
                <w:sz w:val="18"/>
                <w:szCs w:val="21"/>
                <w:highlight w:val="none"/>
              </w:rPr>
              <w:t>浴后SPF值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Merge w:val="continue"/>
            <w:vAlign w:val="center"/>
          </w:tcPr>
          <w:p>
            <w:pPr>
              <w:jc w:val="left"/>
              <w:rPr>
                <w:rFonts w:ascii="Times New Roman" w:hAnsi="Times New Roman" w:eastAsia="仿宋_GB2312" w:cs="Times New Roman"/>
                <w:color w:val="000000"/>
                <w:szCs w:val="24"/>
                <w:highlight w:val="none"/>
              </w:rPr>
            </w:pPr>
          </w:p>
        </w:tc>
        <w:tc>
          <w:tcPr>
            <w:tcW w:w="1031" w:type="dxa"/>
            <w:gridSpan w:val="3"/>
            <w:vAlign w:val="center"/>
          </w:tcPr>
          <w:p>
            <w:pPr>
              <w:jc w:val="center"/>
              <w:rPr>
                <w:rFonts w:ascii="Times New Roman" w:hAnsi="Times New Roman" w:eastAsia="仿宋_GB2312" w:cs="Times New Roman"/>
                <w:color w:val="000000"/>
                <w:sz w:val="18"/>
                <w:szCs w:val="21"/>
                <w:highlight w:val="none"/>
              </w:rPr>
            </w:pPr>
          </w:p>
        </w:tc>
        <w:tc>
          <w:tcPr>
            <w:tcW w:w="1032" w:type="dxa"/>
            <w:gridSpan w:val="3"/>
            <w:vAlign w:val="center"/>
          </w:tcPr>
          <w:p>
            <w:pPr>
              <w:jc w:val="center"/>
              <w:rPr>
                <w:rFonts w:ascii="Times New Roman" w:hAnsi="Times New Roman" w:eastAsia="仿宋_GB2312" w:cs="Times New Roman"/>
                <w:color w:val="000000"/>
                <w:sz w:val="18"/>
                <w:szCs w:val="21"/>
                <w:highlight w:val="none"/>
              </w:rPr>
            </w:pPr>
          </w:p>
        </w:tc>
        <w:tc>
          <w:tcPr>
            <w:tcW w:w="1368" w:type="dxa"/>
            <w:gridSpan w:val="2"/>
            <w:vAlign w:val="center"/>
          </w:tcPr>
          <w:p>
            <w:pPr>
              <w:jc w:val="center"/>
              <w:rPr>
                <w:rFonts w:ascii="Times New Roman" w:hAnsi="Times New Roman" w:eastAsia="仿宋_GB2312" w:cs="Times New Roman"/>
                <w:color w:val="00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center"/>
              <w:rPr>
                <w:rFonts w:ascii="Times New Roman" w:hAnsi="Times New Roman" w:eastAsia="仿宋_GB2312" w:cs="Times New Roman"/>
                <w:color w:val="000000"/>
                <w:szCs w:val="24"/>
                <w:highlight w:val="none"/>
              </w:rPr>
            </w:pP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□新功效</w:t>
            </w:r>
          </w:p>
        </w:tc>
        <w:tc>
          <w:tcPr>
            <w:tcW w:w="3431" w:type="dxa"/>
            <w:gridSpan w:val="8"/>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18"/>
                <w:szCs w:val="21"/>
                <w:highlight w:val="none"/>
              </w:rPr>
              <w:t>（填写宣称功效）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注册人/备案人信息</w:t>
            </w: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名称</w:t>
            </w:r>
          </w:p>
        </w:tc>
        <w:tc>
          <w:tcPr>
            <w:tcW w:w="5109" w:type="dxa"/>
            <w:gridSpan w:val="11"/>
            <w:vAlign w:val="center"/>
          </w:tcPr>
          <w:p>
            <w:pPr>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 w:val="18"/>
                <w:szCs w:val="21"/>
                <w:highlight w:val="none"/>
              </w:rPr>
              <w:t>统一社会信用代码</w:t>
            </w:r>
          </w:p>
        </w:tc>
        <w:tc>
          <w:tcPr>
            <w:tcW w:w="5109" w:type="dxa"/>
            <w:gridSpan w:val="11"/>
            <w:vAlign w:val="center"/>
          </w:tcPr>
          <w:p>
            <w:pPr>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住所地址</w:t>
            </w:r>
          </w:p>
        </w:tc>
        <w:tc>
          <w:tcPr>
            <w:tcW w:w="5109" w:type="dxa"/>
            <w:gridSpan w:val="11"/>
            <w:vAlign w:val="center"/>
          </w:tcPr>
          <w:p>
            <w:pPr>
              <w:jc w:val="left"/>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企业填写，住所地址应填写完整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所在地</w:t>
            </w:r>
          </w:p>
        </w:tc>
        <w:tc>
          <w:tcPr>
            <w:tcW w:w="850" w:type="dxa"/>
            <w:vAlign w:val="center"/>
          </w:tcPr>
          <w:p>
            <w:pPr>
              <w:adjustRightInd w:val="0"/>
              <w:snapToGrid w:val="0"/>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省</w:t>
            </w:r>
          </w:p>
        </w:tc>
        <w:tc>
          <w:tcPr>
            <w:tcW w:w="828" w:type="dxa"/>
            <w:gridSpan w:val="2"/>
            <w:vAlign w:val="center"/>
          </w:tcPr>
          <w:p>
            <w:pPr>
              <w:adjustRightInd w:val="0"/>
              <w:snapToGrid w:val="0"/>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w:t>
            </w:r>
          </w:p>
        </w:tc>
        <w:tc>
          <w:tcPr>
            <w:tcW w:w="872" w:type="dxa"/>
            <w:gridSpan w:val="2"/>
            <w:vAlign w:val="center"/>
          </w:tcPr>
          <w:p>
            <w:pPr>
              <w:adjustRightInd w:val="0"/>
              <w:snapToGrid w:val="0"/>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市</w:t>
            </w:r>
          </w:p>
        </w:tc>
        <w:tc>
          <w:tcPr>
            <w:tcW w:w="854" w:type="dxa"/>
            <w:gridSpan w:val="3"/>
            <w:vAlign w:val="center"/>
          </w:tcPr>
          <w:p>
            <w:pPr>
              <w:adjustRightInd w:val="0"/>
              <w:snapToGrid w:val="0"/>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w:t>
            </w:r>
          </w:p>
        </w:tc>
        <w:tc>
          <w:tcPr>
            <w:tcW w:w="850" w:type="dxa"/>
            <w:gridSpan w:val="2"/>
            <w:vAlign w:val="center"/>
          </w:tcPr>
          <w:p>
            <w:pPr>
              <w:adjustRightInd w:val="0"/>
              <w:snapToGrid w:val="0"/>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区</w:t>
            </w:r>
          </w:p>
        </w:tc>
        <w:tc>
          <w:tcPr>
            <w:tcW w:w="855" w:type="dxa"/>
            <w:vAlign w:val="center"/>
          </w:tcPr>
          <w:p>
            <w:pPr>
              <w:adjustRightInd w:val="0"/>
              <w:snapToGrid w:val="0"/>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联系人</w:t>
            </w: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w:t>
            </w:r>
          </w:p>
        </w:tc>
        <w:tc>
          <w:tcPr>
            <w:tcW w:w="1726" w:type="dxa"/>
            <w:gridSpan w:val="5"/>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联系电话</w:t>
            </w:r>
          </w:p>
        </w:tc>
        <w:tc>
          <w:tcPr>
            <w:tcW w:w="1705" w:type="dxa"/>
            <w:gridSpan w:val="3"/>
            <w:vAlign w:val="center"/>
          </w:tcPr>
          <w:p>
            <w:pPr>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生产信息</w:t>
            </w: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□境内自行生产</w:t>
            </w: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20"/>
                <w:szCs w:val="24"/>
                <w:highlight w:val="none"/>
              </w:rPr>
              <w:t>生产许可证编号</w:t>
            </w:r>
          </w:p>
        </w:tc>
        <w:tc>
          <w:tcPr>
            <w:tcW w:w="3431" w:type="dxa"/>
            <w:gridSpan w:val="8"/>
            <w:vMerge w:val="restart"/>
            <w:vAlign w:val="center"/>
          </w:tcPr>
          <w:p>
            <w:pPr>
              <w:jc w:val="center"/>
              <w:rPr>
                <w:rFonts w:ascii="Times New Roman" w:hAnsi="Times New Roman" w:eastAsia="仿宋_GB2312" w:cs="Times New Roman"/>
                <w:color w:val="000000"/>
                <w:szCs w:val="24"/>
                <w:highlight w:val="none"/>
              </w:rPr>
            </w:pPr>
            <w:r>
              <w:rPr>
                <w:rFonts w:hint="eastAsia" w:ascii="Times New Roman" w:hAnsi="Times New Roman" w:eastAsia="仿宋_GB2312" w:cs="Times New Roman"/>
                <w:color w:val="000000"/>
                <w:szCs w:val="24"/>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生产地址</w:t>
            </w:r>
          </w:p>
        </w:tc>
        <w:tc>
          <w:tcPr>
            <w:tcW w:w="3431" w:type="dxa"/>
            <w:gridSpan w:val="8"/>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□委托境内生产</w:t>
            </w: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生产企业名称</w:t>
            </w:r>
          </w:p>
        </w:tc>
        <w:tc>
          <w:tcPr>
            <w:tcW w:w="3431" w:type="dxa"/>
            <w:gridSpan w:val="8"/>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20"/>
                <w:szCs w:val="24"/>
                <w:highlight w:val="none"/>
              </w:rPr>
              <w:t>生产许可证编号</w:t>
            </w:r>
          </w:p>
        </w:tc>
        <w:tc>
          <w:tcPr>
            <w:tcW w:w="3431" w:type="dxa"/>
            <w:gridSpan w:val="8"/>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住所地址</w:t>
            </w:r>
          </w:p>
        </w:tc>
        <w:tc>
          <w:tcPr>
            <w:tcW w:w="3431" w:type="dxa"/>
            <w:gridSpan w:val="8"/>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continue"/>
            <w:vAlign w:val="center"/>
          </w:tcPr>
          <w:p>
            <w:pPr>
              <w:jc w:val="center"/>
              <w:rPr>
                <w:rFonts w:ascii="Times New Roman" w:hAnsi="Times New Roman" w:eastAsia="仿宋_GB2312" w:cs="Times New Roman"/>
                <w:b/>
                <w:bCs/>
                <w:color w:val="000000"/>
                <w:szCs w:val="24"/>
                <w:highlight w:val="none"/>
              </w:rPr>
            </w:pPr>
          </w:p>
        </w:tc>
        <w:tc>
          <w:tcPr>
            <w:tcW w:w="1678" w:type="dxa"/>
            <w:gridSpan w:val="3"/>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生产地址</w:t>
            </w:r>
          </w:p>
        </w:tc>
        <w:tc>
          <w:tcPr>
            <w:tcW w:w="3431" w:type="dxa"/>
            <w:gridSpan w:val="8"/>
            <w:vMerge w:val="continue"/>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28" w:type="dxa"/>
            <w:vMerge w:val="restart"/>
            <w:vAlign w:val="center"/>
          </w:tcPr>
          <w:p>
            <w:pPr>
              <w:jc w:val="center"/>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其他信息</w:t>
            </w:r>
          </w:p>
        </w:tc>
        <w:tc>
          <w:tcPr>
            <w:tcW w:w="1859" w:type="dxa"/>
            <w:vMerge w:val="restart"/>
            <w:vAlign w:val="center"/>
          </w:tcPr>
          <w:p>
            <w:pPr>
              <w:jc w:val="center"/>
              <w:rPr>
                <w:rFonts w:ascii="Times New Roman" w:hAnsi="Times New Roman" w:eastAsia="仿宋_GB2312" w:cs="Times New Roman"/>
                <w:b/>
                <w:bCs/>
                <w:color w:val="000000"/>
                <w:szCs w:val="24"/>
                <w:highlight w:val="none"/>
              </w:rPr>
            </w:pPr>
            <w:r>
              <w:rPr>
                <w:rFonts w:ascii="Times New Roman" w:hAnsi="Times New Roman" w:eastAsia="仿宋_GB2312" w:cs="Times New Roman"/>
                <w:b/>
                <w:bCs/>
                <w:color w:val="000000"/>
                <w:szCs w:val="24"/>
                <w:highlight w:val="none"/>
              </w:rPr>
              <w:t>检验受理编号</w:t>
            </w:r>
          </w:p>
          <w:p>
            <w:pPr>
              <w:spacing w:line="260" w:lineRule="exact"/>
              <w:jc w:val="center"/>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 w:val="20"/>
                <w:szCs w:val="24"/>
                <w:highlight w:val="none"/>
              </w:rPr>
              <w:t>（补充检验报告编号无需单独填报）</w:t>
            </w:r>
          </w:p>
        </w:tc>
        <w:tc>
          <w:tcPr>
            <w:tcW w:w="5109" w:type="dxa"/>
            <w:gridSpan w:val="11"/>
            <w:vAlign w:val="center"/>
          </w:tcPr>
          <w:p>
            <w:pPr>
              <w:jc w:val="left"/>
              <w:rPr>
                <w:rFonts w:eastAsia="仿宋_GB2312"/>
                <w:color w:val="000000"/>
                <w:szCs w:val="21"/>
                <w:highlight w:val="none"/>
              </w:rPr>
            </w:pPr>
            <w:r>
              <w:rPr>
                <w:rFonts w:hint="eastAsia" w:eastAsia="仿宋_GB2312"/>
                <w:color w:val="000000"/>
                <w:szCs w:val="21"/>
                <w:highlight w:val="none"/>
              </w:rPr>
              <w:t>检验受理编号应与检验报告中相应内容一致。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228" w:type="dxa"/>
            <w:vMerge w:val="continue"/>
            <w:vAlign w:val="center"/>
          </w:tcPr>
          <w:p>
            <w:pPr>
              <w:jc w:val="center"/>
              <w:rPr>
                <w:rFonts w:ascii="Times New Roman" w:hAnsi="Times New Roman" w:eastAsia="仿宋_GB2312" w:cs="Times New Roman"/>
                <w:b/>
                <w:bCs/>
                <w:color w:val="000000"/>
                <w:szCs w:val="24"/>
                <w:highlight w:val="none"/>
              </w:rPr>
            </w:pPr>
          </w:p>
        </w:tc>
        <w:tc>
          <w:tcPr>
            <w:tcW w:w="1859" w:type="dxa"/>
            <w:vMerge w:val="restart"/>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b/>
                <w:bCs/>
                <w:color w:val="000000"/>
                <w:szCs w:val="24"/>
                <w:highlight w:val="none"/>
              </w:rPr>
              <w:t>是否使用新原料</w:t>
            </w:r>
          </w:p>
        </w:tc>
        <w:tc>
          <w:tcPr>
            <w:tcW w:w="220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□使用已注册新原料</w:t>
            </w:r>
          </w:p>
        </w:tc>
        <w:tc>
          <w:tcPr>
            <w:tcW w:w="890"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注册号</w:t>
            </w:r>
          </w:p>
        </w:tc>
        <w:tc>
          <w:tcPr>
            <w:tcW w:w="2012" w:type="dxa"/>
            <w:gridSpan w:val="4"/>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left"/>
              <w:rPr>
                <w:rFonts w:ascii="Times New Roman" w:hAnsi="Times New Roman" w:eastAsia="仿宋_GB2312" w:cs="Times New Roman"/>
                <w:color w:val="000000"/>
                <w:szCs w:val="24"/>
                <w:highlight w:val="none"/>
              </w:rPr>
            </w:pPr>
          </w:p>
        </w:tc>
        <w:tc>
          <w:tcPr>
            <w:tcW w:w="220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□使用已备案新原料</w:t>
            </w:r>
          </w:p>
        </w:tc>
        <w:tc>
          <w:tcPr>
            <w:tcW w:w="890"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备案号</w:t>
            </w:r>
          </w:p>
        </w:tc>
        <w:tc>
          <w:tcPr>
            <w:tcW w:w="2012" w:type="dxa"/>
            <w:gridSpan w:val="4"/>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1859" w:type="dxa"/>
            <w:vMerge w:val="continue"/>
            <w:vAlign w:val="center"/>
          </w:tcPr>
          <w:p>
            <w:pPr>
              <w:jc w:val="left"/>
              <w:rPr>
                <w:rFonts w:ascii="Times New Roman" w:hAnsi="Times New Roman" w:eastAsia="仿宋_GB2312" w:cs="Times New Roman"/>
                <w:color w:val="000000"/>
                <w:szCs w:val="24"/>
                <w:highlight w:val="none"/>
              </w:rPr>
            </w:pPr>
          </w:p>
        </w:tc>
        <w:tc>
          <w:tcPr>
            <w:tcW w:w="1678" w:type="dxa"/>
            <w:gridSpan w:val="3"/>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□不使用</w:t>
            </w:r>
          </w:p>
        </w:tc>
        <w:tc>
          <w:tcPr>
            <w:tcW w:w="3431" w:type="dxa"/>
            <w:gridSpan w:val="8"/>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353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□套装产品</w:t>
            </w:r>
          </w:p>
        </w:tc>
        <w:tc>
          <w:tcPr>
            <w:tcW w:w="3431" w:type="dxa"/>
            <w:gridSpan w:val="8"/>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353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□配合仪器使用产品</w:t>
            </w:r>
          </w:p>
        </w:tc>
        <w:tc>
          <w:tcPr>
            <w:tcW w:w="3431" w:type="dxa"/>
            <w:gridSpan w:val="8"/>
            <w:vAlign w:val="center"/>
          </w:tcPr>
          <w:p>
            <w:pPr>
              <w:jc w:val="left"/>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eastAsia="仿宋_GB2312" w:cs="Times New Roman"/>
                <w:color w:val="000000"/>
                <w:szCs w:val="24"/>
                <w:highlight w:val="none"/>
              </w:rPr>
            </w:pPr>
          </w:p>
        </w:tc>
        <w:tc>
          <w:tcPr>
            <w:tcW w:w="3537" w:type="dxa"/>
            <w:gridSpan w:val="4"/>
            <w:vAlign w:val="center"/>
          </w:tcPr>
          <w:p>
            <w:pPr>
              <w:jc w:val="left"/>
              <w:rPr>
                <w:rFonts w:ascii="Times New Roman" w:hAnsi="Times New Roman" w:eastAsia="仿宋_GB2312" w:cs="Times New Roman"/>
                <w:color w:val="000000"/>
                <w:szCs w:val="24"/>
                <w:highlight w:val="none"/>
              </w:rPr>
            </w:pPr>
            <w:r>
              <w:rPr>
                <w:rFonts w:ascii="Times New Roman" w:hAnsi="Times New Roman" w:eastAsia="仿宋_GB2312" w:cs="Times New Roman"/>
                <w:color w:val="000000"/>
                <w:szCs w:val="24"/>
                <w:highlight w:val="none"/>
              </w:rPr>
              <w:t>……</w:t>
            </w:r>
          </w:p>
        </w:tc>
        <w:tc>
          <w:tcPr>
            <w:tcW w:w="3431" w:type="dxa"/>
            <w:gridSpan w:val="8"/>
            <w:vAlign w:val="center"/>
          </w:tcPr>
          <w:p>
            <w:pPr>
              <w:jc w:val="center"/>
              <w:rPr>
                <w:rFonts w:ascii="Times New Roman" w:hAnsi="Times New Roman" w:eastAsia="仿宋_GB2312" w:cs="Times New Roman"/>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96" w:type="dxa"/>
            <w:gridSpan w:val="13"/>
            <w:vAlign w:val="bottom"/>
          </w:tcPr>
          <w:p>
            <w:pPr>
              <w:wordWrap w:val="0"/>
              <w:adjustRightInd w:val="0"/>
              <w:snapToGrid w:val="0"/>
              <w:jc w:val="right"/>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sz w:val="24"/>
                <w:szCs w:val="24"/>
                <w:highlight w:val="none"/>
              </w:rPr>
              <w:t>（注册人/备案人盖章）</w:t>
            </w:r>
          </w:p>
          <w:p>
            <w:pPr>
              <w:wordWrap w:val="0"/>
              <w:adjustRightInd w:val="0"/>
              <w:snapToGrid w:val="0"/>
              <w:jc w:val="right"/>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sz w:val="24"/>
                <w:szCs w:val="24"/>
                <w:highlight w:val="none"/>
              </w:rPr>
              <w:t xml:space="preserve">    年  月  日  </w:t>
            </w:r>
          </w:p>
        </w:tc>
      </w:tr>
    </w:tbl>
    <w:p>
      <w:pPr>
        <w:spacing w:line="500" w:lineRule="exact"/>
        <w:jc w:val="left"/>
        <w:rPr>
          <w:rFonts w:ascii="方正小标宋简体" w:hAnsi="黑体" w:eastAsia="方正小标宋简体" w:cs="黑体"/>
          <w:bCs/>
          <w:color w:val="000000"/>
          <w:sz w:val="28"/>
          <w:szCs w:val="28"/>
          <w:highlight w:val="none"/>
        </w:rPr>
      </w:pPr>
      <w:r>
        <w:rPr>
          <w:rFonts w:eastAsia="仿宋"/>
          <w:color w:val="000000"/>
          <w:highlight w:val="none"/>
        </w:rPr>
        <w:br w:type="page"/>
      </w:r>
      <w:r>
        <w:rPr>
          <w:rFonts w:hint="eastAsia" w:ascii="方正小标宋简体" w:hAnsi="黑体" w:eastAsia="方正小标宋简体" w:cs="黑体"/>
          <w:bCs/>
          <w:color w:val="000000"/>
          <w:sz w:val="28"/>
          <w:szCs w:val="28"/>
          <w:highlight w:val="none"/>
        </w:rPr>
        <w:t xml:space="preserve">附 3 </w:t>
      </w:r>
    </w:p>
    <w:p>
      <w:pPr>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化妆品产品命名依据</w:t>
      </w:r>
    </w:p>
    <w:p>
      <w:pPr>
        <w:snapToGrid w:val="0"/>
        <w:spacing w:line="640" w:lineRule="exact"/>
        <w:jc w:val="center"/>
        <w:rPr>
          <w:rFonts w:cs="黑体" w:asciiTheme="minorEastAsia" w:hAnsiTheme="minorEastAsia"/>
          <w:b/>
          <w:bCs/>
          <w:sz w:val="32"/>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产品名称（中文）</w:t>
            </w:r>
          </w:p>
        </w:tc>
        <w:tc>
          <w:tcPr>
            <w:tcW w:w="6001" w:type="dxa"/>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产品名称（外文）</w:t>
            </w:r>
          </w:p>
        </w:tc>
        <w:tc>
          <w:tcPr>
            <w:tcW w:w="6001" w:type="dxa"/>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商标名</w:t>
            </w:r>
          </w:p>
        </w:tc>
        <w:tc>
          <w:tcPr>
            <w:tcW w:w="6001" w:type="dxa"/>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通用名</w:t>
            </w:r>
          </w:p>
        </w:tc>
        <w:tc>
          <w:tcPr>
            <w:tcW w:w="6001" w:type="dxa"/>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属性名</w:t>
            </w:r>
          </w:p>
        </w:tc>
        <w:tc>
          <w:tcPr>
            <w:tcW w:w="6001" w:type="dxa"/>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后缀</w:t>
            </w:r>
          </w:p>
        </w:tc>
        <w:tc>
          <w:tcPr>
            <w:tcW w:w="6001" w:type="dxa"/>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总体解释</w:t>
            </w:r>
          </w:p>
        </w:tc>
        <w:tc>
          <w:tcPr>
            <w:tcW w:w="6001" w:type="dxa"/>
            <w:vAlign w:val="center"/>
          </w:tcPr>
          <w:p>
            <w:pPr>
              <w:adjustRightInd w:val="0"/>
              <w:snapToGrid w:val="0"/>
              <w:spacing w:line="360" w:lineRule="auto"/>
              <w:jc w:val="center"/>
              <w:rPr>
                <w:rFonts w:ascii="仿宋" w:hAnsi="仿宋" w:eastAsia="仿宋"/>
                <w:szCs w:val="21"/>
                <w:highlight w:val="none"/>
              </w:rPr>
            </w:pPr>
          </w:p>
        </w:tc>
      </w:tr>
    </w:tbl>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附4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化妆品产品命名依据示例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产品名称（中文）</w:t>
            </w:r>
          </w:p>
        </w:tc>
        <w:tc>
          <w:tcPr>
            <w:tcW w:w="6001" w:type="dxa"/>
            <w:vMerge w:val="restart"/>
            <w:vAlign w:val="center"/>
          </w:tcPr>
          <w:p>
            <w:pPr>
              <w:spacing w:line="360" w:lineRule="auto"/>
              <w:rPr>
                <w:rFonts w:ascii="仿宋" w:hAnsi="仿宋" w:eastAsia="仿宋"/>
                <w:szCs w:val="21"/>
                <w:highlight w:val="none"/>
              </w:rPr>
            </w:pPr>
            <w:r>
              <w:rPr>
                <w:rFonts w:hint="eastAsia" w:ascii="仿宋" w:hAnsi="仿宋" w:eastAsia="仿宋"/>
                <w:bCs/>
                <w:szCs w:val="21"/>
                <w:highlight w:val="none"/>
              </w:rPr>
              <w:t>产品名称应指明商标名、通用名、属性名，并分别说明其具体含义。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商标名</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通用名</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属性名</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后缀</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总体解释</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bl>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附5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配方表</w:t>
      </w:r>
    </w:p>
    <w:p>
      <w:pPr>
        <w:rPr>
          <w:rFonts w:ascii="黑体" w:hAnsi="黑体" w:eastAsia="黑体"/>
          <w:color w:val="000000"/>
          <w:szCs w:val="21"/>
          <w:highlight w:val="none"/>
        </w:rPr>
      </w:pPr>
      <w:r>
        <w:rPr>
          <w:rFonts w:ascii="黑体" w:hAnsi="黑体" w:eastAsia="黑体"/>
          <w:color w:val="000000"/>
          <w:szCs w:val="21"/>
          <w:highlight w:val="none"/>
        </w:rPr>
        <w:t>一、配方表</w:t>
      </w:r>
    </w:p>
    <w:tbl>
      <w:tblPr>
        <w:tblStyle w:val="7"/>
        <w:tblW w:w="0" w:type="auto"/>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536"/>
        <w:gridCol w:w="1468"/>
        <w:gridCol w:w="2126"/>
        <w:gridCol w:w="1276"/>
        <w:gridCol w:w="1134"/>
        <w:gridCol w:w="1134"/>
        <w:gridCol w:w="850"/>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序号</w:t>
            </w:r>
          </w:p>
        </w:tc>
        <w:tc>
          <w:tcPr>
            <w:tcW w:w="1454"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标准中文</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名称</w:t>
            </w:r>
          </w:p>
        </w:tc>
        <w:tc>
          <w:tcPr>
            <w:tcW w:w="211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INCI名称/英文名称</w:t>
            </w:r>
          </w:p>
        </w:tc>
        <w:tc>
          <w:tcPr>
            <w:tcW w:w="126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原料含量%）</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复配百分比（%）</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实际成分含量（%）</w:t>
            </w:r>
          </w:p>
        </w:tc>
        <w:tc>
          <w:tcPr>
            <w:tcW w:w="836"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使用</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目的</w:t>
            </w:r>
          </w:p>
        </w:tc>
        <w:tc>
          <w:tcPr>
            <w:tcW w:w="830" w:type="dxa"/>
            <w:tcBorders>
              <w:tl2br w:val="nil"/>
              <w:tr2bl w:val="nil"/>
            </w:tcBorders>
            <w:shd w:val="clear" w:color="auto" w:fill="FFFFFF"/>
          </w:tcPr>
          <w:p>
            <w:pPr>
              <w:widowControl/>
              <w:jc w:val="center"/>
              <w:rPr>
                <w:rFonts w:eastAsia="仿宋_GB2312"/>
                <w:b/>
                <w:bCs/>
                <w:color w:val="000000"/>
                <w:kern w:val="0"/>
                <w:szCs w:val="21"/>
                <w:highlight w:val="none"/>
              </w:rPr>
            </w:pPr>
          </w:p>
          <w:p>
            <w:pPr>
              <w:widowControl/>
              <w:jc w:val="center"/>
              <w:rPr>
                <w:rFonts w:eastAsia="仿宋_GB2312"/>
                <w:b/>
                <w:bCs/>
                <w:color w:val="000000"/>
                <w:kern w:val="0"/>
                <w:szCs w:val="21"/>
                <w:highlight w:val="none"/>
              </w:rPr>
            </w:pPr>
            <w:r>
              <w:rPr>
                <w:rFonts w:eastAsia="仿宋_GB2312"/>
                <w:b/>
                <w:bCs/>
                <w:color w:val="000000"/>
                <w:kern w:val="0"/>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Cs/>
                <w:color w:val="000000"/>
                <w:kern w:val="0"/>
                <w:szCs w:val="21"/>
                <w:highlight w:val="none"/>
              </w:rPr>
            </w:pPr>
          </w:p>
        </w:tc>
        <w:tc>
          <w:tcPr>
            <w:tcW w:w="1454" w:type="dxa"/>
            <w:tcBorders>
              <w:tl2br w:val="nil"/>
              <w:tr2bl w:val="nil"/>
            </w:tcBorders>
            <w:shd w:val="clear" w:color="auto" w:fill="FFFFFF"/>
            <w:vAlign w:val="center"/>
          </w:tcPr>
          <w:p>
            <w:pPr>
              <w:widowControl/>
              <w:jc w:val="center"/>
              <w:rPr>
                <w:rFonts w:eastAsia="仿宋_GB2312"/>
                <w:bCs/>
                <w:color w:val="000000"/>
                <w:kern w:val="0"/>
                <w:szCs w:val="21"/>
                <w:highlight w:val="none"/>
              </w:rPr>
            </w:pPr>
          </w:p>
        </w:tc>
        <w:tc>
          <w:tcPr>
            <w:tcW w:w="2112" w:type="dxa"/>
            <w:tcBorders>
              <w:tl2br w:val="nil"/>
              <w:tr2bl w:val="nil"/>
            </w:tcBorders>
            <w:shd w:val="clear" w:color="auto" w:fill="FFFFFF"/>
            <w:vAlign w:val="center"/>
          </w:tcPr>
          <w:p>
            <w:pPr>
              <w:widowControl/>
              <w:jc w:val="center"/>
              <w:rPr>
                <w:rFonts w:eastAsia="仿宋_GB2312"/>
                <w:bCs/>
                <w:color w:val="000000"/>
                <w:kern w:val="0"/>
                <w:szCs w:val="21"/>
                <w:highlight w:val="none"/>
              </w:rPr>
            </w:pPr>
          </w:p>
        </w:tc>
        <w:tc>
          <w:tcPr>
            <w:tcW w:w="1262"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6"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0" w:type="dxa"/>
            <w:tcBorders>
              <w:tl2br w:val="nil"/>
              <w:tr2bl w:val="nil"/>
            </w:tcBorders>
            <w:shd w:val="clear" w:color="auto" w:fill="FFFFFF"/>
          </w:tcPr>
          <w:p>
            <w:pPr>
              <w:widowControl/>
              <w:jc w:val="center"/>
              <w:rPr>
                <w:rFonts w:eastAsia="仿宋_GB2312"/>
                <w:color w:val="000000"/>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454"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2112"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262"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6"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0" w:type="dxa"/>
            <w:tcBorders>
              <w:tl2br w:val="nil"/>
              <w:tr2bl w:val="nil"/>
            </w:tcBorders>
            <w:shd w:val="clear" w:color="auto" w:fill="FFFFFF"/>
          </w:tcPr>
          <w:p>
            <w:pPr>
              <w:widowControl/>
              <w:jc w:val="center"/>
              <w:rPr>
                <w:rFonts w:eastAsia="仿宋_GB2312"/>
                <w:color w:val="000000"/>
                <w:kern w:val="0"/>
                <w:szCs w:val="21"/>
                <w:highlight w:val="none"/>
              </w:rPr>
            </w:pPr>
          </w:p>
        </w:tc>
      </w:tr>
    </w:tbl>
    <w:p>
      <w:pPr>
        <w:rPr>
          <w:rFonts w:ascii="黑体" w:hAnsi="黑体" w:eastAsia="黑体"/>
          <w:color w:val="000000"/>
          <w:szCs w:val="21"/>
          <w:highlight w:val="none"/>
        </w:rPr>
      </w:pPr>
    </w:p>
    <w:p>
      <w:pPr>
        <w:rPr>
          <w:rFonts w:ascii="黑体" w:hAnsi="黑体" w:eastAsia="黑体"/>
          <w:color w:val="000000"/>
          <w:szCs w:val="21"/>
          <w:highlight w:val="none"/>
        </w:rPr>
      </w:pPr>
      <w:r>
        <w:rPr>
          <w:rFonts w:ascii="黑体" w:hAnsi="黑体" w:eastAsia="黑体"/>
          <w:color w:val="000000"/>
          <w:szCs w:val="21"/>
          <w:highlight w:val="none"/>
        </w:rPr>
        <w:t>二、配方表附件式样</w:t>
      </w:r>
    </w:p>
    <w:tbl>
      <w:tblPr>
        <w:tblStyle w:val="7"/>
        <w:tblW w:w="9297" w:type="dxa"/>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606"/>
        <w:gridCol w:w="2024"/>
        <w:gridCol w:w="2369"/>
        <w:gridCol w:w="4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序号</w:t>
            </w:r>
          </w:p>
        </w:tc>
        <w:tc>
          <w:tcPr>
            <w:tcW w:w="2010"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标准中文名称</w:t>
            </w:r>
          </w:p>
        </w:tc>
        <w:tc>
          <w:tcPr>
            <w:tcW w:w="235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生产商</w:t>
            </w:r>
          </w:p>
        </w:tc>
        <w:tc>
          <w:tcPr>
            <w:tcW w:w="4277"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原料报送码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p>
        </w:tc>
        <w:tc>
          <w:tcPr>
            <w:tcW w:w="2010" w:type="dxa"/>
            <w:shd w:val="clear" w:color="auto" w:fill="FFFFFF"/>
            <w:vAlign w:val="center"/>
          </w:tcPr>
          <w:p>
            <w:pPr>
              <w:widowControl/>
              <w:jc w:val="center"/>
              <w:rPr>
                <w:rFonts w:eastAsia="仿宋"/>
                <w:color w:val="000000"/>
                <w:kern w:val="0"/>
                <w:szCs w:val="21"/>
                <w:highlight w:val="none"/>
              </w:rPr>
            </w:pPr>
          </w:p>
        </w:tc>
        <w:tc>
          <w:tcPr>
            <w:tcW w:w="2355" w:type="dxa"/>
            <w:shd w:val="clear" w:color="auto" w:fill="FFFFFF"/>
            <w:vAlign w:val="center"/>
          </w:tcPr>
          <w:p>
            <w:pPr>
              <w:widowControl/>
              <w:jc w:val="center"/>
              <w:rPr>
                <w:rFonts w:eastAsia="仿宋"/>
                <w:bCs/>
                <w:color w:val="000000"/>
                <w:kern w:val="0"/>
                <w:szCs w:val="21"/>
                <w:highlight w:val="none"/>
              </w:rPr>
            </w:pPr>
          </w:p>
        </w:tc>
        <w:tc>
          <w:tcPr>
            <w:tcW w:w="4277" w:type="dxa"/>
            <w:shd w:val="clear" w:color="auto" w:fill="FFFFFF"/>
            <w:vAlign w:val="center"/>
          </w:tcPr>
          <w:p>
            <w:pPr>
              <w:widowControl/>
              <w:jc w:val="center"/>
              <w:rPr>
                <w:rFonts w:eastAsia="仿宋"/>
                <w:bCs/>
                <w:color w:val="000000"/>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p>
        </w:tc>
        <w:tc>
          <w:tcPr>
            <w:tcW w:w="2010" w:type="dxa"/>
            <w:shd w:val="clear" w:color="auto" w:fill="FFFFFF"/>
            <w:vAlign w:val="center"/>
          </w:tcPr>
          <w:p>
            <w:pPr>
              <w:widowControl/>
              <w:jc w:val="center"/>
              <w:rPr>
                <w:rFonts w:eastAsia="仿宋"/>
                <w:color w:val="000000"/>
                <w:kern w:val="0"/>
                <w:szCs w:val="21"/>
                <w:highlight w:val="none"/>
              </w:rPr>
            </w:pPr>
          </w:p>
        </w:tc>
        <w:tc>
          <w:tcPr>
            <w:tcW w:w="2355" w:type="dxa"/>
            <w:shd w:val="clear" w:color="auto" w:fill="FFFFFF"/>
            <w:vAlign w:val="center"/>
          </w:tcPr>
          <w:p>
            <w:pPr>
              <w:widowControl/>
              <w:jc w:val="center"/>
              <w:rPr>
                <w:rFonts w:eastAsia="仿宋"/>
                <w:color w:val="000000"/>
                <w:kern w:val="0"/>
                <w:szCs w:val="21"/>
                <w:highlight w:val="none"/>
              </w:rPr>
            </w:pPr>
          </w:p>
        </w:tc>
        <w:tc>
          <w:tcPr>
            <w:tcW w:w="4277" w:type="dxa"/>
            <w:shd w:val="clear" w:color="auto" w:fill="FFFFFF"/>
            <w:vAlign w:val="center"/>
          </w:tcPr>
          <w:p>
            <w:pPr>
              <w:widowControl/>
              <w:jc w:val="center"/>
              <w:rPr>
                <w:rFonts w:eastAsia="仿宋"/>
                <w:color w:val="000000"/>
                <w:kern w:val="0"/>
                <w:szCs w:val="21"/>
                <w:highlight w:val="none"/>
              </w:rPr>
            </w:pPr>
          </w:p>
        </w:tc>
      </w:tr>
    </w:tbl>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附6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配方表示例</w:t>
      </w:r>
    </w:p>
    <w:p>
      <w:pPr>
        <w:rPr>
          <w:rFonts w:ascii="黑体" w:hAnsi="黑体" w:eastAsia="黑体"/>
          <w:color w:val="000000"/>
          <w:szCs w:val="21"/>
          <w:highlight w:val="none"/>
        </w:rPr>
      </w:pPr>
      <w:r>
        <w:rPr>
          <w:rFonts w:ascii="黑体" w:hAnsi="黑体" w:eastAsia="黑体"/>
          <w:color w:val="000000"/>
          <w:szCs w:val="21"/>
          <w:highlight w:val="none"/>
        </w:rPr>
        <w:t>一、配方表</w:t>
      </w:r>
    </w:p>
    <w:tbl>
      <w:tblPr>
        <w:tblStyle w:val="7"/>
        <w:tblW w:w="9375" w:type="dxa"/>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536"/>
        <w:gridCol w:w="1468"/>
        <w:gridCol w:w="2126"/>
        <w:gridCol w:w="1276"/>
        <w:gridCol w:w="1134"/>
        <w:gridCol w:w="1134"/>
        <w:gridCol w:w="850"/>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序号</w:t>
            </w:r>
          </w:p>
        </w:tc>
        <w:tc>
          <w:tcPr>
            <w:tcW w:w="1454"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标准中文</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名称</w:t>
            </w:r>
          </w:p>
        </w:tc>
        <w:tc>
          <w:tcPr>
            <w:tcW w:w="211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INCI名称/英文名称</w:t>
            </w:r>
          </w:p>
        </w:tc>
        <w:tc>
          <w:tcPr>
            <w:tcW w:w="126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原料含量</w:t>
            </w:r>
            <w:r>
              <w:rPr>
                <w:rFonts w:hint="eastAsia" w:eastAsia="仿宋_GB2312"/>
                <w:b/>
                <w:bCs/>
                <w:color w:val="000000"/>
                <w:kern w:val="0"/>
                <w:szCs w:val="21"/>
                <w:highlight w:val="none"/>
              </w:rPr>
              <w:t>（</w:t>
            </w:r>
            <w:r>
              <w:rPr>
                <w:rFonts w:eastAsia="仿宋_GB2312"/>
                <w:b/>
                <w:bCs/>
                <w:color w:val="000000"/>
                <w:kern w:val="0"/>
                <w:szCs w:val="21"/>
                <w:highlight w:val="none"/>
              </w:rPr>
              <w:t>%）</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复配百分比（%）</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实际成分含量（%）</w:t>
            </w:r>
          </w:p>
        </w:tc>
        <w:tc>
          <w:tcPr>
            <w:tcW w:w="836"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使用</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目的</w:t>
            </w:r>
          </w:p>
        </w:tc>
        <w:tc>
          <w:tcPr>
            <w:tcW w:w="830" w:type="dxa"/>
            <w:tcBorders>
              <w:tl2br w:val="nil"/>
              <w:tr2bl w:val="nil"/>
            </w:tcBorders>
            <w:shd w:val="clear" w:color="auto" w:fill="FFFFFF"/>
          </w:tcPr>
          <w:p>
            <w:pPr>
              <w:widowControl/>
              <w:jc w:val="center"/>
              <w:rPr>
                <w:rFonts w:eastAsia="仿宋_GB2312"/>
                <w:b/>
                <w:bCs/>
                <w:color w:val="000000"/>
                <w:kern w:val="0"/>
                <w:szCs w:val="21"/>
                <w:highlight w:val="none"/>
              </w:rPr>
            </w:pPr>
          </w:p>
          <w:p>
            <w:pPr>
              <w:widowControl/>
              <w:jc w:val="center"/>
              <w:rPr>
                <w:rFonts w:eastAsia="仿宋_GB2312"/>
                <w:b/>
                <w:bCs/>
                <w:color w:val="000000"/>
                <w:kern w:val="0"/>
                <w:szCs w:val="21"/>
                <w:highlight w:val="none"/>
              </w:rPr>
            </w:pPr>
            <w:r>
              <w:rPr>
                <w:rFonts w:eastAsia="仿宋_GB2312"/>
                <w:b/>
                <w:bCs/>
                <w:color w:val="000000"/>
                <w:kern w:val="0"/>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Cs/>
                <w:color w:val="000000"/>
                <w:kern w:val="0"/>
                <w:szCs w:val="21"/>
                <w:highlight w:val="none"/>
              </w:rPr>
            </w:pPr>
            <w:r>
              <w:rPr>
                <w:rFonts w:hint="eastAsia" w:eastAsia="仿宋_GB2312"/>
                <w:bCs/>
                <w:color w:val="000000"/>
                <w:kern w:val="0"/>
                <w:szCs w:val="21"/>
                <w:highlight w:val="none"/>
              </w:rPr>
              <w:t>1</w:t>
            </w:r>
          </w:p>
        </w:tc>
        <w:tc>
          <w:tcPr>
            <w:tcW w:w="1454" w:type="dxa"/>
            <w:vMerge w:val="restart"/>
            <w:tcBorders>
              <w:tl2br w:val="nil"/>
              <w:tr2bl w:val="nil"/>
            </w:tcBorders>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c>
          <w:tcPr>
            <w:tcW w:w="2112" w:type="dxa"/>
            <w:vMerge w:val="restart"/>
            <w:tcBorders>
              <w:tl2br w:val="nil"/>
              <w:tr2bl w:val="nil"/>
            </w:tcBorders>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c>
          <w:tcPr>
            <w:tcW w:w="3530" w:type="dxa"/>
            <w:gridSpan w:val="3"/>
            <w:vMerge w:val="restart"/>
            <w:tcBorders>
              <w:tl2br w:val="nil"/>
              <w:tr2bl w:val="nil"/>
            </w:tcBorders>
            <w:shd w:val="clear" w:color="auto" w:fill="FFFFFF"/>
            <w:vAlign w:val="center"/>
          </w:tcPr>
          <w:p>
            <w:pPr>
              <w:widowControl/>
              <w:jc w:val="center"/>
              <w:rPr>
                <w:rFonts w:eastAsia="仿宋_GB2312"/>
                <w:color w:val="000000"/>
                <w:kern w:val="0"/>
                <w:szCs w:val="21"/>
                <w:highlight w:val="none"/>
              </w:rPr>
            </w:pPr>
            <w:r>
              <w:rPr>
                <w:rFonts w:hint="eastAsia" w:eastAsia="仿宋_GB2312"/>
                <w:color w:val="000000"/>
                <w:kern w:val="0"/>
                <w:szCs w:val="21"/>
                <w:highlight w:val="none"/>
              </w:rPr>
              <w:t>配方表中成分含量、实际成分含量的有效数字位数原则上不少于一位有效数字不超过五位有效数字。</w:t>
            </w:r>
          </w:p>
        </w:tc>
        <w:tc>
          <w:tcPr>
            <w:tcW w:w="836" w:type="dxa"/>
            <w:vMerge w:val="restart"/>
            <w:tcBorders>
              <w:tl2br w:val="nil"/>
              <w:tr2bl w:val="nil"/>
            </w:tcBorders>
            <w:shd w:val="clear" w:color="auto" w:fill="FFFFFF"/>
            <w:vAlign w:val="center"/>
          </w:tcPr>
          <w:p>
            <w:pPr>
              <w:widowControl/>
              <w:jc w:val="center"/>
              <w:rPr>
                <w:rFonts w:eastAsia="仿宋_GB2312"/>
                <w:color w:val="000000"/>
                <w:kern w:val="0"/>
                <w:szCs w:val="21"/>
                <w:highlight w:val="none"/>
              </w:rPr>
            </w:pPr>
            <w:r>
              <w:rPr>
                <w:rFonts w:eastAsia="仿宋_GB2312"/>
                <w:color w:val="000000"/>
                <w:sz w:val="20"/>
                <w:highlight w:val="none"/>
              </w:rPr>
              <w:t>企业填报</w:t>
            </w:r>
          </w:p>
        </w:tc>
        <w:tc>
          <w:tcPr>
            <w:tcW w:w="830" w:type="dxa"/>
            <w:vMerge w:val="restart"/>
            <w:tcBorders>
              <w:tl2br w:val="nil"/>
              <w:tr2bl w:val="nil"/>
            </w:tcBorders>
            <w:shd w:val="clear" w:color="auto" w:fill="FFFFFF"/>
            <w:vAlign w:val="center"/>
          </w:tcPr>
          <w:p>
            <w:pPr>
              <w:widowControl/>
              <w:jc w:val="center"/>
              <w:rPr>
                <w:rFonts w:eastAsia="仿宋_GB2312"/>
                <w:color w:val="000000"/>
                <w:kern w:val="0"/>
                <w:szCs w:val="21"/>
                <w:highlight w:val="none"/>
              </w:rPr>
            </w:pPr>
            <w:r>
              <w:rPr>
                <w:rFonts w:eastAsia="仿宋_GB2312"/>
                <w:color w:val="000000"/>
                <w:sz w:val="20"/>
                <w:highlight w:val="none"/>
              </w:rPr>
              <w:t>企业填报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color w:val="000000"/>
                <w:kern w:val="0"/>
                <w:szCs w:val="21"/>
                <w:highlight w:val="none"/>
              </w:rPr>
            </w:pPr>
            <w:r>
              <w:rPr>
                <w:rFonts w:hint="eastAsia" w:eastAsia="仿宋_GB2312"/>
                <w:color w:val="000000"/>
                <w:kern w:val="0"/>
                <w:szCs w:val="21"/>
                <w:highlight w:val="none"/>
              </w:rPr>
              <w:t>2</w:t>
            </w:r>
          </w:p>
        </w:tc>
        <w:tc>
          <w:tcPr>
            <w:tcW w:w="1454" w:type="dxa"/>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2112" w:type="dxa"/>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3530" w:type="dxa"/>
            <w:gridSpan w:val="3"/>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6" w:type="dxa"/>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0" w:type="dxa"/>
            <w:vMerge w:val="continue"/>
            <w:tcBorders>
              <w:tl2br w:val="nil"/>
              <w:tr2bl w:val="nil"/>
            </w:tcBorders>
            <w:shd w:val="clear" w:color="auto" w:fill="FFFFFF"/>
          </w:tcPr>
          <w:p>
            <w:pPr>
              <w:widowControl/>
              <w:jc w:val="center"/>
              <w:rPr>
                <w:rFonts w:eastAsia="仿宋_GB2312"/>
                <w:color w:val="000000"/>
                <w:kern w:val="0"/>
                <w:szCs w:val="21"/>
                <w:highlight w:val="none"/>
              </w:rPr>
            </w:pPr>
          </w:p>
        </w:tc>
      </w:tr>
    </w:tbl>
    <w:p>
      <w:pPr>
        <w:rPr>
          <w:rFonts w:eastAsia="仿宋"/>
          <w:color w:val="000000"/>
          <w:kern w:val="0"/>
          <w:szCs w:val="21"/>
          <w:highlight w:val="none"/>
        </w:rPr>
      </w:pPr>
    </w:p>
    <w:p>
      <w:pPr>
        <w:rPr>
          <w:rFonts w:ascii="黑体" w:hAnsi="黑体" w:eastAsia="黑体"/>
          <w:color w:val="000000"/>
          <w:szCs w:val="21"/>
          <w:highlight w:val="none"/>
        </w:rPr>
      </w:pPr>
      <w:r>
        <w:rPr>
          <w:rFonts w:ascii="黑体" w:hAnsi="黑体" w:eastAsia="黑体"/>
          <w:color w:val="000000"/>
          <w:szCs w:val="21"/>
          <w:highlight w:val="none"/>
        </w:rPr>
        <w:t>二、配方表附件式样</w:t>
      </w:r>
    </w:p>
    <w:tbl>
      <w:tblPr>
        <w:tblStyle w:val="7"/>
        <w:tblW w:w="9297" w:type="dxa"/>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606"/>
        <w:gridCol w:w="2024"/>
        <w:gridCol w:w="2369"/>
        <w:gridCol w:w="4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序号</w:t>
            </w:r>
          </w:p>
        </w:tc>
        <w:tc>
          <w:tcPr>
            <w:tcW w:w="2010"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标准中文名称</w:t>
            </w:r>
          </w:p>
        </w:tc>
        <w:tc>
          <w:tcPr>
            <w:tcW w:w="235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生产商</w:t>
            </w:r>
          </w:p>
        </w:tc>
        <w:tc>
          <w:tcPr>
            <w:tcW w:w="4277"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原料报送码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r>
              <w:rPr>
                <w:rFonts w:hint="eastAsia" w:eastAsia="仿宋"/>
                <w:color w:val="000000"/>
                <w:kern w:val="0"/>
                <w:szCs w:val="21"/>
                <w:highlight w:val="none"/>
              </w:rPr>
              <w:t>1</w:t>
            </w:r>
          </w:p>
        </w:tc>
        <w:tc>
          <w:tcPr>
            <w:tcW w:w="2010"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c>
          <w:tcPr>
            <w:tcW w:w="2355"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c>
          <w:tcPr>
            <w:tcW w:w="4277"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r>
              <w:rPr>
                <w:rFonts w:hint="eastAsia" w:eastAsia="仿宋"/>
                <w:color w:val="000000"/>
                <w:kern w:val="0"/>
                <w:szCs w:val="21"/>
                <w:highlight w:val="none"/>
              </w:rPr>
              <w:t>2</w:t>
            </w:r>
          </w:p>
        </w:tc>
        <w:tc>
          <w:tcPr>
            <w:tcW w:w="2010"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c>
          <w:tcPr>
            <w:tcW w:w="2355"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c>
          <w:tcPr>
            <w:tcW w:w="4277"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企业填报</w:t>
            </w:r>
          </w:p>
        </w:tc>
      </w:tr>
    </w:tbl>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附7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化妆品产品执行的标准</w:t>
      </w:r>
    </w:p>
    <w:p>
      <w:pPr>
        <w:adjustRightInd w:val="0"/>
        <w:snapToGrid w:val="0"/>
        <w:spacing w:line="560" w:lineRule="exact"/>
        <w:jc w:val="right"/>
        <w:rPr>
          <w:rFonts w:ascii="Times New Roman" w:hAnsi="Times New Roman" w:eastAsia="仿宋"/>
          <w:color w:val="000000"/>
          <w:szCs w:val="21"/>
          <w:highlight w:val="none"/>
        </w:rPr>
      </w:pPr>
      <w:r>
        <w:rPr>
          <w:rFonts w:ascii="Times New Roman" w:hAnsi="Times New Roman" w:eastAsia="仿宋"/>
          <w:color w:val="000000"/>
          <w:szCs w:val="21"/>
          <w:highlight w:val="none"/>
        </w:rPr>
        <w:t>（产品执行的标准编号**）</w:t>
      </w:r>
    </w:p>
    <w:p>
      <w:pPr>
        <w:adjustRightInd w:val="0"/>
        <w:snapToGrid w:val="0"/>
        <w:spacing w:line="560" w:lineRule="exact"/>
        <w:jc w:val="center"/>
        <w:rPr>
          <w:rFonts w:ascii="Times New Roman" w:hAnsi="Times New Roman" w:eastAsia="仿宋"/>
          <w:color w:val="000000"/>
          <w:szCs w:val="21"/>
          <w:highlight w:val="none"/>
        </w:rPr>
      </w:pPr>
      <w:r>
        <w:rPr>
          <w:rFonts w:ascii="Times New Roman" w:hAnsi="Times New Roman" w:eastAsia="仿宋"/>
          <w:color w:val="000000"/>
          <w:szCs w:val="21"/>
          <w:highlight w:val="none"/>
        </w:rPr>
        <w:t>中文名称</w:t>
      </w:r>
    </w:p>
    <w:p>
      <w:pPr>
        <w:adjustRightInd w:val="0"/>
        <w:snapToGrid w:val="0"/>
        <w:spacing w:line="560" w:lineRule="exact"/>
        <w:jc w:val="center"/>
        <w:rPr>
          <w:rFonts w:ascii="Times New Roman" w:hAnsi="Times New Roman" w:eastAsia="仿宋"/>
          <w:color w:val="000000"/>
          <w:szCs w:val="21"/>
          <w:highlight w:val="none"/>
        </w:rPr>
      </w:pPr>
      <w:r>
        <w:rPr>
          <w:rFonts w:ascii="Times New Roman" w:hAnsi="Times New Roman" w:eastAsia="仿宋"/>
          <w:color w:val="000000"/>
          <w:szCs w:val="21"/>
          <w:highlight w:val="none"/>
        </w:rPr>
        <w:t>外文名称</w:t>
      </w:r>
    </w:p>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【配方全成分】</w:t>
      </w:r>
    </w:p>
    <w:tbl>
      <w:tblPr>
        <w:tblStyle w:val="7"/>
        <w:tblW w:w="0" w:type="auto"/>
        <w:tblCellSpacing w:w="0" w:type="dxa"/>
        <w:tblInd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blCellSpacing w:w="0" w:type="dxa"/>
        </w:trPr>
        <w:tc>
          <w:tcPr>
            <w:tcW w:w="8640" w:type="dxa"/>
            <w:vAlign w:val="center"/>
          </w:tcPr>
          <w:tbl>
            <w:tblPr>
              <w:tblStyle w:val="7"/>
              <w:tblW w:w="0" w:type="auto"/>
              <w:tblCellSpacing w:w="0" w:type="dxa"/>
              <w:tblInd w:w="0" w:type="dxa"/>
              <w:tblLayout w:type="fixed"/>
              <w:tblCellMar>
                <w:top w:w="0" w:type="dxa"/>
                <w:left w:w="0" w:type="dxa"/>
                <w:bottom w:w="0" w:type="dxa"/>
                <w:right w:w="0" w:type="dxa"/>
              </w:tblCellMar>
            </w:tblPr>
            <w:tblGrid>
              <w:gridCol w:w="7719"/>
              <w:gridCol w:w="97"/>
              <w:gridCol w:w="98"/>
              <w:gridCol w:w="98"/>
              <w:gridCol w:w="98"/>
              <w:gridCol w:w="98"/>
            </w:tblGrid>
            <w:tr>
              <w:tblPrEx>
                <w:tblCellMar>
                  <w:top w:w="0" w:type="dxa"/>
                  <w:left w:w="0" w:type="dxa"/>
                  <w:bottom w:w="0" w:type="dxa"/>
                  <w:right w:w="0" w:type="dxa"/>
                </w:tblCellMar>
              </w:tblPrEx>
              <w:trPr>
                <w:trHeight w:val="450" w:hRule="atLeast"/>
                <w:tblCellSpacing w:w="0" w:type="dxa"/>
              </w:trPr>
              <w:tc>
                <w:tcPr>
                  <w:tcW w:w="8208" w:type="dxa"/>
                  <w:gridSpan w:val="6"/>
                  <w:shd w:val="clear" w:color="auto" w:fill="FFFFFF"/>
                  <w:vAlign w:val="center"/>
                </w:tcPr>
                <w:tbl>
                  <w:tblPr>
                    <w:tblStyle w:val="7"/>
                    <w:tblW w:w="0" w:type="auto"/>
                    <w:tblCellSpacing w:w="0" w:type="dxa"/>
                    <w:tblInd w:w="0" w:type="dxa"/>
                    <w:tblLayout w:type="fixed"/>
                    <w:tblCellMar>
                      <w:top w:w="0" w:type="dxa"/>
                      <w:left w:w="0" w:type="dxa"/>
                      <w:bottom w:w="0" w:type="dxa"/>
                      <w:right w:w="0" w:type="dxa"/>
                    </w:tblCellMar>
                  </w:tblPr>
                  <w:tblGrid>
                    <w:gridCol w:w="7782"/>
                    <w:gridCol w:w="21"/>
                    <w:gridCol w:w="21"/>
                    <w:gridCol w:w="21"/>
                    <w:gridCol w:w="20"/>
                    <w:gridCol w:w="30"/>
                  </w:tblGrid>
                  <w:tr>
                    <w:tblPrEx>
                      <w:tblCellMar>
                        <w:top w:w="0" w:type="dxa"/>
                        <w:left w:w="0" w:type="dxa"/>
                        <w:bottom w:w="0" w:type="dxa"/>
                        <w:right w:w="0" w:type="dxa"/>
                      </w:tblCellMar>
                    </w:tblPrEx>
                    <w:trPr>
                      <w:gridAfter w:val="1"/>
                      <w:wAfter w:w="19" w:type="pct"/>
                      <w:trHeight w:val="450" w:hRule="atLeast"/>
                      <w:tblCellSpacing w:w="0" w:type="dxa"/>
                    </w:trPr>
                    <w:tc>
                      <w:tcPr>
                        <w:tcW w:w="7865" w:type="dxa"/>
                        <w:gridSpan w:val="5"/>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表1</w:t>
                        </w:r>
                        <w:r>
                          <w:rPr>
                            <w:color w:val="000000"/>
                            <w:kern w:val="0"/>
                            <w:szCs w:val="21"/>
                            <w:highlight w:val="none"/>
                          </w:rPr>
                          <w:t>  </w:t>
                        </w:r>
                        <w:r>
                          <w:rPr>
                            <w:rFonts w:eastAsia="仿宋"/>
                            <w:color w:val="000000"/>
                            <w:kern w:val="0"/>
                            <w:szCs w:val="21"/>
                            <w:highlight w:val="none"/>
                          </w:rPr>
                          <w:t>产品配方原料和使用目的</w:t>
                        </w:r>
                      </w:p>
                    </w:tc>
                  </w:tr>
                  <w:tr>
                    <w:tblPrEx>
                      <w:tblCellMar>
                        <w:top w:w="0" w:type="dxa"/>
                        <w:left w:w="0" w:type="dxa"/>
                        <w:bottom w:w="0" w:type="dxa"/>
                        <w:right w:w="0" w:type="dxa"/>
                      </w:tblCellMar>
                    </w:tblPrEx>
                    <w:trPr>
                      <w:tblCellSpacing w:w="0" w:type="dxa"/>
                    </w:trPr>
                    <w:tc>
                      <w:tcPr>
                        <w:tcW w:w="7782" w:type="dxa"/>
                      </w:tcPr>
                      <w:tbl>
                        <w:tblPr>
                          <w:tblStyle w:val="7"/>
                          <w:tblW w:w="0" w:type="auto"/>
                          <w:jc w:val="center"/>
                          <w:tblCellSpacing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679"/>
                          <w:gridCol w:w="4640"/>
                          <w:gridCol w:w="228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8" w:hRule="atLeast"/>
                            <w:tblCellSpacing w:w="0" w:type="dxa"/>
                            <w:jc w:val="center"/>
                          </w:trPr>
                          <w:tc>
                            <w:tcPr>
                              <w:tcW w:w="679" w:type="dxa"/>
                              <w:tcBorders>
                                <w:top w:val="nil"/>
                                <w:left w:val="single" w:color="000000" w:sz="6" w:space="0"/>
                                <w:bottom w:val="single" w:color="000000" w:sz="6" w:space="0"/>
                                <w:right w:val="nil"/>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序号</w:t>
                              </w:r>
                            </w:p>
                          </w:tc>
                          <w:tc>
                            <w:tcPr>
                              <w:tcW w:w="4640" w:type="dxa"/>
                              <w:tcBorders>
                                <w:top w:val="nil"/>
                                <w:left w:val="single" w:color="000000" w:sz="6" w:space="0"/>
                                <w:bottom w:val="single" w:color="000000" w:sz="6" w:space="0"/>
                                <w:right w:val="nil"/>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原料中文名称</w:t>
                              </w:r>
                            </w:p>
                          </w:tc>
                          <w:tc>
                            <w:tcPr>
                              <w:tcW w:w="2280" w:type="dxa"/>
                              <w:tcBorders>
                                <w:top w:val="nil"/>
                                <w:left w:val="single" w:color="000000" w:sz="6" w:space="0"/>
                                <w:bottom w:val="single" w:color="000000" w:sz="6" w:space="0"/>
                                <w:right w:val="nil"/>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使用目的</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2" w:hRule="atLeast"/>
                            <w:tblCellSpacing w:w="0" w:type="dxa"/>
                            <w:jc w:val="center"/>
                          </w:trPr>
                          <w:tc>
                            <w:tcPr>
                              <w:tcW w:w="679" w:type="dxa"/>
                              <w:tcBorders>
                                <w:top w:val="nil"/>
                                <w:left w:val="single" w:color="000000" w:sz="6" w:space="0"/>
                                <w:bottom w:val="single" w:color="000000" w:sz="6" w:space="0"/>
                                <w:right w:val="nil"/>
                              </w:tcBorders>
                              <w:shd w:val="clear" w:color="auto" w:fill="FFFFFF"/>
                              <w:vAlign w:val="center"/>
                            </w:tcPr>
                            <w:p>
                              <w:pPr>
                                <w:widowControl/>
                                <w:wordWrap w:val="0"/>
                                <w:jc w:val="center"/>
                                <w:rPr>
                                  <w:rFonts w:eastAsia="仿宋"/>
                                  <w:color w:val="000000"/>
                                  <w:kern w:val="0"/>
                                  <w:szCs w:val="21"/>
                                  <w:highlight w:val="none"/>
                                </w:rPr>
                              </w:pPr>
                            </w:p>
                          </w:tc>
                          <w:tc>
                            <w:tcPr>
                              <w:tcW w:w="4640" w:type="dxa"/>
                              <w:tcBorders>
                                <w:top w:val="nil"/>
                                <w:left w:val="single" w:color="000000" w:sz="6" w:space="0"/>
                                <w:bottom w:val="single" w:color="000000" w:sz="6" w:space="0"/>
                                <w:right w:val="nil"/>
                              </w:tcBorders>
                              <w:shd w:val="clear" w:color="auto" w:fill="FFFFFF"/>
                              <w:vAlign w:val="center"/>
                            </w:tcPr>
                            <w:p>
                              <w:pPr>
                                <w:widowControl/>
                                <w:wordWrap w:val="0"/>
                                <w:jc w:val="center"/>
                                <w:rPr>
                                  <w:rFonts w:eastAsia="仿宋"/>
                                  <w:color w:val="000000"/>
                                  <w:kern w:val="0"/>
                                  <w:szCs w:val="21"/>
                                  <w:highlight w:val="none"/>
                                </w:rPr>
                              </w:pPr>
                            </w:p>
                          </w:tc>
                          <w:tc>
                            <w:tcPr>
                              <w:tcW w:w="2280" w:type="dxa"/>
                              <w:tcBorders>
                                <w:top w:val="nil"/>
                                <w:left w:val="single" w:color="000000" w:sz="6" w:space="0"/>
                                <w:bottom w:val="single" w:color="000000" w:sz="6" w:space="0"/>
                                <w:right w:val="nil"/>
                              </w:tcBorders>
                              <w:shd w:val="clear" w:color="auto" w:fill="FFFFFF"/>
                              <w:vAlign w:val="center"/>
                            </w:tcPr>
                            <w:p>
                              <w:pPr>
                                <w:widowControl/>
                                <w:wordWrap w:val="0"/>
                                <w:jc w:val="center"/>
                                <w:rPr>
                                  <w:rFonts w:eastAsia="仿宋"/>
                                  <w:color w:val="000000"/>
                                  <w:kern w:val="0"/>
                                  <w:szCs w:val="21"/>
                                  <w:highlight w:val="none"/>
                                </w:rPr>
                              </w:pPr>
                            </w:p>
                          </w:tc>
                        </w:tr>
                      </w:tbl>
                      <w:p>
                        <w:pPr>
                          <w:widowControl/>
                          <w:jc w:val="center"/>
                          <w:rPr>
                            <w:rFonts w:eastAsia="仿宋"/>
                            <w:color w:val="000000"/>
                            <w:kern w:val="0"/>
                            <w:szCs w:val="21"/>
                            <w:highlight w:val="none"/>
                          </w:rPr>
                        </w:pPr>
                      </w:p>
                    </w:tc>
                    <w:tc>
                      <w:tcPr>
                        <w:tcW w:w="21" w:type="dxa"/>
                        <w:vAlign w:val="center"/>
                      </w:tcPr>
                      <w:p>
                        <w:pPr>
                          <w:widowControl/>
                          <w:jc w:val="center"/>
                          <w:rPr>
                            <w:rFonts w:eastAsia="仿宋"/>
                            <w:color w:val="000000"/>
                            <w:kern w:val="0"/>
                            <w:szCs w:val="21"/>
                            <w:highlight w:val="none"/>
                          </w:rPr>
                        </w:pPr>
                      </w:p>
                    </w:tc>
                    <w:tc>
                      <w:tcPr>
                        <w:tcW w:w="21" w:type="dxa"/>
                        <w:vAlign w:val="center"/>
                      </w:tcPr>
                      <w:p>
                        <w:pPr>
                          <w:widowControl/>
                          <w:jc w:val="center"/>
                          <w:rPr>
                            <w:rFonts w:eastAsia="仿宋"/>
                            <w:color w:val="000000"/>
                            <w:kern w:val="0"/>
                            <w:szCs w:val="21"/>
                            <w:highlight w:val="none"/>
                          </w:rPr>
                        </w:pPr>
                      </w:p>
                    </w:tc>
                    <w:tc>
                      <w:tcPr>
                        <w:tcW w:w="21" w:type="dxa"/>
                        <w:vAlign w:val="center"/>
                      </w:tcPr>
                      <w:p>
                        <w:pPr>
                          <w:widowControl/>
                          <w:jc w:val="center"/>
                          <w:rPr>
                            <w:rFonts w:eastAsia="仿宋"/>
                            <w:color w:val="000000"/>
                            <w:kern w:val="0"/>
                            <w:szCs w:val="21"/>
                            <w:highlight w:val="none"/>
                          </w:rPr>
                        </w:pPr>
                      </w:p>
                    </w:tc>
                    <w:tc>
                      <w:tcPr>
                        <w:tcW w:w="20" w:type="dxa"/>
                        <w:vAlign w:val="center"/>
                      </w:tcPr>
                      <w:p>
                        <w:pPr>
                          <w:widowControl/>
                          <w:jc w:val="center"/>
                          <w:rPr>
                            <w:rFonts w:eastAsia="仿宋"/>
                            <w:color w:val="000000"/>
                            <w:kern w:val="0"/>
                            <w:szCs w:val="21"/>
                            <w:highlight w:val="none"/>
                          </w:rPr>
                        </w:pPr>
                      </w:p>
                    </w:tc>
                    <w:tc>
                      <w:tcPr>
                        <w:tcW w:w="30" w:type="dxa"/>
                        <w:vAlign w:val="center"/>
                      </w:tcPr>
                      <w:p>
                        <w:pPr>
                          <w:widowControl/>
                          <w:jc w:val="left"/>
                          <w:rPr>
                            <w:rFonts w:eastAsia="仿宋"/>
                            <w:color w:val="000000"/>
                            <w:kern w:val="0"/>
                            <w:szCs w:val="21"/>
                            <w:highlight w:val="none"/>
                          </w:rPr>
                        </w:pPr>
                      </w:p>
                    </w:tc>
                  </w:tr>
                </w:tbl>
                <w:p>
                  <w:pPr>
                    <w:widowControl/>
                    <w:jc w:val="center"/>
                    <w:rPr>
                      <w:rFonts w:eastAsia="仿宋"/>
                      <w:color w:val="000000"/>
                      <w:kern w:val="0"/>
                      <w:szCs w:val="21"/>
                      <w:highlight w:val="none"/>
                    </w:rPr>
                  </w:pPr>
                </w:p>
              </w:tc>
            </w:tr>
            <w:tr>
              <w:tblPrEx>
                <w:tblCellMar>
                  <w:top w:w="0" w:type="dxa"/>
                  <w:left w:w="0" w:type="dxa"/>
                  <w:bottom w:w="0" w:type="dxa"/>
                  <w:right w:w="0" w:type="dxa"/>
                </w:tblCellMar>
              </w:tblPrEx>
              <w:trPr>
                <w:tblCellSpacing w:w="0" w:type="dxa"/>
              </w:trPr>
              <w:tc>
                <w:tcPr>
                  <w:tcW w:w="7719" w:type="dxa"/>
                </w:tcPr>
                <w:p>
                  <w:pPr>
                    <w:widowControl/>
                    <w:jc w:val="left"/>
                    <w:rPr>
                      <w:rFonts w:eastAsia="仿宋"/>
                      <w:color w:val="000000"/>
                      <w:kern w:val="0"/>
                      <w:szCs w:val="21"/>
                      <w:highlight w:val="none"/>
                    </w:rPr>
                  </w:pPr>
                </w:p>
              </w:tc>
              <w:tc>
                <w:tcPr>
                  <w:tcW w:w="97"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r>
          </w:tbl>
          <w:p>
            <w:pPr>
              <w:widowControl/>
              <w:jc w:val="left"/>
              <w:rPr>
                <w:rFonts w:eastAsia="仿宋"/>
                <w:color w:val="000000"/>
                <w:kern w:val="0"/>
                <w:szCs w:val="21"/>
                <w:highlight w:val="none"/>
              </w:rPr>
            </w:pPr>
          </w:p>
        </w:tc>
      </w:tr>
    </w:tbl>
    <w:p>
      <w:pPr>
        <w:adjustRightInd w:val="0"/>
        <w:snapToGrid w:val="0"/>
        <w:spacing w:line="560" w:lineRule="exact"/>
        <w:jc w:val="left"/>
        <w:rPr>
          <w:rFonts w:hint="eastAsia" w:ascii="Times New Roman" w:hAnsi="Times New Roman" w:eastAsia="仿宋"/>
          <w:color w:val="000000"/>
          <w:szCs w:val="21"/>
          <w:highlight w:val="none"/>
          <w:lang w:eastAsia="zh-CN"/>
        </w:rPr>
      </w:pPr>
      <w:r>
        <w:rPr>
          <w:rFonts w:ascii="Times New Roman" w:hAnsi="Times New Roman" w:eastAsia="仿宋"/>
          <w:color w:val="000000"/>
          <w:szCs w:val="21"/>
          <w:highlight w:val="none"/>
        </w:rPr>
        <w:t>【生产工艺简述】</w:t>
      </w:r>
    </w:p>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【感官指标】</w:t>
      </w:r>
    </w:p>
    <w:tbl>
      <w:tblPr>
        <w:tblStyle w:val="7"/>
        <w:tblW w:w="0" w:type="auto"/>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p>
            <w:pPr>
              <w:widowControl/>
              <w:rPr>
                <w:rFonts w:eastAsia="仿宋"/>
                <w:color w:val="000000"/>
                <w:szCs w:val="21"/>
                <w:highlight w:val="none"/>
              </w:rPr>
            </w:pPr>
            <w:r>
              <w:rPr>
                <w:rFonts w:eastAsia="仿宋"/>
                <w:color w:val="000000"/>
                <w:szCs w:val="21"/>
                <w:highlight w:val="none"/>
              </w:rPr>
              <w:t>表2</w:t>
            </w:r>
            <w:r>
              <w:rPr>
                <w:color w:val="000000"/>
                <w:szCs w:val="21"/>
                <w:highlight w:val="none"/>
              </w:rPr>
              <w:t>  </w:t>
            </w:r>
            <w:r>
              <w:rPr>
                <w:rFonts w:eastAsia="仿宋"/>
                <w:color w:val="000000"/>
                <w:szCs w:val="21"/>
                <w:highlight w:val="none"/>
              </w:rPr>
              <w:t>感官指标</w:t>
            </w: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2606"/>
              <w:gridCol w:w="30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1"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项目</w:t>
                  </w:r>
                </w:p>
              </w:tc>
              <w:tc>
                <w:tcPr>
                  <w:tcW w:w="3010"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指标</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p>
              </w:tc>
              <w:tc>
                <w:tcPr>
                  <w:tcW w:w="3010"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p>
              </w:tc>
            </w:tr>
          </w:tbl>
          <w:p>
            <w:pPr>
              <w:widowControl/>
              <w:jc w:val="center"/>
              <w:rPr>
                <w:rFonts w:eastAsia="仿宋"/>
                <w:color w:val="000000"/>
                <w:kern w:val="0"/>
                <w:szCs w:val="21"/>
                <w:highlight w:val="none"/>
              </w:rPr>
            </w:pPr>
          </w:p>
        </w:tc>
      </w:tr>
    </w:tbl>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【微生物和理化指标及质量控制措施】</w:t>
      </w:r>
    </w:p>
    <w:tbl>
      <w:tblPr>
        <w:tblStyle w:val="7"/>
        <w:tblW w:w="0" w:type="auto"/>
        <w:jc w:val="center"/>
        <w:tblCellSpacing w:w="0" w:type="dxa"/>
        <w:tblLayout w:type="fixed"/>
        <w:tblCellMar>
          <w:top w:w="0" w:type="dxa"/>
          <w:left w:w="0" w:type="dxa"/>
          <w:bottom w:w="0" w:type="dxa"/>
          <w:right w:w="0" w:type="dxa"/>
        </w:tblCellMar>
      </w:tblPr>
      <w:tblGrid>
        <w:gridCol w:w="8630"/>
      </w:tblGrid>
      <w:tr>
        <w:tblPrEx>
          <w:tblCellMar>
            <w:top w:w="0" w:type="dxa"/>
            <w:left w:w="0" w:type="dxa"/>
            <w:bottom w:w="0" w:type="dxa"/>
            <w:right w:w="0" w:type="dxa"/>
          </w:tblCellMar>
        </w:tblPrEx>
        <w:trPr>
          <w:trHeight w:val="450" w:hRule="atLeast"/>
          <w:tblCellSpacing w:w="0" w:type="dxa"/>
          <w:jc w:val="center"/>
        </w:trPr>
        <w:tc>
          <w:tcPr>
            <w:tcW w:w="8630" w:type="dxa"/>
            <w:vAlign w:val="center"/>
          </w:tcPr>
          <w:p>
            <w:pPr>
              <w:widowControl/>
              <w:jc w:val="center"/>
              <w:rPr>
                <w:rFonts w:eastAsia="仿宋"/>
                <w:color w:val="000000"/>
                <w:szCs w:val="21"/>
                <w:highlight w:val="none"/>
              </w:rPr>
            </w:pPr>
            <w:r>
              <w:rPr>
                <w:rFonts w:eastAsia="仿宋"/>
                <w:color w:val="000000"/>
                <w:szCs w:val="21"/>
                <w:highlight w:val="none"/>
              </w:rPr>
              <w:t xml:space="preserve">表3 </w:t>
            </w:r>
            <w:r>
              <w:rPr>
                <w:color w:val="000000"/>
                <w:szCs w:val="21"/>
                <w:highlight w:val="none"/>
              </w:rPr>
              <w:t>  </w:t>
            </w:r>
            <w:r>
              <w:rPr>
                <w:rFonts w:eastAsia="仿宋"/>
                <w:color w:val="000000"/>
                <w:szCs w:val="21"/>
                <w:highlight w:val="none"/>
              </w:rPr>
              <w:t>微生物和理化指标及其质量控制措施</w:t>
            </w:r>
          </w:p>
        </w:tc>
      </w:tr>
      <w:tr>
        <w:tblPrEx>
          <w:tblCellMar>
            <w:top w:w="0" w:type="dxa"/>
            <w:left w:w="0" w:type="dxa"/>
            <w:bottom w:w="0" w:type="dxa"/>
            <w:right w:w="0" w:type="dxa"/>
          </w:tblCellMar>
        </w:tblPrEx>
        <w:trPr>
          <w:trHeight w:val="450" w:hRule="atLeast"/>
          <w:tblCellSpacing w:w="0" w:type="dxa"/>
          <w:jc w:val="center"/>
        </w:trPr>
        <w:tc>
          <w:tcPr>
            <w:tcW w:w="863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1147"/>
              <w:gridCol w:w="1275"/>
              <w:gridCol w:w="2552"/>
              <w:gridCol w:w="24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147"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项目</w:t>
                  </w:r>
                </w:p>
              </w:tc>
              <w:tc>
                <w:tcPr>
                  <w:tcW w:w="1275"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指标</w:t>
                  </w:r>
                </w:p>
              </w:tc>
              <w:tc>
                <w:tcPr>
                  <w:tcW w:w="2552" w:type="dxa"/>
                  <w:tcBorders>
                    <w:left w:val="single" w:color="000000" w:sz="6" w:space="0"/>
                    <w:bottom w:val="single" w:color="000000" w:sz="6" w:space="0"/>
                  </w:tcBorders>
                  <w:shd w:val="clear" w:color="auto" w:fill="FFFFFF"/>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质量管理措施</w:t>
                  </w:r>
                </w:p>
              </w:tc>
              <w:tc>
                <w:tcPr>
                  <w:tcW w:w="2410" w:type="dxa"/>
                  <w:tcBorders>
                    <w:left w:val="single" w:color="000000" w:sz="6" w:space="0"/>
                    <w:bottom w:val="single" w:color="000000" w:sz="6" w:space="0"/>
                  </w:tcBorders>
                  <w:shd w:val="clear" w:color="auto" w:fill="FFFFFF"/>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简要说明</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00" w:hRule="atLeast"/>
                <w:tblCellSpacing w:w="0" w:type="dxa"/>
              </w:trPr>
              <w:tc>
                <w:tcPr>
                  <w:tcW w:w="1147"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c>
                <w:tcPr>
                  <w:tcW w:w="1275"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c>
                <w:tcPr>
                  <w:tcW w:w="2552"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c>
                <w:tcPr>
                  <w:tcW w:w="2410"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r>
          </w:tbl>
          <w:p>
            <w:pPr>
              <w:widowControl/>
              <w:jc w:val="center"/>
              <w:rPr>
                <w:rFonts w:eastAsia="仿宋"/>
                <w:color w:val="000000"/>
                <w:szCs w:val="21"/>
                <w:highlight w:val="none"/>
              </w:rPr>
            </w:pPr>
          </w:p>
        </w:tc>
      </w:tr>
    </w:tbl>
    <w:p>
      <w:pPr>
        <w:spacing w:line="360" w:lineRule="exact"/>
        <w:rPr>
          <w:rFonts w:hint="eastAsia" w:ascii="Times New Roman" w:hAnsi="Times New Roman" w:eastAsia="仿宋"/>
          <w:color w:val="000000"/>
          <w:szCs w:val="21"/>
          <w:highlight w:val="none"/>
          <w:lang w:eastAsia="zh-CN"/>
        </w:rPr>
      </w:pPr>
      <w:r>
        <w:rPr>
          <w:rFonts w:ascii="Times New Roman" w:hAnsi="Times New Roman" w:eastAsia="仿宋"/>
          <w:color w:val="000000"/>
          <w:szCs w:val="21"/>
          <w:highlight w:val="none"/>
        </w:rPr>
        <w:t>【使用方法】安全警示用语</w:t>
      </w:r>
    </w:p>
    <w:p>
      <w:pPr>
        <w:spacing w:line="360" w:lineRule="exact"/>
        <w:rPr>
          <w:rFonts w:hint="eastAsia" w:ascii="Times New Roman" w:hAnsi="Times New Roman" w:eastAsia="仿宋"/>
          <w:color w:val="000000"/>
          <w:szCs w:val="21"/>
          <w:highlight w:val="none"/>
          <w:lang w:eastAsia="zh-CN"/>
        </w:rPr>
      </w:pPr>
      <w:r>
        <w:rPr>
          <w:rFonts w:ascii="Times New Roman" w:hAnsi="Times New Roman" w:eastAsia="仿宋"/>
          <w:color w:val="000000"/>
          <w:szCs w:val="21"/>
          <w:highlight w:val="none"/>
        </w:rPr>
        <w:t>【贮存条件】</w:t>
      </w:r>
    </w:p>
    <w:p>
      <w:pPr>
        <w:spacing w:line="360" w:lineRule="exact"/>
        <w:rPr>
          <w:rFonts w:ascii="Times New Roman" w:hAnsi="Times New Roman" w:eastAsia="仿宋_GB2312" w:cs="Times New Roman"/>
          <w:szCs w:val="21"/>
          <w:highlight w:val="none"/>
          <w:u w:val="single"/>
          <w:lang w:val="zh-TW"/>
        </w:rPr>
      </w:pPr>
      <w:r>
        <w:rPr>
          <w:rFonts w:ascii="Times New Roman" w:hAnsi="Times New Roman" w:eastAsia="仿宋"/>
          <w:color w:val="000000"/>
          <w:szCs w:val="21"/>
          <w:highlight w:val="none"/>
        </w:rPr>
        <w:t xml:space="preserve">【使用期限】    </w:t>
      </w:r>
    </w:p>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附8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化妆品产品执行的标准示例</w:t>
      </w:r>
    </w:p>
    <w:p>
      <w:pPr>
        <w:adjustRightInd w:val="0"/>
        <w:snapToGrid w:val="0"/>
        <w:spacing w:line="560" w:lineRule="exact"/>
        <w:jc w:val="right"/>
        <w:rPr>
          <w:rFonts w:ascii="Times New Roman" w:hAnsi="Times New Roman" w:eastAsia="仿宋" w:cs="Times New Roman"/>
          <w:color w:val="000000"/>
          <w:szCs w:val="21"/>
          <w:highlight w:val="none"/>
        </w:rPr>
      </w:pPr>
      <w:r>
        <w:rPr>
          <w:rFonts w:ascii="Times New Roman" w:hAnsi="Times New Roman" w:eastAsia="仿宋" w:cs="Times New Roman"/>
          <w:color w:val="000000"/>
          <w:szCs w:val="21"/>
          <w:highlight w:val="none"/>
        </w:rPr>
        <w:t>（产品执行的标准编号**）</w:t>
      </w:r>
    </w:p>
    <w:p>
      <w:pPr>
        <w:adjustRightInd w:val="0"/>
        <w:snapToGrid w:val="0"/>
        <w:spacing w:line="560" w:lineRule="exact"/>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中文名称（由系统自动导入）</w:t>
      </w:r>
    </w:p>
    <w:p>
      <w:pPr>
        <w:adjustRightInd w:val="0"/>
        <w:snapToGrid w:val="0"/>
        <w:spacing w:line="560" w:lineRule="exact"/>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外文名称（由系统自动导入）</w:t>
      </w:r>
    </w:p>
    <w:tbl>
      <w:tblPr>
        <w:tblStyle w:val="7"/>
        <w:tblW w:w="0" w:type="auto"/>
        <w:tblCellSpacing w:w="0" w:type="dxa"/>
        <w:tblInd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600" w:hRule="atLeast"/>
          <w:tblCellSpacing w:w="0" w:type="dxa"/>
        </w:trPr>
        <w:tc>
          <w:tcPr>
            <w:tcW w:w="8640" w:type="dxa"/>
            <w:vAlign w:val="center"/>
          </w:tcPr>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b/>
                <w:bCs/>
                <w:color w:val="000000"/>
                <w:szCs w:val="21"/>
                <w:highlight w:val="none"/>
              </w:rPr>
              <w:t>【配方全成分】</w:t>
            </w:r>
            <w:r>
              <w:rPr>
                <w:rFonts w:ascii="Times New Roman" w:hAnsi="Times New Roman" w:eastAsia="仿宋_GB2312" w:cs="Times New Roman"/>
                <w:color w:val="000000"/>
                <w:szCs w:val="21"/>
                <w:highlight w:val="none"/>
              </w:rPr>
              <w:t>（由系统自动导入，包括原料的序号、全部原料的中文名称和使用目的）</w:t>
            </w:r>
          </w:p>
        </w:tc>
      </w:tr>
      <w:tr>
        <w:tblPrEx>
          <w:tblCellMar>
            <w:top w:w="0" w:type="dxa"/>
            <w:left w:w="0" w:type="dxa"/>
            <w:bottom w:w="0" w:type="dxa"/>
            <w:right w:w="0" w:type="dxa"/>
          </w:tblCellMar>
        </w:tblPrEx>
        <w:trPr>
          <w:tblCellSpacing w:w="0" w:type="dxa"/>
        </w:trPr>
        <w:tc>
          <w:tcPr>
            <w:tcW w:w="8640" w:type="dxa"/>
            <w:vAlign w:val="center"/>
          </w:tcPr>
          <w:tbl>
            <w:tblPr>
              <w:tblStyle w:val="7"/>
              <w:tblW w:w="0" w:type="auto"/>
              <w:tblCellSpacing w:w="0" w:type="dxa"/>
              <w:tblInd w:w="0" w:type="dxa"/>
              <w:tblLayout w:type="fixed"/>
              <w:tblCellMar>
                <w:top w:w="0" w:type="dxa"/>
                <w:left w:w="0" w:type="dxa"/>
                <w:bottom w:w="0" w:type="dxa"/>
                <w:right w:w="0" w:type="dxa"/>
              </w:tblCellMar>
            </w:tblPr>
            <w:tblGrid>
              <w:gridCol w:w="7719"/>
              <w:gridCol w:w="97"/>
              <w:gridCol w:w="98"/>
              <w:gridCol w:w="98"/>
              <w:gridCol w:w="98"/>
              <w:gridCol w:w="98"/>
            </w:tblGrid>
            <w:tr>
              <w:tblPrEx>
                <w:tblCellMar>
                  <w:top w:w="0" w:type="dxa"/>
                  <w:left w:w="0" w:type="dxa"/>
                  <w:bottom w:w="0" w:type="dxa"/>
                  <w:right w:w="0" w:type="dxa"/>
                </w:tblCellMar>
              </w:tblPrEx>
              <w:trPr>
                <w:trHeight w:val="450" w:hRule="atLeast"/>
                <w:tblCellSpacing w:w="0" w:type="dxa"/>
              </w:trPr>
              <w:tc>
                <w:tcPr>
                  <w:tcW w:w="8208" w:type="dxa"/>
                  <w:gridSpan w:val="6"/>
                  <w:shd w:val="clear" w:color="auto" w:fill="FFFFFF"/>
                  <w:vAlign w:val="center"/>
                </w:tcPr>
                <w:tbl>
                  <w:tblPr>
                    <w:tblStyle w:val="7"/>
                    <w:tblW w:w="0" w:type="auto"/>
                    <w:tblCellSpacing w:w="0" w:type="dxa"/>
                    <w:tblInd w:w="0" w:type="dxa"/>
                    <w:tblLayout w:type="fixed"/>
                    <w:tblCellMar>
                      <w:top w:w="0" w:type="dxa"/>
                      <w:left w:w="0" w:type="dxa"/>
                      <w:bottom w:w="0" w:type="dxa"/>
                      <w:right w:w="0" w:type="dxa"/>
                    </w:tblCellMar>
                  </w:tblPr>
                  <w:tblGrid>
                    <w:gridCol w:w="7782"/>
                    <w:gridCol w:w="21"/>
                    <w:gridCol w:w="21"/>
                    <w:gridCol w:w="21"/>
                    <w:gridCol w:w="20"/>
                    <w:gridCol w:w="30"/>
                  </w:tblGrid>
                  <w:tr>
                    <w:tblPrEx>
                      <w:tblCellMar>
                        <w:top w:w="0" w:type="dxa"/>
                        <w:left w:w="0" w:type="dxa"/>
                        <w:bottom w:w="0" w:type="dxa"/>
                        <w:right w:w="0" w:type="dxa"/>
                      </w:tblCellMar>
                    </w:tblPrEx>
                    <w:trPr>
                      <w:gridAfter w:val="1"/>
                      <w:wAfter w:w="19" w:type="pct"/>
                      <w:trHeight w:val="450" w:hRule="atLeast"/>
                      <w:tblCellSpacing w:w="0" w:type="dxa"/>
                    </w:trPr>
                    <w:tc>
                      <w:tcPr>
                        <w:tcW w:w="7865" w:type="dxa"/>
                        <w:gridSpan w:val="5"/>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表1  产品配方原料和使用目的</w:t>
                        </w:r>
                      </w:p>
                    </w:tc>
                  </w:tr>
                  <w:tr>
                    <w:tblPrEx>
                      <w:tblCellMar>
                        <w:top w:w="0" w:type="dxa"/>
                        <w:left w:w="0" w:type="dxa"/>
                        <w:bottom w:w="0" w:type="dxa"/>
                        <w:right w:w="0" w:type="dxa"/>
                      </w:tblCellMar>
                    </w:tblPrEx>
                    <w:trPr>
                      <w:tblCellSpacing w:w="0" w:type="dxa"/>
                    </w:trPr>
                    <w:tc>
                      <w:tcPr>
                        <w:tcW w:w="7782" w:type="dxa"/>
                      </w:tcPr>
                      <w:tbl>
                        <w:tblPr>
                          <w:tblStyle w:val="7"/>
                          <w:tblW w:w="0" w:type="auto"/>
                          <w:jc w:val="center"/>
                          <w:tblCellSpacing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654"/>
                          <w:gridCol w:w="4470"/>
                          <w:gridCol w:w="2196"/>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序号</w:t>
                              </w:r>
                            </w:p>
                          </w:tc>
                          <w:tc>
                            <w:tcPr>
                              <w:tcW w:w="4470" w:type="dxa"/>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原料中文名称</w:t>
                              </w:r>
                            </w:p>
                          </w:tc>
                          <w:tc>
                            <w:tcPr>
                              <w:tcW w:w="2196" w:type="dxa"/>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使用目的</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vMerge w:val="restart"/>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vMerge w:val="restart"/>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c>
                            <w:tcPr>
                              <w:tcW w:w="4470" w:type="dxa"/>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c>
                            <w:tcPr>
                              <w:tcW w:w="4470" w:type="dxa"/>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bl>
                      <w:p>
                        <w:pPr>
                          <w:widowControl/>
                          <w:jc w:val="center"/>
                          <w:rPr>
                            <w:rFonts w:ascii="Times New Roman" w:hAnsi="Times New Roman" w:eastAsia="仿宋_GB2312" w:cs="Times New Roman"/>
                            <w:color w:val="000000"/>
                            <w:kern w:val="0"/>
                            <w:szCs w:val="21"/>
                            <w:highlight w:val="none"/>
                          </w:rPr>
                        </w:pPr>
                      </w:p>
                    </w:tc>
                    <w:tc>
                      <w:tcPr>
                        <w:tcW w:w="21" w:type="dxa"/>
                        <w:vAlign w:val="center"/>
                      </w:tcPr>
                      <w:p>
                        <w:pPr>
                          <w:widowControl/>
                          <w:jc w:val="center"/>
                          <w:rPr>
                            <w:rFonts w:ascii="Times New Roman" w:hAnsi="Times New Roman" w:eastAsia="仿宋_GB2312" w:cs="Times New Roman"/>
                            <w:color w:val="000000"/>
                            <w:kern w:val="0"/>
                            <w:szCs w:val="21"/>
                            <w:highlight w:val="none"/>
                          </w:rPr>
                        </w:pPr>
                      </w:p>
                    </w:tc>
                    <w:tc>
                      <w:tcPr>
                        <w:tcW w:w="21" w:type="dxa"/>
                        <w:vAlign w:val="center"/>
                      </w:tcPr>
                      <w:p>
                        <w:pPr>
                          <w:widowControl/>
                          <w:jc w:val="center"/>
                          <w:rPr>
                            <w:rFonts w:ascii="Times New Roman" w:hAnsi="Times New Roman" w:eastAsia="仿宋_GB2312" w:cs="Times New Roman"/>
                            <w:color w:val="000000"/>
                            <w:kern w:val="0"/>
                            <w:szCs w:val="21"/>
                            <w:highlight w:val="none"/>
                          </w:rPr>
                        </w:pPr>
                      </w:p>
                    </w:tc>
                    <w:tc>
                      <w:tcPr>
                        <w:tcW w:w="21" w:type="dxa"/>
                        <w:vAlign w:val="center"/>
                      </w:tcPr>
                      <w:p>
                        <w:pPr>
                          <w:widowControl/>
                          <w:jc w:val="center"/>
                          <w:rPr>
                            <w:rFonts w:ascii="Times New Roman" w:hAnsi="Times New Roman" w:eastAsia="仿宋_GB2312" w:cs="Times New Roman"/>
                            <w:color w:val="000000"/>
                            <w:kern w:val="0"/>
                            <w:szCs w:val="21"/>
                            <w:highlight w:val="none"/>
                          </w:rPr>
                        </w:pPr>
                      </w:p>
                    </w:tc>
                    <w:tc>
                      <w:tcPr>
                        <w:tcW w:w="20" w:type="dxa"/>
                        <w:vAlign w:val="center"/>
                      </w:tcPr>
                      <w:p>
                        <w:pPr>
                          <w:widowControl/>
                          <w:jc w:val="center"/>
                          <w:rPr>
                            <w:rFonts w:ascii="Times New Roman" w:hAnsi="Times New Roman" w:eastAsia="仿宋_GB2312" w:cs="Times New Roman"/>
                            <w:color w:val="000000"/>
                            <w:kern w:val="0"/>
                            <w:szCs w:val="21"/>
                            <w:highlight w:val="none"/>
                          </w:rPr>
                        </w:pPr>
                      </w:p>
                    </w:tc>
                    <w:tc>
                      <w:tcPr>
                        <w:tcW w:w="30" w:type="dxa"/>
                        <w:vAlign w:val="center"/>
                      </w:tcPr>
                      <w:p>
                        <w:pPr>
                          <w:widowControl/>
                          <w:jc w:val="left"/>
                          <w:rPr>
                            <w:rFonts w:ascii="Times New Roman" w:hAnsi="Times New Roman" w:eastAsia="仿宋_GB2312" w:cs="Times New Roman"/>
                            <w:color w:val="000000"/>
                            <w:kern w:val="0"/>
                            <w:szCs w:val="21"/>
                            <w:highlight w:val="none"/>
                          </w:rPr>
                        </w:pPr>
                      </w:p>
                    </w:tc>
                  </w:tr>
                </w:tbl>
                <w:p>
                  <w:pPr>
                    <w:widowControl/>
                    <w:jc w:val="center"/>
                    <w:rPr>
                      <w:rFonts w:ascii="Times New Roman" w:hAnsi="Times New Roman" w:eastAsia="仿宋_GB2312" w:cs="Times New Roman"/>
                      <w:color w:val="000000"/>
                      <w:kern w:val="0"/>
                      <w:szCs w:val="21"/>
                      <w:highlight w:val="none"/>
                    </w:rPr>
                  </w:pPr>
                </w:p>
              </w:tc>
            </w:tr>
            <w:tr>
              <w:tblPrEx>
                <w:tblCellMar>
                  <w:top w:w="0" w:type="dxa"/>
                  <w:left w:w="0" w:type="dxa"/>
                  <w:bottom w:w="0" w:type="dxa"/>
                  <w:right w:w="0" w:type="dxa"/>
                </w:tblCellMar>
              </w:tblPrEx>
              <w:trPr>
                <w:tblCellSpacing w:w="0" w:type="dxa"/>
              </w:trPr>
              <w:tc>
                <w:tcPr>
                  <w:tcW w:w="7719" w:type="dxa"/>
                </w:tcPr>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w:t>
                  </w:r>
                </w:p>
              </w:tc>
              <w:tc>
                <w:tcPr>
                  <w:tcW w:w="97"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r>
          </w:tbl>
          <w:p>
            <w:pPr>
              <w:widowControl/>
              <w:jc w:val="left"/>
              <w:rPr>
                <w:rFonts w:ascii="Times New Roman" w:hAnsi="Times New Roman" w:eastAsia="仿宋_GB2312" w:cs="Times New Roman"/>
                <w:color w:val="000000"/>
                <w:kern w:val="0"/>
                <w:szCs w:val="21"/>
                <w:highlight w:val="none"/>
              </w:rPr>
            </w:pPr>
          </w:p>
        </w:tc>
      </w:tr>
    </w:tbl>
    <w:p>
      <w:pPr>
        <w:adjustRightInd w:val="0"/>
        <w:snapToGrid w:val="0"/>
        <w:spacing w:line="40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r>
        <w:rPr>
          <w:rFonts w:ascii="Times New Roman" w:hAnsi="Times New Roman" w:eastAsia="仿宋_GB2312" w:cs="Times New Roman"/>
          <w:b/>
          <w:bCs/>
          <w:color w:val="000000"/>
          <w:szCs w:val="21"/>
          <w:highlight w:val="none"/>
        </w:rPr>
        <w:t>生产工艺简述</w:t>
      </w:r>
      <w:r>
        <w:rPr>
          <w:rFonts w:ascii="Times New Roman" w:hAnsi="Times New Roman" w:eastAsia="仿宋_GB2312" w:cs="Times New Roman"/>
          <w:color w:val="000000"/>
          <w:szCs w:val="21"/>
          <w:highlight w:val="none"/>
        </w:rPr>
        <w:t>】应简要描述产品实际生产制作过程，包括投料、混合、灌装等主要步骤，应当提交的工艺参数主要指温度，温度范围的设定应当主要考虑对产品质量、安全性的影响，其次还考虑不同生产规模、不同生产设备时所需要的温度。</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涉及分段生产的示例如下：</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1、将A相原料加入水相锅内，加热（70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-80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），充分混合均匀，搅拌，投入主锅中。</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2、将B相原料搅拌完全分散好后加入主锅中。</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3、将C相搅拌完全分散好后加入主锅中。</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4、搅拌完全分散。</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5、搅拌冷却（40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-50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）,将D相中的原料加入主锅内，搅拌，冷却至室温，脱泡过滤，出料（</w:t>
      </w:r>
      <w:r>
        <w:rPr>
          <w:rFonts w:ascii="Times New Roman" w:hAnsi="Times New Roman" w:eastAsia="仿宋_GB2312" w:cs="Times New Roman"/>
          <w:b/>
          <w:color w:val="000000"/>
          <w:szCs w:val="21"/>
          <w:highlight w:val="none"/>
        </w:rPr>
        <w:t>半成品</w:t>
      </w:r>
      <w:r>
        <w:rPr>
          <w:rFonts w:ascii="Times New Roman" w:hAnsi="Times New Roman" w:eastAsia="仿宋_GB2312" w:cs="Times New Roman"/>
          <w:color w:val="000000"/>
          <w:szCs w:val="21"/>
          <w:highlight w:val="none"/>
        </w:rPr>
        <w:t>）。取样检测、料体转移。</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6、灌装（</w:t>
      </w:r>
      <w:r>
        <w:rPr>
          <w:rFonts w:ascii="Times New Roman" w:hAnsi="Times New Roman" w:eastAsia="仿宋_GB2312" w:cs="Times New Roman"/>
          <w:b/>
          <w:color w:val="000000"/>
          <w:szCs w:val="21"/>
          <w:highlight w:val="none"/>
        </w:rPr>
        <w:t>成品</w:t>
      </w:r>
      <w:r>
        <w:rPr>
          <w:rFonts w:ascii="Times New Roman" w:hAnsi="Times New Roman" w:eastAsia="仿宋_GB2312" w:cs="Times New Roman"/>
          <w:color w:val="000000"/>
          <w:szCs w:val="21"/>
          <w:highlight w:val="none"/>
        </w:rPr>
        <w:t>）</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A相原料：部分1、4、5、8、9、10、15</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B相原料：部分1、7、16</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C相原料：2、3、6、11、12、13、14</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E相原料：17</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步骤1-5所得的</w:t>
      </w:r>
      <w:r>
        <w:rPr>
          <w:rFonts w:ascii="Times New Roman" w:hAnsi="Times New Roman" w:eastAsia="仿宋_GB2312" w:cs="Times New Roman"/>
          <w:b/>
          <w:color w:val="000000"/>
          <w:szCs w:val="21"/>
          <w:highlight w:val="none"/>
        </w:rPr>
        <w:t>半成品</w:t>
      </w:r>
      <w:r>
        <w:rPr>
          <w:rFonts w:ascii="Times New Roman" w:hAnsi="Times New Roman" w:eastAsia="仿宋_GB2312" w:cs="Times New Roman"/>
          <w:color w:val="000000"/>
          <w:szCs w:val="21"/>
          <w:highlight w:val="none"/>
        </w:rPr>
        <w:t>，在生产企业1：××国××区××路××号制成或者生产企业2：××国××区××路××号制成。</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步骤6所得的成品，在生产企业3：中国××省××路××号制成。</w:t>
      </w:r>
    </w:p>
    <w:p>
      <w:pPr>
        <w:widowControl/>
        <w:spacing w:line="560" w:lineRule="exact"/>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w:t>
      </w:r>
      <w:r>
        <w:rPr>
          <w:rFonts w:ascii="Times New Roman" w:hAnsi="Times New Roman" w:eastAsia="仿宋_GB2312" w:cs="Times New Roman"/>
          <w:color w:val="000000"/>
          <w:szCs w:val="21"/>
          <w:highlight w:val="none"/>
        </w:rPr>
        <w:t>同一生产企业如有多个生产地址，可同时列出</w:t>
      </w:r>
      <w:r>
        <w:rPr>
          <w:rFonts w:hint="eastAsia" w:ascii="Times New Roman" w:hAnsi="Times New Roman" w:eastAsia="仿宋_GB2312" w:cs="Times New Roman"/>
          <w:color w:val="000000"/>
          <w:szCs w:val="21"/>
          <w:highlight w:val="none"/>
        </w:rPr>
        <w:t>）</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【感官指标】</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颜色：例如浅粉色；</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性状：例如膏；</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气</w:t>
      </w:r>
      <w:r>
        <w:rPr>
          <w:rFonts w:ascii="Times New Roman" w:hAnsi="Times New Roman" w:eastAsia="仿宋_GB2312" w:cs="Times New Roman"/>
          <w:color w:val="000000"/>
          <w:spacing w:val="-6"/>
          <w:szCs w:val="21"/>
          <w:highlight w:val="none"/>
        </w:rPr>
        <w:t>味：请按产品实际情况填写：有香味、有原料特征性气味、无味；</w:t>
      </w:r>
    </w:p>
    <w:tbl>
      <w:tblPr>
        <w:tblStyle w:val="7"/>
        <w:tblW w:w="0" w:type="auto"/>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p>
            <w:pPr>
              <w:widowControl/>
              <w:rPr>
                <w:rFonts w:ascii="Times New Roman" w:hAnsi="Times New Roman" w:eastAsia="仿宋" w:cs="Times New Roman"/>
                <w:color w:val="000000"/>
                <w:szCs w:val="21"/>
                <w:highlight w:val="none"/>
              </w:rPr>
            </w:pPr>
            <w:r>
              <w:rPr>
                <w:rFonts w:ascii="Times New Roman" w:hAnsi="Times New Roman" w:eastAsia="仿宋" w:cs="Times New Roman"/>
                <w:color w:val="000000"/>
                <w:szCs w:val="21"/>
                <w:highlight w:val="none"/>
              </w:rPr>
              <w:t>表2</w:t>
            </w:r>
            <w:r>
              <w:rPr>
                <w:rFonts w:ascii="Times New Roman" w:hAnsi="Times New Roman" w:eastAsia="宋体" w:cs="Times New Roman"/>
                <w:color w:val="000000"/>
                <w:szCs w:val="21"/>
                <w:highlight w:val="none"/>
              </w:rPr>
              <w:t>  </w:t>
            </w:r>
            <w:r>
              <w:rPr>
                <w:rFonts w:ascii="Times New Roman" w:hAnsi="Times New Roman" w:eastAsia="仿宋" w:cs="Times New Roman"/>
                <w:color w:val="000000"/>
                <w:szCs w:val="21"/>
                <w:highlight w:val="none"/>
              </w:rPr>
              <w:t>感官指标</w:t>
            </w: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2606"/>
              <w:gridCol w:w="30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检验项目</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指标</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颜色</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性状</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气味</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有香味</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r>
          </w:tbl>
          <w:p>
            <w:pPr>
              <w:widowControl/>
              <w:jc w:val="center"/>
              <w:rPr>
                <w:rFonts w:ascii="Times New Roman" w:hAnsi="Times New Roman" w:eastAsia="仿宋" w:cs="Times New Roman"/>
                <w:color w:val="000000"/>
                <w:kern w:val="0"/>
                <w:szCs w:val="21"/>
                <w:highlight w:val="none"/>
              </w:rPr>
            </w:pPr>
          </w:p>
        </w:tc>
      </w:tr>
    </w:tbl>
    <w:p>
      <w:pPr>
        <w:widowControl/>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r>
        <w:rPr>
          <w:rFonts w:ascii="Times New Roman" w:hAnsi="Times New Roman" w:eastAsia="仿宋_GB2312" w:cs="Times New Roman"/>
          <w:b/>
          <w:bCs/>
          <w:color w:val="000000"/>
          <w:szCs w:val="21"/>
          <w:highlight w:val="none"/>
        </w:rPr>
        <w:t>微生物和理化指标及质量控制措施</w:t>
      </w:r>
      <w:r>
        <w:rPr>
          <w:rFonts w:ascii="Times New Roman" w:hAnsi="Times New Roman" w:eastAsia="仿宋_GB2312" w:cs="Times New Roman"/>
          <w:color w:val="000000"/>
          <w:szCs w:val="21"/>
          <w:highlight w:val="none"/>
        </w:rPr>
        <w:t>】</w:t>
      </w:r>
    </w:p>
    <w:tbl>
      <w:tblPr>
        <w:tblStyle w:val="7"/>
        <w:tblW w:w="0" w:type="auto"/>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7"/>
              <w:tblW w:w="0" w:type="auto"/>
              <w:jc w:val="center"/>
              <w:tblCellSpacing w:w="0" w:type="dxa"/>
              <w:tblLayout w:type="fixed"/>
              <w:tblCellMar>
                <w:top w:w="0" w:type="dxa"/>
                <w:left w:w="0" w:type="dxa"/>
                <w:bottom w:w="0" w:type="dxa"/>
                <w:right w:w="0" w:type="dxa"/>
              </w:tblCellMar>
            </w:tblPr>
            <w:tblGrid>
              <w:gridCol w:w="8630"/>
            </w:tblGrid>
            <w:tr>
              <w:tblPrEx>
                <w:tblCellMar>
                  <w:top w:w="0" w:type="dxa"/>
                  <w:left w:w="0" w:type="dxa"/>
                  <w:bottom w:w="0" w:type="dxa"/>
                  <w:right w:w="0" w:type="dxa"/>
                </w:tblCellMar>
              </w:tblPrEx>
              <w:trPr>
                <w:trHeight w:val="450" w:hRule="atLeast"/>
                <w:tblCellSpacing w:w="0" w:type="dxa"/>
                <w:jc w:val="center"/>
              </w:trPr>
              <w:tc>
                <w:tcPr>
                  <w:tcW w:w="8630" w:type="dxa"/>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表3   微生物和理化指标及其质量控制措施</w:t>
                  </w:r>
                </w:p>
              </w:tc>
            </w:tr>
            <w:tr>
              <w:tblPrEx>
                <w:tblCellMar>
                  <w:top w:w="0" w:type="dxa"/>
                  <w:left w:w="0" w:type="dxa"/>
                  <w:bottom w:w="0" w:type="dxa"/>
                  <w:right w:w="0" w:type="dxa"/>
                </w:tblCellMar>
              </w:tblPrEx>
              <w:trPr>
                <w:trHeight w:val="450" w:hRule="atLeast"/>
                <w:tblCellSpacing w:w="0" w:type="dxa"/>
                <w:jc w:val="center"/>
              </w:trPr>
              <w:tc>
                <w:tcPr>
                  <w:tcW w:w="863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1547"/>
                    <w:gridCol w:w="1985"/>
                    <w:gridCol w:w="2267"/>
                    <w:gridCol w:w="2815"/>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8" w:hRule="atLeast"/>
                      <w:tblCellSpacing w:w="0" w:type="dxa"/>
                    </w:trPr>
                    <w:tc>
                      <w:tcPr>
                        <w:tcW w:w="154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项目</w:t>
                        </w:r>
                      </w:p>
                    </w:tc>
                    <w:tc>
                      <w:tcPr>
                        <w:tcW w:w="198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指标</w:t>
                        </w:r>
                      </w:p>
                    </w:tc>
                    <w:tc>
                      <w:tcPr>
                        <w:tcW w:w="226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质量管理措施*</w:t>
                        </w:r>
                      </w:p>
                    </w:tc>
                    <w:tc>
                      <w:tcPr>
                        <w:tcW w:w="281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简要说明**</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菌落总数</w:t>
                        </w:r>
                      </w:p>
                    </w:tc>
                    <w:tc>
                      <w:tcPr>
                        <w:tcW w:w="198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≤1000 CFU/g</w:t>
                        </w:r>
                      </w:p>
                    </w:tc>
                    <w:tc>
                      <w:tcPr>
                        <w:tcW w:w="226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产品逐批检验</w:t>
                        </w:r>
                      </w:p>
                    </w:tc>
                    <w:tc>
                      <w:tcPr>
                        <w:tcW w:w="281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按《化妆品安全技术规范》（2015年版）“微生物检验方法”进行检验</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耐热大肠菌群</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不得检出/g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生产工艺流程管控和全项检验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按革兰氏阴性菌定性检测方法进行检验</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铅（以铅计）</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≤10mg/kg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原料相关指标控制以及全项检验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砷（以砷计）</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≤2mg/kg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原料相关指标控制和全项检验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镉</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≤1mg/kg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原料相关指标控制和全项检验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bl>
                <w:p>
                  <w:pPr>
                    <w:widowControl/>
                    <w:jc w:val="center"/>
                    <w:rPr>
                      <w:rFonts w:ascii="Times New Roman" w:hAnsi="Times New Roman" w:eastAsia="仿宋_GB2312" w:cs="Times New Roman"/>
                      <w:color w:val="000000"/>
                      <w:szCs w:val="21"/>
                      <w:highlight w:val="none"/>
                    </w:rPr>
                  </w:pPr>
                </w:p>
              </w:tc>
            </w:tr>
          </w:tbl>
          <w:p>
            <w:pPr>
              <w:widowControl/>
              <w:jc w:val="center"/>
              <w:rPr>
                <w:rFonts w:ascii="Times New Roman" w:hAnsi="Times New Roman" w:eastAsia="仿宋_GB2312" w:cs="Times New Roman"/>
                <w:color w:val="000000"/>
                <w:kern w:val="0"/>
                <w:szCs w:val="21"/>
                <w:highlight w:val="none"/>
              </w:rPr>
            </w:pP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p>
            <w:pPr>
              <w:widowControl/>
              <w:jc w:val="left"/>
              <w:rPr>
                <w:rFonts w:ascii="Times New Roman" w:hAnsi="Times New Roman" w:eastAsia="仿宋_GB2312" w:cs="Times New Roman"/>
                <w:color w:val="000000"/>
                <w:kern w:val="0"/>
                <w:szCs w:val="21"/>
                <w:highlight w:val="none"/>
              </w:rPr>
            </w:pPr>
          </w:p>
        </w:tc>
      </w:tr>
    </w:tbl>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b/>
          <w:bCs/>
          <w:color w:val="000000"/>
          <w:kern w:val="0"/>
          <w:szCs w:val="21"/>
          <w:highlight w:val="none"/>
        </w:rPr>
        <w:t>备注：</w:t>
      </w:r>
      <w:r>
        <w:rPr>
          <w:rFonts w:ascii="Times New Roman" w:hAnsi="Times New Roman" w:eastAsia="仿宋_GB2312" w:cs="Times New Roman"/>
          <w:color w:val="000000"/>
          <w:kern w:val="0"/>
          <w:szCs w:val="21"/>
          <w:highlight w:val="none"/>
        </w:rPr>
        <w:t>质量管理措施* （1）注册人、备案人应根据产品实际控制的需要，每个指标选择1项以上（含1项）的质量管理措施，以确保最终产品符合《化妆品安全技术规范》以及产品执行的标准要求。</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（2）可接受的质量管理措施包括但不限于：产品逐批检验、</w:t>
      </w:r>
      <w:r>
        <w:rPr>
          <w:rFonts w:hint="eastAsia" w:ascii="Times New Roman" w:hAnsi="Times New Roman" w:eastAsia="仿宋_GB2312" w:cs="Times New Roman"/>
          <w:color w:val="000000"/>
          <w:kern w:val="0"/>
          <w:szCs w:val="21"/>
          <w:highlight w:val="none"/>
        </w:rPr>
        <w:t>全项</w:t>
      </w:r>
      <w:r>
        <w:rPr>
          <w:rFonts w:ascii="Times New Roman" w:hAnsi="Times New Roman" w:eastAsia="仿宋_GB2312" w:cs="Times New Roman"/>
          <w:color w:val="000000"/>
          <w:kern w:val="0"/>
          <w:szCs w:val="21"/>
          <w:highlight w:val="none"/>
        </w:rPr>
        <w:t>检验、原料相关指标控制、生产工艺流程管控等等。</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 xml:space="preserve">简要说明** </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示例（1）生产工艺流程管控和全项检验：该产品生产过程厂房空气净化级别达到****，并按照全项检验要求开展必要的检验；所用的“革兰氏阴性菌定性检测”方法，为我司自行开发方法，对标ISO***，并与《化妆品安全技术规范》 “微生物检验方法”中耐热大肠菌群和铜绿假单胞菌检验方法进行对比验证。本方法为定性检测是否含有革兰氏阴性菌、耐热大肠菌群和铜绿假单胞菌属革兰氏阴性菌，检验结果能符合《化妆品安全技术规范》耐热大肠菌群和铜绿假单胞菌指标要求，已进行多批次的试验数据结果对比。</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示例（2）原料相关指标控制和全项检验：要求原料供应商对所有有可能带入重金属的原料的总金属指标出具分析报告书（CoA），说明残留量。附以必要的原料和产品的全项检验，所用的“总重金属检测”方法，为自行开发方法，已与《化妆品安全技术规范》中汞、铅、砷、镉检验方法进行验证，将产品中总重金属以铅记，检测总含量，规定总重金属残留量不超过1mg/kg，以保证符合《化妆品安全技术规范》所有重金属指标的相关要求。</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【使用方法】</w:t>
      </w:r>
    </w:p>
    <w:p>
      <w:pPr>
        <w:adjustRightInd w:val="0"/>
        <w:snapToGrid w:val="0"/>
        <w:spacing w:line="560" w:lineRule="exact"/>
        <w:jc w:val="left"/>
        <w:rPr>
          <w:rFonts w:hint="eastAsia" w:ascii="Times New Roman" w:hAnsi="Times New Roman" w:eastAsia="仿宋_GB2312" w:cs="Times New Roman"/>
          <w:b/>
          <w:bCs/>
          <w:color w:val="000000"/>
          <w:szCs w:val="21"/>
          <w:highlight w:val="none"/>
          <w:lang w:eastAsia="zh-CN"/>
        </w:rPr>
      </w:pPr>
      <w:r>
        <w:rPr>
          <w:rFonts w:ascii="Times New Roman" w:hAnsi="Times New Roman" w:eastAsia="仿宋_GB2312" w:cs="Times New Roman"/>
          <w:b/>
          <w:bCs/>
          <w:color w:val="000000"/>
          <w:szCs w:val="21"/>
          <w:highlight w:val="none"/>
        </w:rPr>
        <w:t>【安全警示用语】</w:t>
      </w:r>
    </w:p>
    <w:p>
      <w:pPr>
        <w:adjustRightInd w:val="0"/>
        <w:snapToGrid w:val="0"/>
        <w:spacing w:line="560" w:lineRule="exact"/>
        <w:jc w:val="left"/>
        <w:rPr>
          <w:rFonts w:hint="eastAsia" w:ascii="Times New Roman" w:hAnsi="Times New Roman" w:eastAsia="仿宋_GB2312" w:cs="Times New Roman"/>
          <w:b/>
          <w:bCs/>
          <w:color w:val="000000"/>
          <w:szCs w:val="21"/>
          <w:highlight w:val="none"/>
          <w:lang w:eastAsia="zh-CN"/>
        </w:rPr>
      </w:pPr>
      <w:r>
        <w:rPr>
          <w:rFonts w:ascii="Times New Roman" w:hAnsi="Times New Roman" w:eastAsia="仿宋_GB2312" w:cs="Times New Roman"/>
          <w:b/>
          <w:bCs/>
          <w:color w:val="000000"/>
          <w:szCs w:val="21"/>
          <w:highlight w:val="none"/>
        </w:rPr>
        <w:t>【贮存条件】</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【使用期限】</w:t>
      </w: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附9 </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化妆品产品标签样稿</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815"/>
        <w:gridCol w:w="1603"/>
        <w:gridCol w:w="35"/>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04" w:type="dxa"/>
            <w:gridSpan w:val="2"/>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项  目</w:t>
            </w:r>
          </w:p>
        </w:tc>
        <w:tc>
          <w:tcPr>
            <w:tcW w:w="4110" w:type="dxa"/>
            <w:gridSpan w:val="3"/>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vAlign w:val="center"/>
          </w:tcPr>
          <w:p>
            <w:pPr>
              <w:snapToGrid w:val="0"/>
              <w:spacing w:before="63" w:beforeLines="20" w:after="63" w:afterLines="20"/>
              <w:jc w:val="center"/>
              <w:rPr>
                <w:rFonts w:eastAsia="仿宋_GB2312"/>
                <w:b/>
                <w:dstrike/>
                <w:color w:val="000000"/>
                <w:sz w:val="22"/>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应包括的基本内容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产品名称、注册证编号</w:t>
            </w:r>
          </w:p>
        </w:tc>
        <w:tc>
          <w:tcPr>
            <w:tcW w:w="4110" w:type="dxa"/>
            <w:gridSpan w:val="3"/>
            <w:vMerge w:val="restart"/>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注册人/备案人名称、地址；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境内责任人名称、地址</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生产企业名称、地址；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生产许可证编号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产品执行的标准编号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全成分标识</w:t>
            </w: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0.1%（w/w）以上成分</w:t>
            </w:r>
          </w:p>
        </w:tc>
        <w:tc>
          <w:tcPr>
            <w:tcW w:w="2472" w:type="dxa"/>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其他微量成分</w:t>
            </w:r>
          </w:p>
        </w:tc>
        <w:tc>
          <w:tcPr>
            <w:tcW w:w="2472" w:type="dxa"/>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净含量</w:t>
            </w:r>
          </w:p>
        </w:tc>
        <w:tc>
          <w:tcPr>
            <w:tcW w:w="4110" w:type="dxa"/>
            <w:gridSpan w:val="3"/>
            <w:vAlign w:val="center"/>
          </w:tcPr>
          <w:p>
            <w:pPr>
              <w:snapToGrid w:val="0"/>
              <w:spacing w:before="63" w:beforeLines="20" w:after="63" w:afterLines="20"/>
              <w:jc w:val="center"/>
              <w:rPr>
                <w:rFonts w:eastAsia="仿宋_GB2312"/>
                <w:strike/>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使用期限</w:t>
            </w:r>
          </w:p>
        </w:tc>
        <w:tc>
          <w:tcPr>
            <w:tcW w:w="4110" w:type="dxa"/>
            <w:gridSpan w:val="3"/>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使用方法</w:t>
            </w:r>
          </w:p>
        </w:tc>
        <w:tc>
          <w:tcPr>
            <w:tcW w:w="4110" w:type="dxa"/>
            <w:gridSpan w:val="3"/>
            <w:vMerge w:val="restart"/>
            <w:vAlign w:val="center"/>
          </w:tcPr>
          <w:p>
            <w:pPr>
              <w:snapToGrid w:val="0"/>
              <w:spacing w:before="63" w:beforeLines="20" w:after="63" w:afterLines="20"/>
              <w:jc w:val="center"/>
              <w:rPr>
                <w:rFonts w:eastAsia="仿宋_GB2312"/>
                <w:strike/>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安全警示用语</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4"/>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应包括的其他内容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产品名称相关解释说明</w:t>
            </w:r>
          </w:p>
        </w:tc>
        <w:tc>
          <w:tcPr>
            <w:tcW w:w="4110" w:type="dxa"/>
            <w:gridSpan w:val="3"/>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2"/>
                <w:highlight w:val="none"/>
              </w:rPr>
              <w:t>创新用语</w:t>
            </w: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创新用语一：</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创新用语二：</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按有关规定应当标注的其他内容</w:t>
            </w:r>
          </w:p>
        </w:tc>
        <w:tc>
          <w:tcPr>
            <w:tcW w:w="4110" w:type="dxa"/>
            <w:gridSpan w:val="3"/>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企业自主选择标注的标签内容</w:t>
            </w: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是否标注“已经过评价验证”</w:t>
            </w:r>
          </w:p>
        </w:tc>
        <w:tc>
          <w:tcPr>
            <w:tcW w:w="4110" w:type="dxa"/>
            <w:gridSpan w:val="3"/>
            <w:vAlign w:val="center"/>
          </w:tcPr>
          <w:p>
            <w:pPr>
              <w:snapToGrid w:val="0"/>
              <w:spacing w:before="63" w:beforeLines="20" w:after="63" w:afterLines="20"/>
              <w:jc w:val="left"/>
              <w:rPr>
                <w:rFonts w:eastAsia="仿宋_GB2312"/>
                <w:color w:val="000000"/>
                <w:sz w:val="20"/>
                <w:highlight w:val="none"/>
              </w:rPr>
            </w:pPr>
            <w:r>
              <w:rPr>
                <w:rFonts w:eastAsia="仿宋_GB2312"/>
                <w:b/>
                <w:bCs/>
                <w:color w:val="000000"/>
                <w:sz w:val="20"/>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其他特别宣称</w:t>
            </w:r>
          </w:p>
        </w:tc>
        <w:tc>
          <w:tcPr>
            <w:tcW w:w="4110" w:type="dxa"/>
            <w:gridSpan w:val="3"/>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其他文案内容</w:t>
            </w:r>
          </w:p>
          <w:p>
            <w:pPr>
              <w:snapToGrid w:val="0"/>
              <w:spacing w:before="63" w:beforeLines="20" w:after="63" w:afterLines="20"/>
              <w:jc w:val="center"/>
              <w:rPr>
                <w:rFonts w:eastAsia="仿宋_GB2312"/>
                <w:b/>
                <w:color w:val="000000"/>
                <w:sz w:val="22"/>
                <w:highlight w:val="none"/>
              </w:rPr>
            </w:pPr>
            <w:r>
              <w:rPr>
                <w:rFonts w:eastAsia="仿宋_GB2312"/>
                <w:bCs/>
                <w:color w:val="000000"/>
                <w:sz w:val="18"/>
                <w:szCs w:val="18"/>
                <w:highlight w:val="none"/>
              </w:rPr>
              <w:t>（含拟在包装标签上以图案或其他形式出现的文字，如艺术字、变形文字等）</w:t>
            </w:r>
          </w:p>
        </w:tc>
        <w:tc>
          <w:tcPr>
            <w:tcW w:w="4110" w:type="dxa"/>
            <w:gridSpan w:val="3"/>
            <w:vAlign w:val="center"/>
          </w:tcPr>
          <w:p>
            <w:pPr>
              <w:snapToGrid w:val="0"/>
              <w:spacing w:before="63" w:beforeLines="20" w:after="63" w:afterLines="20"/>
              <w:jc w:val="center"/>
              <w:rPr>
                <w:rFonts w:eastAsia="仿宋_GB2312"/>
                <w:color w:val="000000"/>
                <w:sz w:val="20"/>
                <w:highlight w:val="none"/>
              </w:rPr>
            </w:pPr>
          </w:p>
        </w:tc>
      </w:tr>
    </w:tbl>
    <w:p>
      <w:pPr>
        <w:snapToGrid w:val="0"/>
        <w:spacing w:line="500" w:lineRule="exact"/>
        <w:jc w:val="center"/>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附 10</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 化妆品产品标签样稿式例</w:t>
      </w:r>
    </w:p>
    <w:p>
      <w:pPr>
        <w:snapToGrid w:val="0"/>
        <w:spacing w:line="500" w:lineRule="exact"/>
        <w:jc w:val="center"/>
        <w:rPr>
          <w:rFonts w:ascii="方正小标宋简体" w:hAnsi="黑体" w:eastAsia="方正小标宋简体" w:cs="黑体"/>
          <w:bCs/>
          <w:color w:val="000000"/>
          <w:sz w:val="44"/>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815"/>
        <w:gridCol w:w="1603"/>
        <w:gridCol w:w="35"/>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04" w:type="dxa"/>
            <w:gridSpan w:val="2"/>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项  目</w:t>
            </w:r>
          </w:p>
        </w:tc>
        <w:tc>
          <w:tcPr>
            <w:tcW w:w="4110" w:type="dxa"/>
            <w:gridSpan w:val="3"/>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vAlign w:val="center"/>
          </w:tcPr>
          <w:p>
            <w:pPr>
              <w:snapToGrid w:val="0"/>
              <w:spacing w:before="63" w:beforeLines="20" w:after="63" w:afterLines="20"/>
              <w:jc w:val="center"/>
              <w:rPr>
                <w:rFonts w:eastAsia="仿宋_GB2312"/>
                <w:b/>
                <w:dstrike/>
                <w:color w:val="000000"/>
                <w:sz w:val="22"/>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应包括的基本内容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产品名称、注册证编号</w:t>
            </w:r>
          </w:p>
        </w:tc>
        <w:tc>
          <w:tcPr>
            <w:tcW w:w="4110" w:type="dxa"/>
            <w:gridSpan w:val="3"/>
            <w:vMerge w:val="restart"/>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按照化妆品标签管理</w:t>
            </w:r>
            <w:r>
              <w:rPr>
                <w:rFonts w:hint="eastAsia" w:eastAsia="仿宋_GB2312"/>
                <w:color w:val="000000"/>
                <w:sz w:val="20"/>
                <w:highlight w:val="none"/>
              </w:rPr>
              <w:t>有关规定</w:t>
            </w:r>
            <w:r>
              <w:rPr>
                <w:rFonts w:eastAsia="仿宋_GB2312"/>
                <w:color w:val="000000"/>
                <w:sz w:val="20"/>
                <w:highlight w:val="none"/>
              </w:rPr>
              <w:t>要求和产品实际情况标注，相关内容应与产品注册证/备案凭证载明信息一致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注册人/备案人名称、地址；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境内责任人名称、地址</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生产企业名称、地址；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生产许可证编号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产品执行的标准编号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全成分标识</w:t>
            </w: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0.1%（w/w）以上成分</w:t>
            </w:r>
          </w:p>
        </w:tc>
        <w:tc>
          <w:tcPr>
            <w:tcW w:w="2472" w:type="dxa"/>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其他微量成分</w:t>
            </w:r>
          </w:p>
        </w:tc>
        <w:tc>
          <w:tcPr>
            <w:tcW w:w="2472" w:type="dxa"/>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净含量</w:t>
            </w:r>
          </w:p>
        </w:tc>
        <w:tc>
          <w:tcPr>
            <w:tcW w:w="4110" w:type="dxa"/>
            <w:gridSpan w:val="3"/>
            <w:vAlign w:val="center"/>
          </w:tcPr>
          <w:p>
            <w:pPr>
              <w:snapToGrid w:val="0"/>
              <w:spacing w:before="63" w:beforeLines="20" w:after="63" w:afterLines="20"/>
              <w:jc w:val="center"/>
              <w:rPr>
                <w:rFonts w:eastAsia="仿宋_GB2312"/>
                <w:strike/>
                <w:color w:val="000000"/>
                <w:sz w:val="20"/>
                <w:highlight w:val="none"/>
              </w:rPr>
            </w:pPr>
            <w:r>
              <w:rPr>
                <w:rFonts w:eastAsia="仿宋_GB2312"/>
                <w:color w:val="000000"/>
                <w:sz w:val="20"/>
                <w:highlight w:val="none"/>
              </w:rPr>
              <w:t>按实际标注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使用期限</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按实际标注，与产品执行的标准相符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使用方法</w:t>
            </w:r>
          </w:p>
        </w:tc>
        <w:tc>
          <w:tcPr>
            <w:tcW w:w="4110" w:type="dxa"/>
            <w:gridSpan w:val="3"/>
            <w:vMerge w:val="restart"/>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p>
            <w:pPr>
              <w:snapToGrid w:val="0"/>
              <w:spacing w:before="63" w:beforeLines="20" w:after="63" w:afterLines="20"/>
              <w:jc w:val="center"/>
              <w:rPr>
                <w:rFonts w:eastAsia="仿宋_GB2312"/>
                <w:strike/>
                <w:color w:val="000000"/>
                <w:sz w:val="20"/>
                <w:highlight w:val="none"/>
              </w:rPr>
            </w:pPr>
            <w:r>
              <w:rPr>
                <w:rFonts w:eastAsia="仿宋_GB2312"/>
                <w:color w:val="000000"/>
                <w:sz w:val="20"/>
                <w:highlight w:val="none"/>
              </w:rPr>
              <w:t>应与产品执行的标准相符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安全警示用语</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4"/>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应包括的其他内容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产品名称相关解释说明</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2"/>
                <w:highlight w:val="none"/>
              </w:rPr>
              <w:t>创新用语</w:t>
            </w: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创新用语一：</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创新用语二：</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按有关规定应当标注的其他内容</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企业自主选择标注的标签内容</w:t>
            </w: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是否标注“已经过评价验证”</w:t>
            </w:r>
          </w:p>
        </w:tc>
        <w:tc>
          <w:tcPr>
            <w:tcW w:w="4110" w:type="dxa"/>
            <w:gridSpan w:val="3"/>
            <w:vAlign w:val="center"/>
          </w:tcPr>
          <w:p>
            <w:pPr>
              <w:snapToGrid w:val="0"/>
              <w:spacing w:before="63" w:beforeLines="20" w:after="63" w:afterLines="20"/>
              <w:jc w:val="left"/>
              <w:rPr>
                <w:rFonts w:eastAsia="仿宋_GB2312"/>
                <w:color w:val="000000"/>
                <w:sz w:val="20"/>
                <w:highlight w:val="none"/>
              </w:rPr>
            </w:pPr>
            <w:r>
              <w:rPr>
                <w:rFonts w:eastAsia="仿宋_GB2312"/>
                <w:b/>
                <w:bCs/>
                <w:color w:val="000000"/>
                <w:sz w:val="20"/>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其他特别宣称</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根据化妆品功效宣称评价相关规定，由企业填报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其他文案内容</w:t>
            </w:r>
          </w:p>
          <w:p>
            <w:pPr>
              <w:snapToGrid w:val="0"/>
              <w:spacing w:before="63" w:beforeLines="20" w:after="63" w:afterLines="20"/>
              <w:jc w:val="center"/>
              <w:rPr>
                <w:rFonts w:eastAsia="仿宋_GB2312"/>
                <w:b/>
                <w:color w:val="000000"/>
                <w:sz w:val="22"/>
                <w:highlight w:val="none"/>
              </w:rPr>
            </w:pPr>
            <w:r>
              <w:rPr>
                <w:rFonts w:eastAsia="仿宋_GB2312"/>
                <w:bCs/>
                <w:color w:val="000000"/>
                <w:sz w:val="18"/>
                <w:szCs w:val="18"/>
                <w:highlight w:val="none"/>
              </w:rPr>
              <w:t>（含拟在包装标签上以图案或其他形式出现的文字，如艺术字、变形文字等）</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p>
            <w:pPr>
              <w:snapToGrid w:val="0"/>
              <w:spacing w:before="63" w:beforeLines="20" w:after="63" w:afterLines="20"/>
              <w:jc w:val="center"/>
              <w:rPr>
                <w:rFonts w:eastAsia="仿宋_GB2312"/>
                <w:color w:val="000000"/>
                <w:sz w:val="20"/>
                <w:highlight w:val="none"/>
              </w:rPr>
            </w:pPr>
            <w:r>
              <w:rPr>
                <w:rFonts w:eastAsia="仿宋_GB2312"/>
                <w:color w:val="000000"/>
                <w:sz w:val="18"/>
                <w:szCs w:val="18"/>
                <w:highlight w:val="none"/>
              </w:rPr>
              <w:t>（语句文意应当连贯，不得使用不必要的空格、回车或间隔标点符号）</w:t>
            </w:r>
          </w:p>
        </w:tc>
      </w:tr>
    </w:tbl>
    <w:p>
      <w:pPr>
        <w:snapToGrid w:val="0"/>
        <w:spacing w:line="500" w:lineRule="exact"/>
        <w:jc w:val="center"/>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 11 </w:t>
      </w:r>
    </w:p>
    <w:p>
      <w:pPr>
        <w:snapToGrid w:val="0"/>
        <w:spacing w:line="500" w:lineRule="exact"/>
        <w:jc w:val="center"/>
        <w:rPr>
          <w:b/>
          <w:sz w:val="28"/>
          <w:szCs w:val="28"/>
          <w:highlight w:val="none"/>
        </w:rPr>
      </w:pPr>
      <w:r>
        <w:rPr>
          <w:rFonts w:eastAsia="方正小标宋简体"/>
          <w:bCs/>
          <w:sz w:val="28"/>
          <w:szCs w:val="28"/>
          <w:highlight w:val="none"/>
        </w:rPr>
        <w:t>化妆品产品的安全评估报告</w:t>
      </w:r>
    </w:p>
    <w:p>
      <w:pPr>
        <w:tabs>
          <w:tab w:val="left" w:pos="1140"/>
        </w:tabs>
        <w:adjustRightInd w:val="0"/>
        <w:snapToGrid w:val="0"/>
        <w:spacing w:after="160" w:line="360" w:lineRule="auto"/>
        <w:rPr>
          <w:rFonts w:ascii="Times New Roman" w:hAnsi="Times New Roman" w:eastAsia="仿宋_GB2312" w:cs="Times New Roman"/>
          <w:kern w:val="0"/>
          <w:sz w:val="32"/>
          <w:szCs w:val="32"/>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题    目：</w:t>
      </w:r>
      <w:r>
        <w:rPr>
          <w:rFonts w:ascii="Times New Roman" w:hAnsi="Times New Roman" w:eastAsia="仿宋_GB2312" w:cs="Times New Roman"/>
          <w:kern w:val="0"/>
          <w:szCs w:val="21"/>
          <w:highlight w:val="none"/>
          <w:u w:val="single"/>
        </w:rPr>
        <w:t>（产品名称）安全评估报告</w:t>
      </w:r>
    </w:p>
    <w:p>
      <w:pPr>
        <w:tabs>
          <w:tab w:val="left" w:pos="1140"/>
        </w:tabs>
        <w:adjustRightInd w:val="0"/>
        <w:snapToGrid w:val="0"/>
        <w:spacing w:after="160" w:line="360" w:lineRule="auto"/>
        <w:ind w:firstLine="1890" w:firstLineChars="9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注册人/备案人名称：</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1890" w:firstLineChars="9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注册人/备案人地址：</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评估单位：</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 估 人：</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评估日期：</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年</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月</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日</w:t>
      </w:r>
    </w:p>
    <w:p>
      <w:pPr>
        <w:tabs>
          <w:tab w:val="left" w:pos="1140"/>
        </w:tabs>
        <w:adjustRightInd w:val="0"/>
        <w:snapToGrid w:val="0"/>
        <w:spacing w:after="160" w:line="360" w:lineRule="auto"/>
        <w:jc w:val="center"/>
        <w:rPr>
          <w:rFonts w:ascii="Times New Roman" w:hAnsi="Times New Roman" w:eastAsia="仿宋_GB2312" w:cs="Times New Roman"/>
          <w:kern w:val="0"/>
          <w:szCs w:val="21"/>
          <w:highlight w:val="none"/>
        </w:rPr>
      </w:pPr>
    </w:p>
    <w:p>
      <w:pPr>
        <w:tabs>
          <w:tab w:val="left" w:pos="1140"/>
        </w:tabs>
        <w:adjustRightInd w:val="0"/>
        <w:snapToGrid w:val="0"/>
        <w:spacing w:after="160" w:line="360" w:lineRule="auto"/>
        <w:jc w:val="center"/>
        <w:rPr>
          <w:rFonts w:ascii="Times New Roman" w:hAnsi="Times New Roman" w:eastAsia="仿宋_GB2312" w:cs="Times New Roman"/>
          <w:kern w:val="0"/>
          <w:sz w:val="28"/>
          <w:szCs w:val="28"/>
          <w:highlight w:val="none"/>
        </w:rPr>
      </w:pPr>
    </w:p>
    <w:p>
      <w:pPr>
        <w:tabs>
          <w:tab w:val="left" w:pos="1140"/>
        </w:tabs>
        <w:adjustRightInd w:val="0"/>
        <w:snapToGrid w:val="0"/>
        <w:spacing w:after="160" w:line="360" w:lineRule="auto"/>
        <w:jc w:val="center"/>
        <w:rPr>
          <w:rFonts w:ascii="Times New Roman" w:hAnsi="Times New Roman" w:eastAsia="仿宋_GB2312" w:cs="Times New Roman"/>
          <w:kern w:val="0"/>
          <w:sz w:val="28"/>
          <w:szCs w:val="28"/>
          <w:highlight w:val="none"/>
        </w:rPr>
      </w:pPr>
    </w:p>
    <w:p>
      <w:pPr>
        <w:tabs>
          <w:tab w:val="left" w:pos="1140"/>
        </w:tabs>
        <w:adjustRightInd w:val="0"/>
        <w:snapToGrid w:val="0"/>
        <w:spacing w:after="160" w:line="360" w:lineRule="auto"/>
        <w:jc w:val="center"/>
        <w:rPr>
          <w:rFonts w:ascii="Times New Roman" w:hAnsi="Times New Roman" w:eastAsia="仿宋_GB2312" w:cs="Times New Roman"/>
          <w:kern w:val="0"/>
          <w:sz w:val="28"/>
          <w:szCs w:val="28"/>
          <w:highlight w:val="none"/>
        </w:rPr>
      </w:pPr>
    </w:p>
    <w:p>
      <w:pPr>
        <w:spacing w:line="600" w:lineRule="exact"/>
        <w:jc w:val="left"/>
        <w:rPr>
          <w:szCs w:val="21"/>
          <w:highlight w:val="none"/>
        </w:rPr>
      </w:pPr>
      <w:r>
        <w:rPr>
          <w:szCs w:val="21"/>
          <w:highlight w:val="none"/>
        </w:rPr>
        <w:br w:type="page"/>
      </w:r>
    </w:p>
    <w:p>
      <w:pPr>
        <w:spacing w:line="600" w:lineRule="exact"/>
        <w:jc w:val="center"/>
        <w:rPr>
          <w:rFonts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t>目  录</w:t>
      </w:r>
    </w:p>
    <w:p>
      <w:pPr>
        <w:spacing w:line="600" w:lineRule="exact"/>
        <w:jc w:val="center"/>
        <w:rPr>
          <w:rFonts w:eastAsia="方正小标宋简体"/>
          <w:szCs w:val="21"/>
          <w:highlight w:val="none"/>
        </w:rPr>
      </w:pP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一、摘要</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二、产品简介</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三、产品配方</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四、配方设计原则</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五、配方中各成分的安全评估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六、可能存在的风险物质评估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七、风险控制措施或建议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八、安全评估结论</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九、安全评估人员签名</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十、安全评估人员简历</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十一、参考文献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十二、附录</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42</w:t>
      </w: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sectPr>
          <w:pgSz w:w="11906" w:h="16838"/>
          <w:pgMar w:top="1928" w:right="1531" w:bottom="1814" w:left="1531" w:header="851" w:footer="680" w:gutter="0"/>
          <w:cols w:space="720" w:num="1"/>
          <w:docGrid w:type="lines" w:linePitch="319" w:charSpace="0"/>
        </w:sectPr>
      </w:pP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一、摘要</w:t>
      </w:r>
    </w:p>
    <w:p>
      <w:pPr>
        <w:adjustRightInd w:val="0"/>
        <w:snapToGrid w:val="0"/>
        <w:spacing w:line="560" w:lineRule="exact"/>
        <w:jc w:val="left"/>
        <w:rPr>
          <w:rFonts w:ascii="Times New Roman" w:hAnsi="Times New Roman" w:eastAsia="仿宋_GB2312" w:cs="Times New Roman"/>
          <w:kern w:val="0"/>
          <w:szCs w:val="21"/>
          <w:highlight w:val="none"/>
        </w:rPr>
      </w:pPr>
      <w:bookmarkStart w:id="0" w:name="_Hlk53471796"/>
      <w:r>
        <w:rPr>
          <w:rFonts w:ascii="Times New Roman" w:hAnsi="Times New Roman" w:eastAsia="仿宋_GB2312" w:cs="Times New Roman"/>
          <w:kern w:val="0"/>
          <w:szCs w:val="21"/>
          <w:highlight w:val="none"/>
        </w:rPr>
        <w:t>xx为xxx（使用方法、剂型等）产品，使用目的xx，使用人群为xx，依据《化妆品安全评估导则》，对产品中的xx、xx（具体原料名称），xxx、xxx（具体风险物质名称）进行安全评估，以及xxxx（其他安全资料）。结果显示，该产品在正常、合理及可预见的使用情况下不会对人体健康造成危害。</w:t>
      </w:r>
    </w:p>
    <w:bookmarkEnd w:id="0"/>
    <w:p>
      <w:pPr>
        <w:spacing w:line="560" w:lineRule="exact"/>
        <w:jc w:val="left"/>
        <w:rPr>
          <w:rFonts w:ascii="Times New Roman" w:hAnsi="Times New Roman" w:eastAsia="仿宋_GB2312" w:cs="Times New Roman"/>
          <w:b/>
          <w:kern w:val="0"/>
          <w:szCs w:val="21"/>
          <w:highlight w:val="none"/>
        </w:rPr>
      </w:pPr>
      <w:r>
        <w:rPr>
          <w:rFonts w:ascii="Times New Roman" w:hAnsi="Times New Roman" w:eastAsia="黑体" w:cs="Times New Roman"/>
          <w:bCs/>
          <w:kern w:val="0"/>
          <w:szCs w:val="21"/>
          <w:highlight w:val="none"/>
        </w:rPr>
        <w:t>二、产品简介</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 xml:space="preserve">产品名称 </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产品使用目的及使用方式</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 xml:space="preserve">日均使用量 （g/day） </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驻留因子</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其他</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三、产品配方</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numPr>
          <w:numId w:val="0"/>
        </w:numPr>
        <w:spacing w:line="560" w:lineRule="exact"/>
        <w:jc w:val="left"/>
        <w:rPr>
          <w:rFonts w:ascii="Times New Roman" w:hAnsi="Times New Roman" w:eastAsia="黑体" w:cs="Times New Roman"/>
          <w:bCs/>
          <w:kern w:val="0"/>
          <w:szCs w:val="21"/>
          <w:highlight w:val="none"/>
        </w:rPr>
      </w:pPr>
      <w:r>
        <w:rPr>
          <w:rFonts w:hint="eastAsia" w:ascii="Times New Roman" w:hAnsi="Times New Roman" w:eastAsia="黑体" w:cs="Times New Roman"/>
          <w:bCs/>
          <w:kern w:val="0"/>
          <w:szCs w:val="21"/>
          <w:highlight w:val="none"/>
          <w:lang w:eastAsia="zh-CN"/>
        </w:rPr>
        <w:t>四、</w:t>
      </w:r>
      <w:bookmarkStart w:id="18" w:name="_GoBack"/>
      <w:bookmarkEnd w:id="18"/>
      <w:r>
        <w:rPr>
          <w:rFonts w:ascii="Times New Roman" w:hAnsi="Times New Roman" w:eastAsia="黑体" w:cs="Times New Roman"/>
          <w:bCs/>
          <w:kern w:val="0"/>
          <w:szCs w:val="21"/>
          <w:highlight w:val="none"/>
        </w:rPr>
        <w:t>配方设计原则（仅针对儿童化妆品）</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五、配方中各成分的安全评估</w:t>
      </w:r>
    </w:p>
    <w:p>
      <w:pPr>
        <w:adjustRightInd w:val="0"/>
        <w:snapToGrid w:val="0"/>
        <w:spacing w:line="560" w:lineRule="exact"/>
        <w:jc w:val="left"/>
        <w:rPr>
          <w:rFonts w:ascii="Times New Roman" w:hAnsi="Times New Roman" w:eastAsia="楷体_GB2312" w:cs="Times New Roman"/>
          <w:kern w:val="0"/>
          <w:szCs w:val="21"/>
          <w:highlight w:val="none"/>
        </w:rPr>
      </w:pPr>
      <w:r>
        <w:rPr>
          <w:rFonts w:ascii="Times New Roman" w:hAnsi="Times New Roman" w:eastAsia="楷体_GB2312" w:cs="Times New Roman"/>
          <w:kern w:val="0"/>
          <w:szCs w:val="21"/>
          <w:highlight w:val="none"/>
        </w:rPr>
        <w:t>1. 危害识别</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一般包括：</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 急性毒性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 刺激性/腐蚀性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 致敏性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 光毒性</w:t>
      </w:r>
    </w:p>
    <w:p>
      <w:pPr>
        <w:adjustRightInd w:val="0"/>
        <w:snapToGrid w:val="0"/>
        <w:spacing w:line="59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 光变态反应</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 遗传毒性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 重复剂量毒性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 生殖发育毒性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 慢性毒性/致癌性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（10）毒代动力学</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（11）人群安全资料</w:t>
      </w:r>
    </w:p>
    <w:p>
      <w:pPr>
        <w:adjustRightInd w:val="0"/>
        <w:snapToGrid w:val="0"/>
        <w:spacing w:line="560" w:lineRule="exact"/>
        <w:jc w:val="left"/>
        <w:rPr>
          <w:rFonts w:ascii="Times New Roman" w:hAnsi="Times New Roman" w:eastAsia="楷体_GB2312" w:cs="Times New Roman"/>
          <w:kern w:val="0"/>
          <w:szCs w:val="21"/>
          <w:highlight w:val="none"/>
          <w:lang w:val="en"/>
        </w:rPr>
      </w:pPr>
      <w:r>
        <w:rPr>
          <w:rFonts w:ascii="Times New Roman" w:hAnsi="Times New Roman" w:eastAsia="楷体_GB2312" w:cs="Times New Roman"/>
          <w:kern w:val="0"/>
          <w:szCs w:val="21"/>
          <w:highlight w:val="none"/>
        </w:rPr>
        <w:t>2. 剂量反应关系评估</w:t>
      </w:r>
      <w:r>
        <w:rPr>
          <w:rFonts w:ascii="Times New Roman" w:hAnsi="Times New Roman" w:eastAsia="楷体_GB2312" w:cs="Times New Roman"/>
          <w:kern w:val="0"/>
          <w:szCs w:val="21"/>
          <w:highlight w:val="none"/>
          <w:lang w:val="en"/>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adjustRightInd w:val="0"/>
        <w:snapToGrid w:val="0"/>
        <w:spacing w:line="560" w:lineRule="exact"/>
        <w:jc w:val="left"/>
        <w:rPr>
          <w:rFonts w:ascii="Times New Roman" w:hAnsi="Times New Roman" w:eastAsia="楷体_GB2312" w:cs="Times New Roman"/>
          <w:kern w:val="0"/>
          <w:szCs w:val="21"/>
          <w:highlight w:val="none"/>
          <w:lang w:val="en"/>
        </w:rPr>
      </w:pPr>
      <w:r>
        <w:rPr>
          <w:rFonts w:ascii="Times New Roman" w:hAnsi="Times New Roman" w:eastAsia="楷体_GB2312" w:cs="Times New Roman"/>
          <w:kern w:val="0"/>
          <w:szCs w:val="21"/>
          <w:highlight w:val="none"/>
        </w:rPr>
        <w:t>3. 暴露评估</w:t>
      </w:r>
      <w:r>
        <w:rPr>
          <w:rFonts w:ascii="Times New Roman" w:hAnsi="Times New Roman" w:eastAsia="楷体_GB2312" w:cs="Times New Roman"/>
          <w:kern w:val="0"/>
          <w:szCs w:val="21"/>
          <w:highlight w:val="none"/>
          <w:lang w:val="en"/>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adjustRightInd w:val="0"/>
        <w:snapToGrid w:val="0"/>
        <w:spacing w:line="560" w:lineRule="exact"/>
        <w:jc w:val="left"/>
        <w:rPr>
          <w:rFonts w:ascii="Times New Roman" w:hAnsi="Times New Roman" w:eastAsia="楷体_GB2312" w:cs="Times New Roman"/>
          <w:kern w:val="0"/>
          <w:szCs w:val="21"/>
          <w:highlight w:val="none"/>
          <w:lang w:val="en"/>
        </w:rPr>
      </w:pPr>
      <w:r>
        <w:rPr>
          <w:rFonts w:ascii="Times New Roman" w:hAnsi="Times New Roman" w:eastAsia="楷体_GB2312" w:cs="Times New Roman"/>
          <w:kern w:val="0"/>
          <w:szCs w:val="21"/>
          <w:highlight w:val="none"/>
        </w:rPr>
        <w:t>4. 风险特征描述</w:t>
      </w:r>
      <w:r>
        <w:rPr>
          <w:rFonts w:ascii="Times New Roman" w:hAnsi="Times New Roman" w:eastAsia="楷体_GB2312" w:cs="Times New Roman"/>
          <w:kern w:val="0"/>
          <w:szCs w:val="21"/>
          <w:highlight w:val="none"/>
          <w:lang w:val="en"/>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六、可能存在的风险物质评估</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黑体" w:cs="Times New Roman"/>
          <w:bCs/>
          <w:kern w:val="0"/>
          <w:szCs w:val="21"/>
          <w:highlight w:val="none"/>
        </w:rPr>
        <w:t>七、风险控制措施或建议：</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如警示用语、使用方法、使用人群等。</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八、安全评估结论：</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一般包括产品理化稳定性评估结论；产品微生物稳定性评估结论；人体安全数据，如临床数据、消费者使用调查、不良反应记录等。检测结论，各原料的评估结论等</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九、安全评估人员签名</w:t>
      </w:r>
    </w:p>
    <w:p>
      <w:pPr>
        <w:spacing w:line="59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9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十、安全评估人员简历</w:t>
      </w:r>
    </w:p>
    <w:p>
      <w:pPr>
        <w:spacing w:line="59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十一、参考文献</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十二、附录</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包括检测报告、涉及的原料质量规格证明等。</w:t>
      </w:r>
    </w:p>
    <w:p>
      <w:pPr>
        <w:spacing w:before="120" w:after="120"/>
        <w:jc w:val="left"/>
        <w:rPr>
          <w:rFonts w:ascii="方正小标宋简体" w:eastAsia="方正小标宋简体"/>
          <w:sz w:val="28"/>
          <w:szCs w:val="28"/>
          <w:highlight w:val="none"/>
        </w:rPr>
      </w:pPr>
      <w:r>
        <w:rPr>
          <w:szCs w:val="21"/>
          <w:highlight w:val="none"/>
        </w:rPr>
        <w:br w:type="page"/>
      </w:r>
      <w:r>
        <w:rPr>
          <w:rFonts w:hint="eastAsia" w:ascii="方正小标宋简体" w:eastAsia="方正小标宋简体"/>
          <w:sz w:val="28"/>
          <w:szCs w:val="28"/>
          <w:highlight w:val="none"/>
        </w:rPr>
        <w:t xml:space="preserve">附12 </w:t>
      </w:r>
    </w:p>
    <w:p>
      <w:pPr>
        <w:spacing w:before="120" w:after="120"/>
        <w:jc w:val="center"/>
        <w:rPr>
          <w:sz w:val="28"/>
          <w:szCs w:val="28"/>
          <w:highlight w:val="none"/>
        </w:rPr>
      </w:pPr>
      <w:r>
        <w:rPr>
          <w:rFonts w:eastAsia="方正小标宋简体"/>
          <w:sz w:val="28"/>
          <w:szCs w:val="28"/>
          <w:highlight w:val="none"/>
        </w:rPr>
        <w:t>化妆品安全评估报告示例（完整版）</w:t>
      </w:r>
    </w:p>
    <w:p>
      <w:pPr>
        <w:adjustRightInd w:val="0"/>
        <w:snapToGrid w:val="0"/>
        <w:spacing w:before="120" w:after="120"/>
        <w:jc w:val="right"/>
        <w:rPr>
          <w:szCs w:val="21"/>
          <w:highlight w:val="none"/>
        </w:rPr>
      </w:pPr>
      <w:r>
        <w:rPr>
          <w:szCs w:val="21"/>
          <w:highlight w:val="none"/>
        </w:rPr>
        <w:t xml:space="preserve">                                                                                                                  注：本报告格式及数据仅供参考</w:t>
      </w:r>
    </w:p>
    <w:p>
      <w:pPr>
        <w:spacing w:before="120" w:after="120"/>
        <w:rPr>
          <w:szCs w:val="21"/>
          <w:highlight w:val="none"/>
        </w:rPr>
      </w:pPr>
    </w:p>
    <w:p>
      <w:pPr>
        <w:spacing w:before="120" w:after="120"/>
        <w:rPr>
          <w:szCs w:val="21"/>
          <w:highlight w:val="none"/>
        </w:rPr>
      </w:pP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题    目：</w:t>
      </w:r>
      <w:r>
        <w:rPr>
          <w:rFonts w:ascii="Times New Roman" w:hAnsi="Times New Roman" w:eastAsia="仿宋_GB2312" w:cs="Times New Roman"/>
          <w:kern w:val="0"/>
          <w:szCs w:val="21"/>
          <w:highlight w:val="none"/>
          <w:u w:val="single"/>
        </w:rPr>
        <w:t>（产品名称）安全评估报告</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注册人/备案人名称：</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注册人/备案人地址：</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评估单位：</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 估 人：</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评估日期：</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年</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月</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日</w:t>
      </w:r>
    </w:p>
    <w:p>
      <w:pPr>
        <w:adjustRightInd w:val="0"/>
        <w:snapToGrid w:val="0"/>
        <w:spacing w:line="360" w:lineRule="auto"/>
        <w:rPr>
          <w:szCs w:val="21"/>
          <w:highlight w:val="none"/>
        </w:rPr>
      </w:pPr>
    </w:p>
    <w:p>
      <w:pPr>
        <w:spacing w:line="600" w:lineRule="exact"/>
        <w:jc w:val="left"/>
        <w:rPr>
          <w:szCs w:val="21"/>
          <w:highlight w:val="none"/>
        </w:rPr>
      </w:pPr>
      <w:r>
        <w:rPr>
          <w:szCs w:val="21"/>
          <w:highlight w:val="none"/>
        </w:rPr>
        <w:br w:type="page"/>
      </w:r>
    </w:p>
    <w:p>
      <w:pPr>
        <w:spacing w:line="600" w:lineRule="exact"/>
        <w:jc w:val="center"/>
        <w:rPr>
          <w:rFonts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t>目  录</w:t>
      </w:r>
    </w:p>
    <w:p>
      <w:pPr>
        <w:spacing w:line="600" w:lineRule="exact"/>
        <w:jc w:val="center"/>
        <w:rPr>
          <w:rFonts w:eastAsia="方正小标宋简体"/>
          <w:szCs w:val="21"/>
          <w:highlight w:val="none"/>
        </w:rPr>
      </w:pP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一、摘要</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二、产品简介</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三、产品配方</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四、配方中各成分的安全评估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五、可能存在的风险物质评估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六、风险控制措施或建议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七、安全评估结论</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八、安全评估人员签名</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九、安全评估人员简历</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十、参考文献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tabs>
          <w:tab w:val="left" w:pos="1140"/>
          <w:tab w:val="right" w:leader="middleDot" w:pos="8820"/>
        </w:tabs>
        <w:adjustRightInd w:val="0"/>
        <w:snapToGrid w:val="0"/>
        <w:spacing w:line="600" w:lineRule="exact"/>
        <w:rPr>
          <w:rFonts w:ascii="Times New Roman" w:hAnsi="Times New Roman" w:eastAsia="黑体" w:cs="Times New Roman"/>
          <w:b/>
          <w:kern w:val="0"/>
          <w:szCs w:val="21"/>
          <w:highlight w:val="none"/>
          <w:lang w:val="en"/>
        </w:rPr>
      </w:pPr>
      <w:r>
        <w:rPr>
          <w:rFonts w:ascii="Times New Roman" w:hAnsi="Times New Roman" w:eastAsia="黑体" w:cs="Times New Roman"/>
          <w:kern w:val="0"/>
          <w:szCs w:val="21"/>
          <w:highlight w:val="none"/>
        </w:rPr>
        <w:t>十一、附录</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spacing w:line="550" w:lineRule="exact"/>
        <w:rPr>
          <w:rFonts w:eastAsia="黑体"/>
          <w:bCs/>
          <w:szCs w:val="21"/>
          <w:highlight w:val="none"/>
        </w:rPr>
      </w:pPr>
      <w:bookmarkStart w:id="1" w:name="_Toc16405"/>
    </w:p>
    <w:p>
      <w:pPr>
        <w:spacing w:line="560" w:lineRule="exact"/>
        <w:rPr>
          <w:rFonts w:eastAsia="黑体"/>
          <w:bCs/>
          <w:szCs w:val="21"/>
          <w:highlight w:val="none"/>
        </w:rPr>
      </w:pPr>
      <w:r>
        <w:rPr>
          <w:rFonts w:eastAsia="黑体"/>
          <w:bCs/>
          <w:szCs w:val="21"/>
          <w:highlight w:val="none"/>
        </w:rPr>
        <w:br w:type="page"/>
      </w:r>
      <w:r>
        <w:rPr>
          <w:rFonts w:hint="eastAsia" w:eastAsia="黑体"/>
          <w:bCs/>
          <w:szCs w:val="21"/>
          <w:highlight w:val="none"/>
        </w:rPr>
        <w:t>一、</w:t>
      </w:r>
      <w:r>
        <w:rPr>
          <w:rFonts w:eastAsia="黑体"/>
          <w:bCs/>
          <w:szCs w:val="21"/>
          <w:highlight w:val="none"/>
        </w:rPr>
        <w:t>摘要</w:t>
      </w:r>
    </w:p>
    <w:bookmarkEnd w:id="1"/>
    <w:p>
      <w:pPr>
        <w:adjustRightInd w:val="0"/>
        <w:snapToGrid w:val="0"/>
        <w:spacing w:line="560" w:lineRule="exact"/>
        <w:rPr>
          <w:rFonts w:eastAsia="仿宋_GB2312"/>
          <w:szCs w:val="21"/>
          <w:highlight w:val="none"/>
        </w:rPr>
      </w:pPr>
      <w:r>
        <w:rPr>
          <w:rFonts w:eastAsia="仿宋_GB2312"/>
          <w:szCs w:val="21"/>
          <w:highlight w:val="none"/>
        </w:rPr>
        <w:t>xxx身体乳为驻留类化妆品，适用于全身，可每日使用，参考《化妆品安全评估技术导则》有关规定，对产品的微生物、有害物质和稳定性等进行了检测，并对配方所用的水、1,3-丙二醇、香精、花生醇、苯氧乙醇、墨角藻（FUCUS VESICULOSUS）提取物、蜂蜜和二棕榈酰羟脯氨酸8种成分，可能存在的二甘醇、苯酚等风险物质开展了安全评估。结果显示，该产品在正常、合理及可预见的使用情况下，不会对人体健康产生危害。</w:t>
      </w:r>
    </w:p>
    <w:p>
      <w:pPr>
        <w:spacing w:line="560" w:lineRule="exact"/>
        <w:rPr>
          <w:rFonts w:eastAsia="黑体"/>
          <w:bCs/>
          <w:szCs w:val="21"/>
          <w:highlight w:val="none"/>
        </w:rPr>
      </w:pPr>
      <w:bookmarkStart w:id="2" w:name="_Toc24905"/>
      <w:r>
        <w:rPr>
          <w:rFonts w:eastAsia="黑体"/>
          <w:bCs/>
          <w:szCs w:val="21"/>
          <w:highlight w:val="none"/>
        </w:rPr>
        <w:t>二、产品简介</w:t>
      </w:r>
      <w:bookmarkEnd w:id="2"/>
    </w:p>
    <w:p>
      <w:pPr>
        <w:adjustRightInd w:val="0"/>
        <w:snapToGrid w:val="0"/>
        <w:spacing w:line="560" w:lineRule="exact"/>
        <w:rPr>
          <w:rFonts w:eastAsia="仿宋_GB2312"/>
          <w:szCs w:val="21"/>
          <w:highlight w:val="none"/>
        </w:rPr>
      </w:pPr>
      <w:r>
        <w:rPr>
          <w:rFonts w:eastAsia="仿宋_GB2312"/>
          <w:szCs w:val="21"/>
          <w:highlight w:val="none"/>
        </w:rPr>
        <w:t>1</w:t>
      </w:r>
      <w:r>
        <w:rPr>
          <w:rFonts w:hint="eastAsia" w:eastAsia="仿宋_GB2312"/>
          <w:szCs w:val="21"/>
          <w:highlight w:val="none"/>
        </w:rPr>
        <w:t>、</w:t>
      </w:r>
      <w:r>
        <w:rPr>
          <w:rFonts w:eastAsia="仿宋_GB2312"/>
          <w:szCs w:val="21"/>
          <w:highlight w:val="none"/>
        </w:rPr>
        <w:t>产品名称：xxx身体乳</w:t>
      </w:r>
    </w:p>
    <w:p>
      <w:pPr>
        <w:adjustRightInd w:val="0"/>
        <w:snapToGrid w:val="0"/>
        <w:spacing w:line="560" w:lineRule="exact"/>
        <w:rPr>
          <w:rFonts w:eastAsia="仿宋_GB2312"/>
          <w:szCs w:val="21"/>
          <w:highlight w:val="none"/>
        </w:rPr>
      </w:pPr>
      <w:r>
        <w:rPr>
          <w:rFonts w:eastAsia="仿宋_GB2312"/>
          <w:szCs w:val="21"/>
          <w:highlight w:val="none"/>
        </w:rPr>
        <w:t>2</w:t>
      </w:r>
      <w:r>
        <w:rPr>
          <w:rFonts w:hint="eastAsia" w:eastAsia="仿宋_GB2312"/>
          <w:szCs w:val="21"/>
          <w:highlight w:val="none"/>
        </w:rPr>
        <w:t>、</w:t>
      </w:r>
      <w:r>
        <w:rPr>
          <w:rFonts w:eastAsia="仿宋_GB2312"/>
          <w:szCs w:val="21"/>
          <w:highlight w:val="none"/>
        </w:rPr>
        <w:t>产品使用方法：可涂抹于全身</w:t>
      </w:r>
    </w:p>
    <w:p>
      <w:pPr>
        <w:adjustRightInd w:val="0"/>
        <w:snapToGrid w:val="0"/>
        <w:spacing w:line="560" w:lineRule="exact"/>
        <w:rPr>
          <w:rFonts w:eastAsia="仿宋_GB2312"/>
          <w:szCs w:val="21"/>
          <w:highlight w:val="none"/>
        </w:rPr>
      </w:pPr>
      <w:r>
        <w:rPr>
          <w:rFonts w:eastAsia="仿宋_GB2312"/>
          <w:szCs w:val="21"/>
          <w:highlight w:val="none"/>
        </w:rPr>
        <w:t>3</w:t>
      </w:r>
      <w:r>
        <w:rPr>
          <w:rFonts w:hint="eastAsia" w:eastAsia="仿宋_GB2312"/>
          <w:szCs w:val="21"/>
          <w:highlight w:val="none"/>
        </w:rPr>
        <w:t>、</w:t>
      </w:r>
      <w:r>
        <w:rPr>
          <w:rFonts w:eastAsia="仿宋_GB2312"/>
          <w:szCs w:val="21"/>
          <w:highlight w:val="none"/>
        </w:rPr>
        <w:t>日均使用量（g/day）：7.82</w:t>
      </w:r>
      <w:r>
        <w:rPr>
          <w:rFonts w:eastAsia="仿宋_GB2312"/>
          <w:szCs w:val="21"/>
          <w:highlight w:val="none"/>
          <w:vertAlign w:val="superscript"/>
        </w:rPr>
        <w:t>*</w:t>
      </w:r>
    </w:p>
    <w:p>
      <w:pPr>
        <w:adjustRightInd w:val="0"/>
        <w:snapToGrid w:val="0"/>
        <w:spacing w:line="560" w:lineRule="exact"/>
        <w:rPr>
          <w:rFonts w:eastAsia="仿宋_GB2312"/>
          <w:szCs w:val="21"/>
          <w:highlight w:val="none"/>
        </w:rPr>
      </w:pPr>
      <w:r>
        <w:rPr>
          <w:rFonts w:eastAsia="仿宋_GB2312"/>
          <w:szCs w:val="21"/>
          <w:highlight w:val="none"/>
        </w:rPr>
        <w:t>4</w:t>
      </w:r>
      <w:r>
        <w:rPr>
          <w:rFonts w:hint="eastAsia" w:eastAsia="仿宋_GB2312"/>
          <w:szCs w:val="21"/>
          <w:highlight w:val="none"/>
        </w:rPr>
        <w:t>、</w:t>
      </w:r>
      <w:r>
        <w:rPr>
          <w:rFonts w:eastAsia="仿宋_GB2312"/>
          <w:szCs w:val="21"/>
          <w:highlight w:val="none"/>
        </w:rPr>
        <w:t>驻留因子：1.00</w:t>
      </w:r>
    </w:p>
    <w:p>
      <w:pPr>
        <w:adjustRightInd w:val="0"/>
        <w:snapToGrid w:val="0"/>
        <w:spacing w:line="560" w:lineRule="exact"/>
        <w:rPr>
          <w:rFonts w:eastAsia="仿宋_GB2312"/>
          <w:szCs w:val="21"/>
          <w:highlight w:val="none"/>
        </w:rPr>
      </w:pPr>
      <w:r>
        <w:rPr>
          <w:rFonts w:eastAsia="仿宋_GB2312"/>
          <w:szCs w:val="21"/>
          <w:highlight w:val="none"/>
        </w:rPr>
        <w:t>5</w:t>
      </w:r>
      <w:r>
        <w:rPr>
          <w:rFonts w:hint="eastAsia" w:eastAsia="仿宋_GB2312"/>
          <w:szCs w:val="21"/>
          <w:highlight w:val="none"/>
        </w:rPr>
        <w:t>、</w:t>
      </w:r>
      <w:r>
        <w:rPr>
          <w:rFonts w:eastAsia="仿宋_GB2312"/>
          <w:szCs w:val="21"/>
          <w:highlight w:val="none"/>
        </w:rPr>
        <w:t>全身暴露量（SED）：SED=日均使用量×驻留因子×成分在配方中百分比×经皮吸收率÷体重</w:t>
      </w:r>
      <w:r>
        <w:rPr>
          <w:rFonts w:eastAsia="仿宋_GB2312"/>
          <w:szCs w:val="21"/>
          <w:highlight w:val="none"/>
          <w:vertAlign w:val="superscript"/>
        </w:rPr>
        <w:t>#</w:t>
      </w:r>
    </w:p>
    <w:p>
      <w:pPr>
        <w:adjustRightInd w:val="0"/>
        <w:snapToGrid w:val="0"/>
        <w:spacing w:line="560" w:lineRule="exact"/>
        <w:rPr>
          <w:rFonts w:eastAsia="仿宋_GB2312"/>
          <w:szCs w:val="21"/>
          <w:highlight w:val="none"/>
        </w:rPr>
      </w:pPr>
      <w:r>
        <w:rPr>
          <w:rFonts w:eastAsia="仿宋_GB2312"/>
          <w:szCs w:val="21"/>
          <w:highlight w:val="none"/>
        </w:rPr>
        <w:t>注：* 日均使用量参考《THE SCCS NOTES OF GUIDANCE FOR THE TESTING OF COSMETIC INGREDIENTS AND THEIR SAFETY EVALUATION （10TH REVISION）》。</w:t>
      </w:r>
    </w:p>
    <w:p>
      <w:pPr>
        <w:adjustRightInd w:val="0"/>
        <w:snapToGrid w:val="0"/>
        <w:spacing w:line="560" w:lineRule="exact"/>
        <w:rPr>
          <w:rFonts w:eastAsia="仿宋_GB2312"/>
          <w:szCs w:val="21"/>
          <w:highlight w:val="none"/>
        </w:rPr>
      </w:pPr>
      <w:r>
        <w:rPr>
          <w:rFonts w:eastAsia="仿宋_GB2312"/>
          <w:szCs w:val="21"/>
          <w:highlight w:val="none"/>
          <w:vertAlign w:val="superscript"/>
        </w:rPr>
        <w:t xml:space="preserve"># </w:t>
      </w:r>
      <w:r>
        <w:rPr>
          <w:rFonts w:eastAsia="仿宋_GB2312"/>
          <w:szCs w:val="21"/>
          <w:highlight w:val="none"/>
        </w:rPr>
        <w:t>体重一般为默认的成人体重（60 kg）；经皮吸收率以100%计。</w:t>
      </w:r>
    </w:p>
    <w:p>
      <w:pPr>
        <w:spacing w:line="560" w:lineRule="exact"/>
        <w:rPr>
          <w:rFonts w:eastAsia="黑体"/>
          <w:bCs/>
          <w:szCs w:val="21"/>
          <w:highlight w:val="none"/>
        </w:rPr>
      </w:pPr>
      <w:bookmarkStart w:id="3" w:name="_Toc2528"/>
      <w:r>
        <w:rPr>
          <w:rFonts w:eastAsia="黑体"/>
          <w:bCs/>
          <w:szCs w:val="21"/>
          <w:highlight w:val="none"/>
        </w:rPr>
        <w:t>三、产品配方</w:t>
      </w:r>
      <w:bookmarkEnd w:id="3"/>
    </w:p>
    <w:p>
      <w:pPr>
        <w:adjustRightInd w:val="0"/>
        <w:snapToGrid w:val="0"/>
        <w:spacing w:line="560" w:lineRule="exact"/>
        <w:rPr>
          <w:rFonts w:eastAsia="仿宋_GB2312"/>
          <w:szCs w:val="21"/>
          <w:highlight w:val="none"/>
        </w:rPr>
      </w:pPr>
      <w:r>
        <w:rPr>
          <w:rFonts w:eastAsia="仿宋_GB2312"/>
          <w:szCs w:val="21"/>
          <w:highlight w:val="none"/>
        </w:rPr>
        <w:t>本配方中所使用的原料均已列入《已使用化妆品原料目录》或《化妆品安全技术规范》（2015年版）。产品配方表见表1，产品实际成分含量表见表2。</w:t>
      </w:r>
    </w:p>
    <w:p>
      <w:pPr>
        <w:spacing w:line="56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表1  产品配方表</w:t>
      </w:r>
    </w:p>
    <w:tbl>
      <w:tblPr>
        <w:tblStyle w:val="7"/>
        <w:tblW w:w="0" w:type="auto"/>
        <w:jc w:val="center"/>
        <w:tblLayout w:type="fixed"/>
        <w:tblCellMar>
          <w:top w:w="0" w:type="dxa"/>
          <w:left w:w="108" w:type="dxa"/>
          <w:bottom w:w="0" w:type="dxa"/>
          <w:right w:w="108" w:type="dxa"/>
        </w:tblCellMar>
      </w:tblPr>
      <w:tblGrid>
        <w:gridCol w:w="778"/>
        <w:gridCol w:w="1677"/>
        <w:gridCol w:w="1927"/>
        <w:gridCol w:w="955"/>
        <w:gridCol w:w="1349"/>
        <w:gridCol w:w="2052"/>
      </w:tblGrid>
      <w:tr>
        <w:tblPrEx>
          <w:tblCellMar>
            <w:top w:w="0" w:type="dxa"/>
            <w:left w:w="108" w:type="dxa"/>
            <w:bottom w:w="0" w:type="dxa"/>
            <w:right w:w="108" w:type="dxa"/>
          </w:tblCellMar>
        </w:tblPrEx>
        <w:trPr>
          <w:trHeight w:val="1185" w:hRule="atLeast"/>
          <w:tblHeader/>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序号</w:t>
            </w:r>
          </w:p>
        </w:tc>
        <w:tc>
          <w:tcPr>
            <w:tcW w:w="1677"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中文名称</w:t>
            </w:r>
          </w:p>
        </w:tc>
        <w:tc>
          <w:tcPr>
            <w:tcW w:w="1927"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INCI名称/英文名称</w:t>
            </w:r>
          </w:p>
        </w:tc>
        <w:tc>
          <w:tcPr>
            <w:tcW w:w="955"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使用</w:t>
            </w:r>
          </w:p>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目的</w:t>
            </w:r>
          </w:p>
        </w:tc>
        <w:tc>
          <w:tcPr>
            <w:tcW w:w="1349"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在《已使用原料目录》中的序号</w:t>
            </w:r>
          </w:p>
        </w:tc>
        <w:tc>
          <w:tcPr>
            <w:tcW w:w="2052"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备注</w:t>
            </w:r>
          </w:p>
        </w:tc>
      </w:tr>
      <w:tr>
        <w:tblPrEx>
          <w:tblCellMar>
            <w:top w:w="0" w:type="dxa"/>
            <w:left w:w="108" w:type="dxa"/>
            <w:bottom w:w="0" w:type="dxa"/>
            <w:right w:w="108" w:type="dxa"/>
          </w:tblCellMar>
        </w:tblPrEx>
        <w:trPr>
          <w:trHeight w:val="584" w:hRule="exact"/>
          <w:jc w:val="center"/>
        </w:trPr>
        <w:tc>
          <w:tcPr>
            <w:tcW w:w="778" w:type="dxa"/>
            <w:tcBorders>
              <w:top w:val="nil"/>
              <w:left w:val="single" w:color="000000" w:sz="4" w:space="0"/>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955"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溶剂</w:t>
            </w:r>
          </w:p>
        </w:tc>
        <w:tc>
          <w:tcPr>
            <w:tcW w:w="134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06260</w:t>
            </w:r>
          </w:p>
        </w:tc>
        <w:tc>
          <w:tcPr>
            <w:tcW w:w="205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4" w:hRule="exact"/>
          <w:jc w:val="center"/>
        </w:trPr>
        <w:tc>
          <w:tcPr>
            <w:tcW w:w="778" w:type="dxa"/>
            <w:vMerge w:val="restart"/>
            <w:tcBorders>
              <w:top w:val="nil"/>
              <w:left w:val="single" w:color="000000" w:sz="4" w:space="0"/>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955" w:type="dxa"/>
            <w:vMerge w:val="restart"/>
            <w:tcBorders>
              <w:top w:val="nil"/>
              <w:left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润肤剂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06260</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4" w:hRule="exact"/>
          <w:jc w:val="center"/>
        </w:trPr>
        <w:tc>
          <w:tcPr>
            <w:tcW w:w="778" w:type="dxa"/>
            <w:vMerge w:val="continue"/>
            <w:tcBorders>
              <w:top w:val="nil"/>
              <w:left w:val="single" w:color="000000" w:sz="4" w:space="0"/>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1,3丙二醇</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PROPANEDIOL</w:t>
            </w:r>
          </w:p>
        </w:tc>
        <w:tc>
          <w:tcPr>
            <w:tcW w:w="955" w:type="dxa"/>
            <w:vMerge w:val="continue"/>
            <w:tcBorders>
              <w:left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00006</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153" w:hRule="atLeast"/>
          <w:jc w:val="center"/>
        </w:trPr>
        <w:tc>
          <w:tcPr>
            <w:tcW w:w="778"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墨角藻（FUCUS VESICULOSUS）提取物</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FUCUS VESICULOSUS EXTRACT</w:t>
            </w:r>
          </w:p>
        </w:tc>
        <w:tc>
          <w:tcPr>
            <w:tcW w:w="955" w:type="dxa"/>
            <w:vMerge w:val="continue"/>
            <w:tcBorders>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04728</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4" w:hRule="exac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PARFUM</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芳香剂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07008</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853"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ARACHIDYL ALCOHOL</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rPr>
              <w:t>润肤剂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02992</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917"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PHENOXYETHANOL</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防腐剂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01294</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《化妆品安全技术规范》准用防腐剂（表4）序号37</w:t>
            </w:r>
          </w:p>
        </w:tc>
      </w:tr>
      <w:tr>
        <w:tblPrEx>
          <w:tblCellMar>
            <w:top w:w="0" w:type="dxa"/>
            <w:left w:w="108" w:type="dxa"/>
            <w:bottom w:w="0" w:type="dxa"/>
            <w:right w:w="108" w:type="dxa"/>
          </w:tblCellMar>
        </w:tblPrEx>
        <w:trPr>
          <w:trHeight w:val="640"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蜂（Apis mellifera）蜜</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HONEY</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02341</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945"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DIPALMITOYL HYDROXYPROLINE</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02255</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bl>
    <w:p>
      <w:pPr>
        <w:spacing w:line="520" w:lineRule="exact"/>
        <w:rPr>
          <w:bCs/>
          <w:szCs w:val="21"/>
          <w:highlight w:val="none"/>
        </w:rPr>
      </w:pPr>
      <w:r>
        <w:rPr>
          <w:bCs/>
          <w:szCs w:val="21"/>
          <w:highlight w:val="none"/>
        </w:rPr>
        <w:t>注：本配方仅为示例，非实际配方。产品配方应提供全部原料，并按含量递减顺序排列。</w:t>
      </w:r>
    </w:p>
    <w:p>
      <w:pPr>
        <w:spacing w:before="159" w:beforeLines="50" w:after="159"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表2  产品</w:t>
      </w:r>
      <w:r>
        <w:rPr>
          <w:rFonts w:hint="eastAsia" w:ascii="Times New Roman" w:hAnsi="Times New Roman" w:eastAsia="仿宋_GB2312" w:cs="Times New Roman"/>
          <w:b/>
          <w:bCs/>
          <w:kern w:val="0"/>
          <w:szCs w:val="21"/>
          <w:highlight w:val="none"/>
        </w:rPr>
        <w:t>实际</w:t>
      </w:r>
      <w:r>
        <w:rPr>
          <w:rFonts w:ascii="Times New Roman" w:hAnsi="Times New Roman" w:eastAsia="仿宋_GB2312" w:cs="Times New Roman"/>
          <w:b/>
          <w:bCs/>
          <w:kern w:val="0"/>
          <w:szCs w:val="21"/>
          <w:highlight w:val="none"/>
        </w:rPr>
        <w:t>成分</w:t>
      </w:r>
      <w:r>
        <w:rPr>
          <w:rFonts w:hint="eastAsia" w:ascii="Times New Roman" w:hAnsi="Times New Roman" w:eastAsia="仿宋_GB2312" w:cs="Times New Roman"/>
          <w:b/>
          <w:bCs/>
          <w:kern w:val="0"/>
          <w:szCs w:val="21"/>
          <w:highlight w:val="none"/>
        </w:rPr>
        <w:t>含量</w:t>
      </w:r>
      <w:r>
        <w:rPr>
          <w:rFonts w:ascii="Times New Roman" w:hAnsi="Times New Roman" w:eastAsia="仿宋_GB2312" w:cs="Times New Roman"/>
          <w:b/>
          <w:bCs/>
          <w:kern w:val="0"/>
          <w:szCs w:val="21"/>
          <w:highlight w:val="none"/>
        </w:rPr>
        <w:t>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55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10" w:type="dxa"/>
            <w:vAlign w:val="center"/>
          </w:tcPr>
          <w:p>
            <w:pPr>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标准中文名称</w:t>
            </w:r>
          </w:p>
        </w:tc>
        <w:tc>
          <w:tcPr>
            <w:tcW w:w="3555" w:type="dxa"/>
            <w:vAlign w:val="center"/>
          </w:tcPr>
          <w:p>
            <w:pPr>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INCI名</w:t>
            </w:r>
          </w:p>
        </w:tc>
        <w:tc>
          <w:tcPr>
            <w:tcW w:w="2375" w:type="dxa"/>
            <w:vAlign w:val="center"/>
          </w:tcPr>
          <w:p>
            <w:pPr>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实际成分含量（%）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355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97.0999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1,3丙二醇</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PROPANEDIOL</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PARFUM</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ARACHIDYL ALCOHOL</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0. 6000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PHENOXYETHANOL</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墨角藻（FUCUS VESICULOSUS）提取物</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FUCUS VESICULOSUS EXTRACT</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蜂（Apis mellifera）蜜</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HONEY</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DIPALMITOYL HYDROXYPROLINE</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0.0001</w:t>
            </w:r>
          </w:p>
        </w:tc>
      </w:tr>
    </w:tbl>
    <w:p>
      <w:pPr>
        <w:spacing w:line="590" w:lineRule="exact"/>
        <w:rPr>
          <w:rFonts w:eastAsia="黑体"/>
          <w:bCs/>
          <w:szCs w:val="21"/>
          <w:highlight w:val="none"/>
        </w:rPr>
      </w:pPr>
      <w:bookmarkStart w:id="4" w:name="_Toc18549"/>
      <w:r>
        <w:rPr>
          <w:rFonts w:eastAsia="黑体"/>
          <w:bCs/>
          <w:szCs w:val="21"/>
          <w:highlight w:val="none"/>
        </w:rPr>
        <w:t>四、配方中各成分的安全评估</w:t>
      </w:r>
      <w:bookmarkEnd w:id="4"/>
      <w:r>
        <w:rPr>
          <w:rFonts w:eastAsia="黑体"/>
          <w:bCs/>
          <w:szCs w:val="21"/>
          <w:highlight w:val="none"/>
        </w:rPr>
        <w:t xml:space="preserve"> </w:t>
      </w:r>
    </w:p>
    <w:p>
      <w:pPr>
        <w:adjustRightInd w:val="0"/>
        <w:snapToGrid w:val="0"/>
        <w:spacing w:line="590" w:lineRule="exact"/>
        <w:rPr>
          <w:rFonts w:eastAsia="仿宋_GB2312"/>
          <w:szCs w:val="21"/>
          <w:highlight w:val="none"/>
        </w:rPr>
      </w:pPr>
      <w:r>
        <w:rPr>
          <w:rFonts w:eastAsia="仿宋_GB2312"/>
          <w:b/>
          <w:bCs/>
          <w:szCs w:val="21"/>
          <w:highlight w:val="none"/>
        </w:rPr>
        <w:t>1号原料：</w:t>
      </w:r>
      <w:r>
        <w:rPr>
          <w:rFonts w:eastAsia="仿宋_GB2312"/>
          <w:szCs w:val="21"/>
          <w:highlight w:val="none"/>
        </w:rPr>
        <w:t>水，本产品所用的水是经过微孔过滤，离子交换，热灭菌等工艺获得的纯化水，无安全性风险问题。</w:t>
      </w:r>
    </w:p>
    <w:p>
      <w:pPr>
        <w:adjustRightInd w:val="0"/>
        <w:snapToGrid w:val="0"/>
        <w:spacing w:line="590" w:lineRule="exact"/>
        <w:rPr>
          <w:rFonts w:eastAsia="仿宋_GB2312"/>
          <w:szCs w:val="21"/>
          <w:highlight w:val="none"/>
        </w:rPr>
      </w:pPr>
      <w:r>
        <w:rPr>
          <w:rFonts w:eastAsia="仿宋_GB2312"/>
          <w:b/>
          <w:bCs/>
          <w:szCs w:val="21"/>
          <w:highlight w:val="none"/>
        </w:rPr>
        <w:t>2号原料：</w:t>
      </w:r>
      <w:r>
        <w:rPr>
          <w:rFonts w:eastAsia="仿宋_GB2312"/>
          <w:szCs w:val="21"/>
          <w:highlight w:val="none"/>
        </w:rPr>
        <w:t>水、1,3-丙二醇和墨角藻（FUCUS VESICULOSUS）提取物的混合物。</w:t>
      </w:r>
    </w:p>
    <w:p>
      <w:pPr>
        <w:adjustRightInd w:val="0"/>
        <w:snapToGrid w:val="0"/>
        <w:spacing w:line="590" w:lineRule="exact"/>
        <w:rPr>
          <w:rFonts w:eastAsia="仿宋_GB2312"/>
          <w:szCs w:val="21"/>
          <w:highlight w:val="none"/>
        </w:rPr>
      </w:pPr>
      <w:r>
        <w:rPr>
          <w:rFonts w:eastAsia="仿宋_GB2312"/>
          <w:szCs w:val="21"/>
          <w:highlight w:val="none"/>
        </w:rPr>
        <w:t>水，本产品所用的水是经过微孔过滤，离子交换，热灭菌等工艺获得的纯化水，无安全性风险问题。</w:t>
      </w:r>
    </w:p>
    <w:p>
      <w:pPr>
        <w:adjustRightInd w:val="0"/>
        <w:snapToGrid w:val="0"/>
        <w:spacing w:line="590" w:lineRule="exact"/>
        <w:rPr>
          <w:rFonts w:eastAsia="仿宋_GB2312"/>
          <w:szCs w:val="21"/>
          <w:highlight w:val="none"/>
        </w:rPr>
      </w:pPr>
      <w:r>
        <w:rPr>
          <w:rFonts w:eastAsia="仿宋_GB2312"/>
          <w:szCs w:val="21"/>
          <w:highlight w:val="none"/>
        </w:rPr>
        <w:t>1,3-丙二醇，急性毒性：急性经口毒性试验显示该原料为低毒性；皮肤刺激性：该成分浓度为100%时对皮肤有轻微刺激性；眼刺激性：该成分浓度为100%时无刺激性；皮肤变态反应：该成分浓度为50%时无致敏性；皮肤光毒性：该成分不具有紫外光吸收特性，因此不具有皮肤光毒性；致突变性：该成分无潜在基因突变性或染色体畸变性。系统毒性：经危害特征描述，该成分的未观察到有害作用的剂量（NOAEL）为1000mg/kg bw/d；生殖和发育毒性：该成分未观察到生殖和发育毒性</w:t>
      </w:r>
      <w:r>
        <w:rPr>
          <w:rFonts w:eastAsia="仿宋_GB2312"/>
          <w:szCs w:val="21"/>
          <w:highlight w:val="none"/>
          <w:vertAlign w:val="superscript"/>
        </w:rPr>
        <w:t>[1</w:t>
      </w:r>
      <w:r>
        <w:rPr>
          <w:rFonts w:hint="eastAsia" w:eastAsia="仿宋_GB2312"/>
          <w:szCs w:val="21"/>
          <w:highlight w:val="none"/>
          <w:vertAlign w:val="superscript"/>
        </w:rPr>
        <w:t>,</w:t>
      </w:r>
      <w:r>
        <w:rPr>
          <w:rFonts w:eastAsia="仿宋_GB2312"/>
          <w:szCs w:val="21"/>
          <w:highlight w:val="none"/>
          <w:vertAlign w:val="superscript"/>
        </w:rPr>
        <w:t>2]</w:t>
      </w:r>
      <w:r>
        <w:rPr>
          <w:rFonts w:eastAsia="仿宋_GB2312"/>
          <w:szCs w:val="21"/>
          <w:highlight w:val="none"/>
        </w:rPr>
        <w:t>。暴露剂量（SED）=1.3mg/kg bw/d，经计算安全边际值MoS=1000/1.3=769&gt;100，原料在本产品中应用风险在可接受范围之内。</w:t>
      </w:r>
    </w:p>
    <w:p>
      <w:pPr>
        <w:adjustRightInd w:val="0"/>
        <w:snapToGrid w:val="0"/>
        <w:spacing w:line="590" w:lineRule="exact"/>
        <w:rPr>
          <w:rFonts w:eastAsia="仿宋_GB2312"/>
          <w:szCs w:val="21"/>
          <w:highlight w:val="none"/>
        </w:rPr>
      </w:pPr>
      <w:r>
        <w:rPr>
          <w:rFonts w:eastAsia="仿宋_GB2312"/>
          <w:szCs w:val="21"/>
          <w:highlight w:val="none"/>
        </w:rPr>
        <w:t>墨角藻（FUCUS VESICULOSUS）提取物，美国化妆品原料评价委员会（CIR）评估结果显示，浓度不高于5%时该原料在化妆品中的使用是安全的</w:t>
      </w:r>
      <w:r>
        <w:rPr>
          <w:rFonts w:eastAsia="仿宋_GB2312"/>
          <w:szCs w:val="21"/>
          <w:highlight w:val="none"/>
          <w:vertAlign w:val="superscript"/>
        </w:rPr>
        <w:t>[3]</w:t>
      </w:r>
      <w:r>
        <w:rPr>
          <w:rFonts w:eastAsia="仿宋_GB2312"/>
          <w:szCs w:val="21"/>
          <w:highlight w:val="none"/>
        </w:rPr>
        <w:t>，该原料的添加量为0.1000%，在本产品中应用风险在可接受范围之内。</w:t>
      </w:r>
    </w:p>
    <w:p>
      <w:pPr>
        <w:adjustRightInd w:val="0"/>
        <w:snapToGrid w:val="0"/>
        <w:spacing w:line="590" w:lineRule="exact"/>
        <w:rPr>
          <w:rFonts w:eastAsia="仿宋_GB2312"/>
          <w:szCs w:val="21"/>
          <w:highlight w:val="none"/>
        </w:rPr>
      </w:pPr>
      <w:r>
        <w:rPr>
          <w:rFonts w:eastAsia="仿宋_GB2312"/>
          <w:b/>
          <w:bCs/>
          <w:szCs w:val="21"/>
          <w:highlight w:val="none"/>
        </w:rPr>
        <w:t>3号原料：</w:t>
      </w:r>
      <w:r>
        <w:rPr>
          <w:rFonts w:eastAsia="仿宋_GB2312"/>
          <w:szCs w:val="21"/>
          <w:highlight w:val="none"/>
        </w:rPr>
        <w:t>香精，产品中所使用的香精符合IFRA 证书要求。</w:t>
      </w:r>
    </w:p>
    <w:p>
      <w:pPr>
        <w:adjustRightInd w:val="0"/>
        <w:snapToGrid w:val="0"/>
        <w:spacing w:line="590" w:lineRule="exact"/>
        <w:rPr>
          <w:rFonts w:eastAsia="仿宋_GB2312"/>
          <w:szCs w:val="21"/>
          <w:highlight w:val="none"/>
        </w:rPr>
      </w:pPr>
      <w:r>
        <w:rPr>
          <w:rFonts w:eastAsia="仿宋_GB2312"/>
          <w:b/>
          <w:bCs/>
          <w:szCs w:val="21"/>
          <w:highlight w:val="none"/>
        </w:rPr>
        <w:t>4号原料：</w:t>
      </w:r>
      <w:r>
        <w:rPr>
          <w:rFonts w:eastAsia="仿宋_GB2312"/>
          <w:szCs w:val="21"/>
          <w:highlight w:val="none"/>
        </w:rPr>
        <w:t>花生醇，为1-二十烷醇，属于直链长链饱和脂肪醇。直链长链饱和脂肪醇类物质的通用分子结构式为CnH2n+2O，该类物质都具有直链碳链结构，且都具有末端醇羟基作为关键官能团，化学结构的区别是碳链长短的不同。因此，花生醇和具有近似碳链长度的饱和脂肪醇（如1-十八醇、1-二十二醇）在理化性质、危害描述、危害特征描述等上的数据可以相互参考。</w:t>
      </w:r>
    </w:p>
    <w:p>
      <w:pPr>
        <w:adjustRightInd w:val="0"/>
        <w:snapToGrid w:val="0"/>
        <w:spacing w:line="590" w:lineRule="exact"/>
        <w:rPr>
          <w:rFonts w:eastAsia="仿宋_GB2312"/>
          <w:szCs w:val="21"/>
          <w:highlight w:val="none"/>
        </w:rPr>
      </w:pPr>
      <w:r>
        <w:rPr>
          <w:rFonts w:eastAsia="仿宋_GB2312"/>
          <w:szCs w:val="21"/>
          <w:highlight w:val="none"/>
        </w:rPr>
        <w:t>花生醇的毒理学终点：急性毒性：急性经口毒性试验显示该原料为实际无毒性。急性经皮毒性试验显示该原料为微毒性。皮肤刺激性：根据原料供应商提供的毒理学安全数据，浓度为50%时，该原料对皮肤无刺激性。眼刺激性：根据原料供应商提供的毒理学安全数据，浓度为50%时该原料对眼睛无刺激性。皮肤变态反应：该原料无致敏性。皮肤光毒性：该原料无皮肤光毒性。致突变性：无潜在基因突变性或染色体畸变性。系统毒性：经过危害特征描述，该原料的未观察到有害作用的剂量（NOAEL）为 1000 mg/kg bw/day。生殖发育毒性：该原料的交叉参考物1-二十二醇在重复剂量毒性/生殖发育毒性试验中未观测到发育和生殖毒性反应，其NOAEL为 1000 mg/kg bw/day。另一交叉参考物1-十八醇在生殖发育毒性试验中也未观测到生殖发育毒性反应，其NOAEL为 2000 mg/kg bw/day。鉴于化学结构的相似性，花生醇（C=20）的生殖发育毒性应与1-二十二醇和1-十八醇相近。此外，据研究表明，直链饱和脂肪醇的经皮、经口吸收率与碳链长度直接相关。当碳链长度大于7时，饱和脂肪醇的经皮、经口吸收率随碳链长度的增加而下降。因此，花生醇的生殖发育毒性应不高于其交叉参照物的生殖发育毒性，基于保守原则，NOAEL选取1000 mg/kg bw/day</w:t>
      </w:r>
      <w:r>
        <w:rPr>
          <w:rFonts w:eastAsia="仿宋_GB2312"/>
          <w:szCs w:val="21"/>
          <w:highlight w:val="none"/>
          <w:vertAlign w:val="superscript"/>
        </w:rPr>
        <w:t>[4-6]</w:t>
      </w:r>
      <w:r>
        <w:rPr>
          <w:rFonts w:eastAsia="仿宋_GB2312"/>
          <w:szCs w:val="21"/>
          <w:highlight w:val="none"/>
        </w:rPr>
        <w:t>。安全评估用NOAEL的选择：选取经口重复染毒试验资料的NOAEL 1000 mg/kg/day用以计算安全边际值。暴露剂量=7.82*1000*0. 6000*1*1/（60*100）=0.782mg/kg/d。安全边际值MoS = 1000/0. 782=1279&gt; 100。该原料在本产品中的应用风险在可接受范围内。</w:t>
      </w:r>
    </w:p>
    <w:p>
      <w:pPr>
        <w:adjustRightInd w:val="0"/>
        <w:snapToGrid w:val="0"/>
        <w:spacing w:line="590" w:lineRule="exact"/>
        <w:rPr>
          <w:rFonts w:eastAsia="仿宋_GB2312"/>
          <w:szCs w:val="21"/>
          <w:highlight w:val="none"/>
        </w:rPr>
      </w:pPr>
      <w:r>
        <w:rPr>
          <w:rFonts w:eastAsia="仿宋_GB2312"/>
          <w:b/>
          <w:bCs/>
          <w:szCs w:val="21"/>
          <w:highlight w:val="none"/>
        </w:rPr>
        <w:t>5号原料：</w:t>
      </w:r>
      <w:r>
        <w:rPr>
          <w:rFonts w:eastAsia="仿宋_GB2312"/>
          <w:szCs w:val="21"/>
          <w:highlight w:val="none"/>
        </w:rPr>
        <w:t>苯氧乙醇，《化妆品安全技术规范》（2015年版）表4化妆品准用防腐剂规定，苯氧乙醇的限用量为1%</w:t>
      </w:r>
      <w:r>
        <w:rPr>
          <w:rFonts w:eastAsia="仿宋_GB2312"/>
          <w:szCs w:val="21"/>
          <w:highlight w:val="none"/>
          <w:vertAlign w:val="superscript"/>
        </w:rPr>
        <w:t>[7]</w:t>
      </w:r>
      <w:r>
        <w:rPr>
          <w:rFonts w:eastAsia="仿宋_GB2312"/>
          <w:szCs w:val="21"/>
          <w:highlight w:val="none"/>
        </w:rPr>
        <w:t>，本配方的添加量为0.5000%，符合要求。该原料在本产品中应用风险在可接受范围之内。</w:t>
      </w:r>
    </w:p>
    <w:p>
      <w:pPr>
        <w:adjustRightInd w:val="0"/>
        <w:snapToGrid w:val="0"/>
        <w:spacing w:line="590" w:lineRule="exact"/>
        <w:rPr>
          <w:rFonts w:eastAsia="仿宋_GB2312"/>
          <w:szCs w:val="21"/>
          <w:highlight w:val="none"/>
        </w:rPr>
      </w:pPr>
      <w:r>
        <w:rPr>
          <w:rFonts w:eastAsia="仿宋_GB2312"/>
          <w:b/>
          <w:bCs/>
          <w:szCs w:val="21"/>
          <w:highlight w:val="none"/>
        </w:rPr>
        <w:t>6号原料：</w:t>
      </w:r>
      <w:r>
        <w:rPr>
          <w:rFonts w:eastAsia="仿宋_GB2312"/>
          <w:szCs w:val="21"/>
          <w:highlight w:val="none"/>
        </w:rPr>
        <w:t>蜂（Apis mellifera）蜜，该原料无皮肤刺激性、眼刺激性、皮肤致敏性、皮肤光毒性等局部毒性</w:t>
      </w:r>
      <w:r>
        <w:rPr>
          <w:rFonts w:eastAsia="仿宋_GB2312"/>
          <w:szCs w:val="21"/>
          <w:highlight w:val="none"/>
          <w:vertAlign w:val="superscript"/>
        </w:rPr>
        <w:t>[8,9]</w:t>
      </w:r>
      <w:r>
        <w:rPr>
          <w:rFonts w:eastAsia="仿宋_GB2312"/>
          <w:szCs w:val="21"/>
          <w:highlight w:val="none"/>
        </w:rPr>
        <w:t>，且作为食物有悠久食用历史，无系统毒性风险。因此该原料在本产品中的应用风险在可接受范围内。</w:t>
      </w:r>
    </w:p>
    <w:p>
      <w:pPr>
        <w:adjustRightInd w:val="0"/>
        <w:snapToGrid w:val="0"/>
        <w:spacing w:line="590" w:lineRule="exact"/>
        <w:rPr>
          <w:rFonts w:eastAsia="仿宋_GB2312"/>
          <w:szCs w:val="21"/>
          <w:highlight w:val="none"/>
        </w:rPr>
      </w:pPr>
      <w:r>
        <w:rPr>
          <w:rFonts w:eastAsia="仿宋_GB2312"/>
          <w:b/>
          <w:bCs/>
          <w:szCs w:val="21"/>
          <w:highlight w:val="none"/>
        </w:rPr>
        <w:t>7号原料：</w:t>
      </w:r>
      <w:r>
        <w:rPr>
          <w:rFonts w:eastAsia="仿宋_GB2312"/>
          <w:szCs w:val="21"/>
          <w:highlight w:val="none"/>
        </w:rPr>
        <w:t>二棕榈酰羟脯氨酸，根据原料供应商提供的毒理学安全数据，该原料在浓度为10%时无皮肤刺激性、眼刺激性、皮肤致敏性、皮肤光毒性等局部毒性。根据现有数据，该原料在Ames或哺乳细胞小鼠淋巴瘤试验（MLA）中无致突变性，在MLA或体外人淋巴细胞染色体畸变试验中无染色体损伤，因此排除了遗传毒性。二棕榈酰羟脯氨酸的化学结构明确，含量较低，缺乏系统毒理学数据，符合毒理学关注阈值方法（TTC）方法的使用条件，根据其化学结构分类，辅助Toxtree工具将其分类为III类，TTC限值为1.5µg/kg/day （90 µg/day）。本原料在配方中的暴露量为7.82 µg/day，低于Cramer III类TTC限值，故无系统毒性风险。该原料在本产品中的应用风险在可接受范围内。</w:t>
      </w:r>
    </w:p>
    <w:p>
      <w:pPr>
        <w:adjustRightInd w:val="0"/>
        <w:snapToGrid w:val="0"/>
        <w:spacing w:line="590" w:lineRule="exact"/>
        <w:rPr>
          <w:rFonts w:ascii="黑体" w:hAnsi="黑体" w:eastAsia="黑体" w:cs="黑体"/>
          <w:szCs w:val="21"/>
          <w:highlight w:val="none"/>
        </w:rPr>
      </w:pPr>
      <w:bookmarkStart w:id="5" w:name="_Toc3290"/>
      <w:bookmarkStart w:id="6" w:name="_Toc362852034"/>
      <w:r>
        <w:rPr>
          <w:rFonts w:hint="eastAsia" w:ascii="黑体" w:hAnsi="黑体" w:eastAsia="黑体" w:cs="黑体"/>
          <w:szCs w:val="21"/>
          <w:highlight w:val="none"/>
        </w:rPr>
        <w:t>五、可能存在的风险物质的安全评估</w:t>
      </w:r>
      <w:bookmarkEnd w:id="5"/>
      <w:bookmarkEnd w:id="6"/>
    </w:p>
    <w:p>
      <w:pPr>
        <w:adjustRightInd w:val="0"/>
        <w:snapToGrid w:val="0"/>
        <w:spacing w:line="590" w:lineRule="exact"/>
        <w:rPr>
          <w:rFonts w:eastAsia="仿宋_GB2312"/>
          <w:szCs w:val="21"/>
          <w:highlight w:val="none"/>
        </w:rPr>
      </w:pPr>
      <w:bookmarkStart w:id="7" w:name="RANGE!A1:D107"/>
      <w:r>
        <w:rPr>
          <w:rFonts w:eastAsia="仿宋_GB2312"/>
          <w:szCs w:val="21"/>
          <w:highlight w:val="none"/>
        </w:rPr>
        <w:t>本产品按照《化妆品安全评估技术导则》的要求，基于当前科学认知水平，对可能由化妆品原料带入、生产过程中产生或带入的风险物质进行了评估，结果表明：</w:t>
      </w:r>
    </w:p>
    <w:p>
      <w:pPr>
        <w:adjustRightInd w:val="0"/>
        <w:snapToGrid w:val="0"/>
        <w:spacing w:line="590" w:lineRule="exact"/>
        <w:rPr>
          <w:rFonts w:eastAsia="仿宋_GB2312"/>
          <w:szCs w:val="21"/>
          <w:highlight w:val="none"/>
        </w:rPr>
      </w:pPr>
      <w:r>
        <w:rPr>
          <w:rFonts w:eastAsia="仿宋_GB2312"/>
          <w:szCs w:val="21"/>
          <w:highlight w:val="none"/>
        </w:rPr>
        <w:t>本产品的生产符合国家相关法律法规，对生产过程和产品包装材料进行严格的管理和控制。</w:t>
      </w:r>
    </w:p>
    <w:p>
      <w:pPr>
        <w:adjustRightInd w:val="0"/>
        <w:snapToGrid w:val="0"/>
        <w:spacing w:line="590" w:lineRule="exact"/>
        <w:rPr>
          <w:rFonts w:eastAsia="仿宋_GB2312"/>
          <w:szCs w:val="21"/>
          <w:highlight w:val="none"/>
        </w:rPr>
      </w:pPr>
      <w:r>
        <w:rPr>
          <w:rFonts w:eastAsia="仿宋_GB2312"/>
          <w:szCs w:val="21"/>
          <w:highlight w:val="none"/>
        </w:rPr>
        <w:t>产品中可能存在的安全性风险物质是技术上无法避免、由原料带入的杂质，残留的微量杂质在正常合理使用条件下不会对人体健康造成危害。产品安全性风险物质危害识别表见表3。</w:t>
      </w:r>
    </w:p>
    <w:bookmarkEnd w:id="7"/>
    <w:p>
      <w:pPr>
        <w:spacing w:line="56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表3  安全性风险物质危害识别表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1"/>
        <w:gridCol w:w="184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blHeader/>
          <w:jc w:val="center"/>
        </w:trPr>
        <w:tc>
          <w:tcPr>
            <w:tcW w:w="3111" w:type="dxa"/>
            <w:shd w:val="clear" w:color="auto" w:fill="auto"/>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标准中文名称</w:t>
            </w:r>
          </w:p>
        </w:tc>
        <w:tc>
          <w:tcPr>
            <w:tcW w:w="1843" w:type="dxa"/>
            <w:shd w:val="clear" w:color="auto" w:fill="auto"/>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可能含有的风险物质</w:t>
            </w:r>
          </w:p>
        </w:tc>
        <w:tc>
          <w:tcPr>
            <w:tcW w:w="4536" w:type="dxa"/>
            <w:shd w:val="clear" w:color="auto" w:fill="auto"/>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1,3-丙二醇</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二甘醇</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欧洲消费者安全科学委员会（SCCS）关于二甘醇杂质的意见中，浓度不超过0.1%时，其在化妆品中的存在是安全的。</w:t>
            </w:r>
          </w:p>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终产品二甘醇的检验报告附后。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烷和苯酚</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烷：化妆品终产品中二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烷的残留浓度应符合《化妆品安全技术规范》（2015版）第一章中表2“化妆品中有害物质限值”的要求，即二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烷的残留浓度应小于30mg/kg。本产品中二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烷的残留浓度符合该要求。</w:t>
            </w:r>
          </w:p>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墨角藻（FUCUS VESICULOSUS）提取物</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蜂蜜</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bl>
    <w:p>
      <w:pPr>
        <w:adjustRightInd w:val="0"/>
        <w:snapToGrid w:val="0"/>
        <w:spacing w:line="560" w:lineRule="exact"/>
        <w:rPr>
          <w:rFonts w:eastAsia="仿宋_GB2312"/>
          <w:szCs w:val="21"/>
          <w:highlight w:val="none"/>
        </w:rPr>
      </w:pPr>
      <w:r>
        <w:rPr>
          <w:rFonts w:eastAsia="仿宋_GB2312"/>
          <w:szCs w:val="21"/>
          <w:highlight w:val="none"/>
        </w:rPr>
        <w:t>此外，该产品终产品的检验报告显示其铅、汞、砷、镉、二噁烷检验结果符合《化妆品安全技术规范》（2015年版）表2《化妆品中有害物质限量》的限值要求。</w:t>
      </w:r>
      <w:bookmarkStart w:id="8" w:name="_Toc936"/>
      <w:bookmarkStart w:id="9" w:name="_Toc362852038"/>
    </w:p>
    <w:p>
      <w:pPr>
        <w:adjustRightInd w:val="0"/>
        <w:snapToGrid w:val="0"/>
        <w:spacing w:line="560" w:lineRule="exact"/>
        <w:rPr>
          <w:rFonts w:eastAsia="黑体"/>
          <w:bCs/>
          <w:szCs w:val="21"/>
          <w:highlight w:val="none"/>
        </w:rPr>
      </w:pPr>
      <w:r>
        <w:rPr>
          <w:rFonts w:eastAsia="黑体"/>
          <w:bCs/>
          <w:szCs w:val="21"/>
          <w:highlight w:val="none"/>
        </w:rPr>
        <w:t>六、</w:t>
      </w:r>
      <w:bookmarkEnd w:id="8"/>
      <w:r>
        <w:rPr>
          <w:rFonts w:eastAsia="黑体"/>
          <w:bCs/>
          <w:szCs w:val="21"/>
          <w:highlight w:val="none"/>
        </w:rPr>
        <w:t>风险控制措施或建议</w:t>
      </w:r>
    </w:p>
    <w:p>
      <w:pPr>
        <w:adjustRightInd w:val="0"/>
        <w:snapToGrid w:val="0"/>
        <w:spacing w:line="560" w:lineRule="exact"/>
        <w:rPr>
          <w:rFonts w:eastAsia="仿宋_GB2312"/>
          <w:szCs w:val="21"/>
          <w:highlight w:val="none"/>
        </w:rPr>
      </w:pPr>
      <w:r>
        <w:rPr>
          <w:rFonts w:eastAsia="仿宋_GB2312"/>
          <w:szCs w:val="21"/>
          <w:highlight w:val="none"/>
        </w:rPr>
        <w:t>本产品为身体乳（驻留类化妆品），适用于涂抹于全身，可每日使用。</w:t>
      </w:r>
    </w:p>
    <w:p>
      <w:pPr>
        <w:adjustRightInd w:val="0"/>
        <w:snapToGrid w:val="0"/>
        <w:spacing w:line="560" w:lineRule="exact"/>
        <w:rPr>
          <w:rFonts w:eastAsia="仿宋_GB2312"/>
          <w:szCs w:val="21"/>
          <w:highlight w:val="none"/>
        </w:rPr>
      </w:pPr>
      <w:r>
        <w:rPr>
          <w:rFonts w:eastAsia="仿宋_GB2312"/>
          <w:szCs w:val="21"/>
          <w:highlight w:val="none"/>
        </w:rPr>
        <w:t>本产品无需标注警示用语。</w:t>
      </w:r>
    </w:p>
    <w:p>
      <w:pPr>
        <w:adjustRightInd w:val="0"/>
        <w:snapToGrid w:val="0"/>
        <w:spacing w:line="560" w:lineRule="exact"/>
        <w:rPr>
          <w:rFonts w:eastAsia="黑体"/>
          <w:bCs/>
          <w:szCs w:val="21"/>
          <w:highlight w:val="none"/>
        </w:rPr>
      </w:pPr>
      <w:bookmarkStart w:id="10" w:name="_Toc17913"/>
      <w:r>
        <w:rPr>
          <w:rFonts w:eastAsia="黑体"/>
          <w:bCs/>
          <w:szCs w:val="21"/>
          <w:highlight w:val="none"/>
        </w:rPr>
        <w:t>七、安全评估结论</w:t>
      </w:r>
      <w:bookmarkEnd w:id="10"/>
    </w:p>
    <w:p>
      <w:pPr>
        <w:adjustRightInd w:val="0"/>
        <w:snapToGrid w:val="0"/>
        <w:spacing w:line="560" w:lineRule="exact"/>
        <w:rPr>
          <w:rFonts w:eastAsia="仿宋_GB2312"/>
          <w:szCs w:val="21"/>
          <w:highlight w:val="none"/>
        </w:rPr>
      </w:pPr>
      <w:r>
        <w:rPr>
          <w:rFonts w:eastAsia="仿宋_GB2312"/>
          <w:szCs w:val="21"/>
          <w:highlight w:val="none"/>
        </w:rPr>
        <w:t>本产品为身体乳（驻留类化妆品），可每日使用，涂抹于全身。主要暴露方式为经皮吸收，根据产品的特性，对本产品的暴露评估仅考虑经皮途径。</w:t>
      </w:r>
    </w:p>
    <w:p>
      <w:pPr>
        <w:adjustRightInd w:val="0"/>
        <w:snapToGrid w:val="0"/>
        <w:spacing w:line="560" w:lineRule="exact"/>
        <w:rPr>
          <w:rFonts w:eastAsia="仿宋_GB2312"/>
          <w:szCs w:val="21"/>
          <w:highlight w:val="none"/>
        </w:rPr>
      </w:pPr>
      <w:r>
        <w:rPr>
          <w:rFonts w:eastAsia="仿宋_GB2312"/>
          <w:szCs w:val="21"/>
          <w:highlight w:val="none"/>
        </w:rPr>
        <w:t>通过对产品以下各方面的综合评估：</w:t>
      </w:r>
    </w:p>
    <w:p>
      <w:pPr>
        <w:adjustRightInd w:val="0"/>
        <w:snapToGrid w:val="0"/>
        <w:spacing w:line="560" w:lineRule="exact"/>
        <w:rPr>
          <w:rFonts w:eastAsia="仿宋_GB2312"/>
          <w:szCs w:val="21"/>
          <w:highlight w:val="none"/>
        </w:rPr>
      </w:pPr>
      <w:r>
        <w:rPr>
          <w:rFonts w:eastAsia="仿宋_GB2312"/>
          <w:szCs w:val="21"/>
          <w:highlight w:val="none"/>
        </w:rPr>
        <w:t>1、各成分的安全评估结果显示，所有成分在本产品浓度下不会对人体健康产生危害；</w:t>
      </w:r>
    </w:p>
    <w:p>
      <w:pPr>
        <w:adjustRightInd w:val="0"/>
        <w:snapToGrid w:val="0"/>
        <w:spacing w:line="560" w:lineRule="exact"/>
        <w:rPr>
          <w:rFonts w:eastAsia="仿宋_GB2312"/>
          <w:szCs w:val="21"/>
          <w:highlight w:val="none"/>
        </w:rPr>
      </w:pPr>
      <w:r>
        <w:rPr>
          <w:rFonts w:eastAsia="仿宋_GB2312"/>
          <w:szCs w:val="21"/>
          <w:highlight w:val="none"/>
        </w:rPr>
        <w:t>2、可能存在的安全性风险物质检测及评估结果显示，不会对人体健康产生危害；</w:t>
      </w:r>
    </w:p>
    <w:p>
      <w:pPr>
        <w:adjustRightInd w:val="0"/>
        <w:snapToGrid w:val="0"/>
        <w:spacing w:line="560" w:lineRule="exact"/>
        <w:rPr>
          <w:rFonts w:eastAsia="仿宋_GB2312"/>
          <w:szCs w:val="21"/>
          <w:highlight w:val="none"/>
        </w:rPr>
      </w:pPr>
      <w:r>
        <w:rPr>
          <w:rFonts w:eastAsia="仿宋_GB2312"/>
          <w:szCs w:val="21"/>
          <w:highlight w:val="none"/>
        </w:rPr>
        <w:t>3、防腐剂挑战结果符合有关要求；</w:t>
      </w:r>
    </w:p>
    <w:p>
      <w:pPr>
        <w:adjustRightInd w:val="0"/>
        <w:snapToGrid w:val="0"/>
        <w:spacing w:line="560" w:lineRule="exact"/>
        <w:rPr>
          <w:rFonts w:eastAsia="仿宋_GB2312"/>
          <w:szCs w:val="21"/>
          <w:highlight w:val="none"/>
        </w:rPr>
      </w:pPr>
      <w:r>
        <w:rPr>
          <w:rFonts w:eastAsia="仿宋_GB2312"/>
          <w:szCs w:val="21"/>
          <w:highlight w:val="none"/>
        </w:rPr>
        <w:t xml:space="preserve">4、微生物检验结果显示该产品微生物符合《化妆品安全技术规范》（2015年版）有关要求； </w:t>
      </w:r>
    </w:p>
    <w:p>
      <w:pPr>
        <w:adjustRightInd w:val="0"/>
        <w:snapToGrid w:val="0"/>
        <w:spacing w:line="560" w:lineRule="exact"/>
        <w:rPr>
          <w:rFonts w:eastAsia="仿宋_GB2312"/>
          <w:szCs w:val="21"/>
          <w:highlight w:val="none"/>
        </w:rPr>
      </w:pPr>
      <w:r>
        <w:rPr>
          <w:rFonts w:eastAsia="仿宋_GB2312"/>
          <w:szCs w:val="21"/>
          <w:highlight w:val="none"/>
        </w:rPr>
        <w:t>5、有害物质检测结果显示，该产品有害物质含量符合《化妆品安全技术规范》（2015年版）有关要求;</w:t>
      </w:r>
    </w:p>
    <w:p>
      <w:pPr>
        <w:adjustRightInd w:val="0"/>
        <w:snapToGrid w:val="0"/>
        <w:spacing w:line="560" w:lineRule="exact"/>
        <w:rPr>
          <w:rFonts w:eastAsia="仿宋_GB2312"/>
          <w:szCs w:val="21"/>
          <w:highlight w:val="none"/>
        </w:rPr>
      </w:pPr>
      <w:r>
        <w:rPr>
          <w:rFonts w:eastAsia="仿宋_GB2312"/>
          <w:szCs w:val="21"/>
          <w:highlight w:val="none"/>
        </w:rPr>
        <w:t>6、产品的理化特性、稳定性检测结果显示，符合相关要求；</w:t>
      </w:r>
    </w:p>
    <w:p>
      <w:pPr>
        <w:adjustRightInd w:val="0"/>
        <w:snapToGrid w:val="0"/>
        <w:spacing w:line="560" w:lineRule="exact"/>
        <w:rPr>
          <w:rFonts w:eastAsia="仿宋_GB2312"/>
          <w:szCs w:val="21"/>
          <w:highlight w:val="none"/>
        </w:rPr>
      </w:pPr>
      <w:r>
        <w:rPr>
          <w:rFonts w:eastAsia="仿宋_GB2312"/>
          <w:szCs w:val="21"/>
          <w:highlight w:val="none"/>
        </w:rPr>
        <w:t>7、产品与包装材料的相容性评估结果显示，符合相关要求；</w:t>
      </w:r>
    </w:p>
    <w:p>
      <w:pPr>
        <w:adjustRightInd w:val="0"/>
        <w:snapToGrid w:val="0"/>
        <w:spacing w:line="560" w:lineRule="exact"/>
        <w:rPr>
          <w:rFonts w:eastAsia="仿宋_GB2312"/>
          <w:szCs w:val="21"/>
          <w:highlight w:val="none"/>
        </w:rPr>
      </w:pPr>
      <w:r>
        <w:rPr>
          <w:rFonts w:eastAsia="仿宋_GB2312"/>
          <w:szCs w:val="21"/>
          <w:highlight w:val="none"/>
        </w:rPr>
        <w:t>8、配方中各成分之间未预见发生有害的相互作用</w:t>
      </w:r>
      <w:r>
        <w:rPr>
          <w:rFonts w:hint="eastAsia" w:eastAsia="仿宋_GB2312"/>
          <w:szCs w:val="21"/>
          <w:highlight w:val="none"/>
        </w:rPr>
        <w:t>。</w:t>
      </w:r>
    </w:p>
    <w:p>
      <w:pPr>
        <w:adjustRightInd w:val="0"/>
        <w:snapToGrid w:val="0"/>
        <w:spacing w:line="560" w:lineRule="exact"/>
        <w:rPr>
          <w:rFonts w:eastAsia="仿宋_GB2312"/>
          <w:szCs w:val="21"/>
          <w:highlight w:val="none"/>
        </w:rPr>
      </w:pPr>
      <w:r>
        <w:rPr>
          <w:rFonts w:eastAsia="仿宋_GB2312"/>
          <w:szCs w:val="21"/>
          <w:highlight w:val="none"/>
        </w:rPr>
        <w:t>综上，认为该产品在正常及合理、可预见的使用条件下，不会对人体健康产生危害。</w:t>
      </w:r>
    </w:p>
    <w:bookmarkEnd w:id="9"/>
    <w:p>
      <w:pPr>
        <w:adjustRightInd w:val="0"/>
        <w:snapToGrid w:val="0"/>
        <w:spacing w:line="560" w:lineRule="exact"/>
        <w:rPr>
          <w:rFonts w:eastAsia="黑体"/>
          <w:bCs/>
          <w:szCs w:val="21"/>
          <w:highlight w:val="none"/>
        </w:rPr>
      </w:pPr>
      <w:bookmarkStart w:id="11" w:name="_Toc29387"/>
      <w:r>
        <w:rPr>
          <w:rFonts w:eastAsia="黑体"/>
          <w:bCs/>
          <w:szCs w:val="21"/>
          <w:highlight w:val="none"/>
        </w:rPr>
        <w:t>八、安全评估人员签名</w:t>
      </w:r>
      <w:bookmarkEnd w:id="11"/>
      <w:bookmarkStart w:id="12" w:name="_Toc401479024"/>
      <w:r>
        <w:rPr>
          <w:rFonts w:eastAsia="黑体"/>
          <w:bCs/>
          <w:szCs w:val="21"/>
          <w:highlight w:val="none"/>
        </w:rPr>
        <w:t xml:space="preserve"> </w:t>
      </w:r>
    </w:p>
    <w:p>
      <w:pPr>
        <w:adjustRightInd w:val="0"/>
        <w:snapToGrid w:val="0"/>
        <w:spacing w:line="560" w:lineRule="exact"/>
        <w:rPr>
          <w:rFonts w:eastAsia="仿宋_GB2312"/>
          <w:szCs w:val="21"/>
          <w:highlight w:val="none"/>
        </w:rPr>
      </w:pPr>
      <w:r>
        <w:rPr>
          <w:rFonts w:eastAsia="仿宋_GB2312"/>
          <w:szCs w:val="21"/>
          <w:highlight w:val="none"/>
        </w:rPr>
        <w:t xml:space="preserve">评估人：xxx    </w:t>
      </w:r>
    </w:p>
    <w:p>
      <w:pPr>
        <w:adjustRightInd w:val="0"/>
        <w:snapToGrid w:val="0"/>
        <w:spacing w:line="560" w:lineRule="exact"/>
        <w:rPr>
          <w:rFonts w:eastAsia="仿宋_GB2312"/>
          <w:szCs w:val="21"/>
          <w:highlight w:val="none"/>
        </w:rPr>
      </w:pPr>
      <w:r>
        <w:rPr>
          <w:rFonts w:eastAsia="仿宋_GB2312"/>
          <w:szCs w:val="21"/>
          <w:highlight w:val="none"/>
        </w:rPr>
        <w:t>日期：20xx年xx月xx日</w:t>
      </w:r>
    </w:p>
    <w:p>
      <w:pPr>
        <w:adjustRightInd w:val="0"/>
        <w:snapToGrid w:val="0"/>
        <w:spacing w:line="560" w:lineRule="exact"/>
        <w:rPr>
          <w:rFonts w:eastAsia="仿宋_GB2312"/>
          <w:szCs w:val="21"/>
          <w:highlight w:val="none"/>
        </w:rPr>
      </w:pPr>
      <w:r>
        <w:rPr>
          <w:rFonts w:eastAsia="仿宋_GB2312"/>
          <w:szCs w:val="21"/>
          <w:highlight w:val="none"/>
        </w:rPr>
        <w:t>地址：xxxxxxxxxxxxxx</w:t>
      </w:r>
    </w:p>
    <w:bookmarkEnd w:id="12"/>
    <w:p>
      <w:pPr>
        <w:adjustRightInd w:val="0"/>
        <w:snapToGrid w:val="0"/>
        <w:spacing w:line="560" w:lineRule="exact"/>
        <w:rPr>
          <w:rFonts w:eastAsia="黑体"/>
          <w:bCs/>
          <w:szCs w:val="21"/>
          <w:highlight w:val="none"/>
        </w:rPr>
      </w:pPr>
      <w:bookmarkStart w:id="13" w:name="_Toc6455"/>
      <w:r>
        <w:rPr>
          <w:rFonts w:eastAsia="黑体"/>
          <w:bCs/>
          <w:szCs w:val="21"/>
          <w:highlight w:val="none"/>
        </w:rPr>
        <w:t>九、安全评估人员简历</w:t>
      </w:r>
      <w:bookmarkEnd w:id="13"/>
    </w:p>
    <w:p>
      <w:pPr>
        <w:adjustRightInd w:val="0"/>
        <w:snapToGrid w:val="0"/>
        <w:spacing w:line="560" w:lineRule="exact"/>
        <w:rPr>
          <w:rFonts w:eastAsia="仿宋_GB2312"/>
          <w:szCs w:val="21"/>
          <w:highlight w:val="none"/>
        </w:rPr>
      </w:pPr>
      <w:bookmarkStart w:id="14" w:name="_Toc18105"/>
      <w:r>
        <w:rPr>
          <w:rFonts w:eastAsia="仿宋_GB2312"/>
          <w:szCs w:val="21"/>
          <w:highlight w:val="none"/>
        </w:rPr>
        <w:t>xxxxxx</w:t>
      </w:r>
    </w:p>
    <w:p>
      <w:pPr>
        <w:adjustRightInd w:val="0"/>
        <w:snapToGrid w:val="0"/>
        <w:spacing w:line="560" w:lineRule="exact"/>
        <w:rPr>
          <w:rFonts w:eastAsia="黑体"/>
          <w:bCs/>
          <w:szCs w:val="21"/>
          <w:highlight w:val="none"/>
        </w:rPr>
      </w:pPr>
      <w:r>
        <w:rPr>
          <w:rFonts w:eastAsia="黑体"/>
          <w:bCs/>
          <w:szCs w:val="21"/>
          <w:highlight w:val="none"/>
        </w:rPr>
        <w:t>十、参考文献</w:t>
      </w:r>
      <w:bookmarkEnd w:id="14"/>
    </w:p>
    <w:p>
      <w:pPr>
        <w:adjustRightInd w:val="0"/>
        <w:snapToGrid w:val="0"/>
        <w:spacing w:line="560" w:lineRule="exact"/>
        <w:rPr>
          <w:rFonts w:eastAsia="仿宋_GB2312"/>
          <w:szCs w:val="21"/>
          <w:highlight w:val="none"/>
        </w:rPr>
      </w:pPr>
      <w:r>
        <w:rPr>
          <w:rFonts w:eastAsia="仿宋_GB2312"/>
          <w:szCs w:val="21"/>
          <w:highlight w:val="none"/>
        </w:rPr>
        <w:t>格式举例：</w:t>
      </w:r>
    </w:p>
    <w:p>
      <w:pPr>
        <w:adjustRightInd w:val="0"/>
        <w:snapToGrid w:val="0"/>
        <w:spacing w:line="560" w:lineRule="exact"/>
        <w:rPr>
          <w:rFonts w:eastAsia="仿宋_GB2312"/>
          <w:szCs w:val="21"/>
          <w:highlight w:val="none"/>
        </w:rPr>
      </w:pPr>
      <w:r>
        <w:rPr>
          <w:rFonts w:eastAsia="仿宋_GB2312"/>
          <w:szCs w:val="21"/>
          <w:highlight w:val="none"/>
        </w:rPr>
        <w:t>1. 国家食品药品监督管理总局，关于发布化妆品安全技术规范（2015年版）的公告，2015年第268号</w:t>
      </w:r>
    </w:p>
    <w:p>
      <w:pPr>
        <w:adjustRightInd w:val="0"/>
        <w:snapToGrid w:val="0"/>
        <w:spacing w:line="560" w:lineRule="exact"/>
        <w:rPr>
          <w:rFonts w:eastAsia="仿宋_GB2312"/>
          <w:szCs w:val="21"/>
          <w:highlight w:val="none"/>
        </w:rPr>
      </w:pPr>
      <w:r>
        <w:rPr>
          <w:rFonts w:eastAsia="仿宋_GB2312"/>
          <w:szCs w:val="21"/>
          <w:highlight w:val="none"/>
        </w:rPr>
        <w:t>2. Ralph Gingell, Jeannie B. Kirkpatrick, and David R. Subchronic Toxicity Study of 1,3-Propanediol Administered Orally to Rats. International Journal of Toxicology, 2000,19: 27–32</w:t>
      </w:r>
    </w:p>
    <w:p>
      <w:pPr>
        <w:adjustRightInd w:val="0"/>
        <w:snapToGrid w:val="0"/>
        <w:spacing w:line="560" w:lineRule="exact"/>
        <w:rPr>
          <w:rFonts w:eastAsia="仿宋_GB2312"/>
          <w:szCs w:val="21"/>
          <w:highlight w:val="none"/>
        </w:rPr>
      </w:pPr>
      <w:r>
        <w:rPr>
          <w:rFonts w:eastAsia="仿宋_GB2312"/>
          <w:szCs w:val="21"/>
          <w:highlight w:val="none"/>
        </w:rPr>
        <w:t>3. Safety Assessment of Brown Algae-Derived Ingredients as Used in Cosmetics. Final report 2019 available from CIR</w:t>
      </w:r>
    </w:p>
    <w:p>
      <w:pPr>
        <w:adjustRightInd w:val="0"/>
        <w:snapToGrid w:val="0"/>
        <w:spacing w:line="560" w:lineRule="exact"/>
        <w:rPr>
          <w:rFonts w:eastAsia="仿宋_GB2312"/>
          <w:szCs w:val="21"/>
          <w:highlight w:val="none"/>
        </w:rPr>
      </w:pPr>
      <w:r>
        <w:rPr>
          <w:rFonts w:eastAsia="仿宋_GB2312"/>
          <w:szCs w:val="21"/>
          <w:highlight w:val="none"/>
        </w:rPr>
        <w:t>说明：参考文献按照格式要求列出明确的出处及来源，原文留档备查，无需提交。</w:t>
      </w:r>
      <w:bookmarkStart w:id="15" w:name="_Toc9616"/>
    </w:p>
    <w:p>
      <w:pPr>
        <w:adjustRightInd w:val="0"/>
        <w:snapToGrid w:val="0"/>
        <w:spacing w:line="560" w:lineRule="exact"/>
        <w:rPr>
          <w:rFonts w:eastAsia="黑体"/>
          <w:bCs/>
          <w:szCs w:val="21"/>
          <w:highlight w:val="none"/>
        </w:rPr>
      </w:pPr>
      <w:r>
        <w:rPr>
          <w:rFonts w:eastAsia="黑体"/>
          <w:bCs/>
          <w:szCs w:val="21"/>
          <w:highlight w:val="none"/>
        </w:rPr>
        <w:t>十一、附录</w:t>
      </w:r>
      <w:bookmarkEnd w:id="15"/>
    </w:p>
    <w:p>
      <w:pPr>
        <w:adjustRightInd w:val="0"/>
        <w:snapToGrid w:val="0"/>
        <w:spacing w:line="560" w:lineRule="exact"/>
        <w:rPr>
          <w:rFonts w:eastAsia="仿宋_GB2312"/>
          <w:szCs w:val="21"/>
          <w:highlight w:val="none"/>
        </w:rPr>
      </w:pPr>
      <w:r>
        <w:rPr>
          <w:rFonts w:eastAsia="仿宋_GB2312"/>
          <w:szCs w:val="21"/>
          <w:highlight w:val="none"/>
        </w:rPr>
        <w:t>1、香精的IFRA证书（也可提供原料供应商提供的其他证明文件或符合GB/T 22731-2017 日用香精标准声明等）</w:t>
      </w:r>
    </w:p>
    <w:p>
      <w:pPr>
        <w:adjustRightInd w:val="0"/>
        <w:snapToGrid w:val="0"/>
        <w:spacing w:line="560" w:lineRule="exact"/>
        <w:rPr>
          <w:rFonts w:eastAsia="仿宋_GB2312"/>
          <w:szCs w:val="21"/>
          <w:highlight w:val="none"/>
        </w:rPr>
      </w:pPr>
      <w:r>
        <w:rPr>
          <w:rFonts w:eastAsia="仿宋_GB2312"/>
          <w:szCs w:val="21"/>
          <w:highlight w:val="none"/>
        </w:rPr>
        <w:t>2、原料供应商提供的1,3-丙二醇、花生醇毒理学检测报告（也可提供原料供应商提供的符合要求的证明文件）</w:t>
      </w:r>
    </w:p>
    <w:p>
      <w:pPr>
        <w:adjustRightInd w:val="0"/>
        <w:snapToGrid w:val="0"/>
        <w:spacing w:line="560" w:lineRule="exact"/>
        <w:rPr>
          <w:rFonts w:eastAsia="仿宋_GB2312"/>
          <w:szCs w:val="21"/>
          <w:highlight w:val="none"/>
        </w:rPr>
      </w:pPr>
      <w:r>
        <w:rPr>
          <w:rFonts w:eastAsia="仿宋_GB2312"/>
          <w:szCs w:val="21"/>
          <w:highlight w:val="none"/>
        </w:rPr>
        <w:t>3、产品中二甘醇、苯酚、二噁烷检测报告（除注册或备案要求的检验项目外，其他也可根据原料供应商提供的相关材料进行推算）</w:t>
      </w:r>
    </w:p>
    <w:p>
      <w:pPr>
        <w:adjustRightInd w:val="0"/>
        <w:snapToGrid w:val="0"/>
        <w:spacing w:line="560" w:lineRule="exact"/>
        <w:rPr>
          <w:rFonts w:eastAsia="仿宋_GB2312"/>
          <w:szCs w:val="21"/>
          <w:highlight w:val="none"/>
        </w:rPr>
      </w:pPr>
      <w:r>
        <w:rPr>
          <w:rFonts w:eastAsia="仿宋_GB2312"/>
          <w:szCs w:val="21"/>
          <w:highlight w:val="none"/>
        </w:rPr>
        <w:t>4、防腐剂挑战报告</w:t>
      </w:r>
    </w:p>
    <w:p>
      <w:pPr>
        <w:adjustRightInd w:val="0"/>
        <w:snapToGrid w:val="0"/>
        <w:spacing w:line="560" w:lineRule="exact"/>
        <w:rPr>
          <w:rFonts w:eastAsia="仿宋_GB2312"/>
          <w:szCs w:val="21"/>
          <w:highlight w:val="none"/>
        </w:rPr>
      </w:pPr>
      <w:r>
        <w:rPr>
          <w:rFonts w:eastAsia="仿宋_GB2312"/>
          <w:szCs w:val="21"/>
          <w:highlight w:val="none"/>
        </w:rPr>
        <w:t>5、微生物检测报告（注册备案资料要求已经提交的，无需重复提交）</w:t>
      </w:r>
    </w:p>
    <w:p>
      <w:pPr>
        <w:adjustRightInd w:val="0"/>
        <w:snapToGrid w:val="0"/>
        <w:spacing w:line="560" w:lineRule="exact"/>
        <w:rPr>
          <w:rFonts w:eastAsia="仿宋_GB2312"/>
          <w:szCs w:val="21"/>
          <w:highlight w:val="none"/>
        </w:rPr>
      </w:pPr>
      <w:r>
        <w:rPr>
          <w:rFonts w:eastAsia="仿宋_GB2312"/>
          <w:szCs w:val="21"/>
          <w:highlight w:val="none"/>
        </w:rPr>
        <w:t>6、有害物质检测报告（注册备案资料要求已经提交的，无需重复提交）</w:t>
      </w:r>
    </w:p>
    <w:p>
      <w:pPr>
        <w:adjustRightInd w:val="0"/>
        <w:snapToGrid w:val="0"/>
        <w:spacing w:line="560" w:lineRule="exact"/>
        <w:rPr>
          <w:rFonts w:eastAsia="仿宋_GB2312"/>
          <w:szCs w:val="21"/>
          <w:highlight w:val="none"/>
        </w:rPr>
      </w:pPr>
      <w:r>
        <w:rPr>
          <w:rFonts w:eastAsia="仿宋_GB2312"/>
          <w:szCs w:val="21"/>
          <w:highlight w:val="none"/>
        </w:rPr>
        <w:t>7、理化特性、稳定性</w:t>
      </w:r>
      <w:r>
        <w:rPr>
          <w:rFonts w:hint="eastAsia" w:eastAsia="仿宋_GB2312"/>
          <w:szCs w:val="21"/>
          <w:highlight w:val="none"/>
        </w:rPr>
        <w:t>报告</w:t>
      </w:r>
    </w:p>
    <w:p>
      <w:pPr>
        <w:adjustRightInd w:val="0"/>
        <w:snapToGrid w:val="0"/>
        <w:spacing w:line="560" w:lineRule="exact"/>
        <w:rPr>
          <w:rFonts w:eastAsia="仿宋_GB2312"/>
          <w:szCs w:val="21"/>
          <w:highlight w:val="none"/>
        </w:rPr>
      </w:pPr>
      <w:r>
        <w:rPr>
          <w:rFonts w:eastAsia="仿宋_GB2312"/>
          <w:szCs w:val="21"/>
          <w:highlight w:val="none"/>
        </w:rPr>
        <w:t>8、包装材料相容性检测报告</w:t>
      </w:r>
    </w:p>
    <w:p>
      <w:pPr>
        <w:adjustRightInd w:val="0"/>
        <w:snapToGrid w:val="0"/>
        <w:spacing w:line="560" w:lineRule="exact"/>
        <w:rPr>
          <w:rFonts w:eastAsia="仿宋_GB2312"/>
          <w:szCs w:val="21"/>
          <w:highlight w:val="none"/>
        </w:rPr>
      </w:pPr>
      <w:r>
        <w:rPr>
          <w:rFonts w:hint="eastAsia" w:eastAsia="仿宋_GB2312"/>
          <w:szCs w:val="21"/>
          <w:highlight w:val="none"/>
        </w:rPr>
        <w:t>注：此报告仅为示例，实际进行产品评估时，需按照本导则结合产品的具体情况进行评估。</w:t>
      </w:r>
    </w:p>
    <w:p>
      <w:pPr>
        <w:spacing w:line="620" w:lineRule="exact"/>
        <w:jc w:val="left"/>
        <w:rPr>
          <w:rFonts w:ascii="方正小标宋简体" w:eastAsia="方正小标宋简体"/>
          <w:sz w:val="28"/>
          <w:szCs w:val="28"/>
          <w:highlight w:val="none"/>
        </w:rPr>
      </w:pPr>
      <w:r>
        <w:rPr>
          <w:rFonts w:eastAsia="仿宋"/>
          <w:szCs w:val="21"/>
          <w:highlight w:val="none"/>
        </w:rPr>
        <w:br w:type="page"/>
      </w:r>
      <w:bookmarkStart w:id="16" w:name="_Toc67575729"/>
      <w:r>
        <w:rPr>
          <w:rFonts w:hint="eastAsia" w:ascii="方正小标宋简体" w:eastAsia="方正小标宋简体"/>
          <w:sz w:val="28"/>
          <w:szCs w:val="28"/>
          <w:highlight w:val="none"/>
        </w:rPr>
        <w:t>附</w:t>
      </w:r>
      <w:bookmarkEnd w:id="16"/>
      <w:r>
        <w:rPr>
          <w:rFonts w:hint="eastAsia" w:ascii="方正小标宋简体" w:eastAsia="方正小标宋简体"/>
          <w:sz w:val="28"/>
          <w:szCs w:val="28"/>
          <w:highlight w:val="none"/>
        </w:rPr>
        <w:t>13</w:t>
      </w:r>
    </w:p>
    <w:p>
      <w:pPr>
        <w:spacing w:before="120"/>
        <w:rPr>
          <w:rFonts w:eastAsia="黑体"/>
          <w:szCs w:val="21"/>
          <w:highlight w:val="none"/>
        </w:rPr>
      </w:pPr>
    </w:p>
    <w:p>
      <w:pPr>
        <w:spacing w:before="120"/>
        <w:jc w:val="center"/>
        <w:rPr>
          <w:sz w:val="28"/>
          <w:szCs w:val="28"/>
          <w:highlight w:val="none"/>
        </w:rPr>
      </w:pPr>
      <w:r>
        <w:rPr>
          <w:rFonts w:eastAsia="方正小标宋简体"/>
          <w:sz w:val="28"/>
          <w:szCs w:val="28"/>
          <w:highlight w:val="none"/>
        </w:rPr>
        <w:t>化妆品安全评估报告示例（简化版）</w:t>
      </w:r>
    </w:p>
    <w:p>
      <w:pPr>
        <w:adjustRightInd w:val="0"/>
        <w:snapToGrid w:val="0"/>
        <w:spacing w:before="120"/>
        <w:jc w:val="right"/>
        <w:rPr>
          <w:szCs w:val="21"/>
          <w:highlight w:val="none"/>
        </w:rPr>
      </w:pPr>
      <w:r>
        <w:rPr>
          <w:szCs w:val="21"/>
          <w:highlight w:val="none"/>
        </w:rPr>
        <w:t xml:space="preserve">                                              注：本报告格式和内容仅供参考</w:t>
      </w:r>
    </w:p>
    <w:p>
      <w:pPr>
        <w:adjustRightInd w:val="0"/>
        <w:snapToGrid w:val="0"/>
        <w:spacing w:before="120"/>
        <w:rPr>
          <w:szCs w:val="21"/>
          <w:highlight w:val="none"/>
        </w:rPr>
      </w:pPr>
    </w:p>
    <w:p>
      <w:pPr>
        <w:adjustRightInd w:val="0"/>
        <w:snapToGrid w:val="0"/>
        <w:spacing w:before="120"/>
        <w:rPr>
          <w:szCs w:val="21"/>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题    目：</w:t>
      </w:r>
      <w:r>
        <w:rPr>
          <w:rFonts w:ascii="Times New Roman" w:hAnsi="Times New Roman" w:eastAsia="仿宋_GB2312" w:cs="Times New Roman"/>
          <w:kern w:val="0"/>
          <w:szCs w:val="21"/>
          <w:highlight w:val="none"/>
          <w:u w:val="single"/>
        </w:rPr>
        <w:t>（产品名称）安全评估报告</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注册人/备案人名称：</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注册人/备案人地址：</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评估单位：</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 估 人：</w:t>
      </w:r>
      <w:r>
        <w:rPr>
          <w:rFonts w:ascii="Times New Roman" w:hAnsi="Times New Roman" w:eastAsia="仿宋_GB2312" w:cs="Times New Roman"/>
          <w:kern w:val="0"/>
          <w:szCs w:val="21"/>
          <w:highlight w:val="none"/>
          <w:u w:val="single"/>
        </w:rPr>
        <w:t xml:space="preserve">                       </w:t>
      </w:r>
      <w:r>
        <w:rPr>
          <w:rFonts w:hint="eastAsia"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评估日期：</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年</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月</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日</w:t>
      </w:r>
    </w:p>
    <w:p>
      <w:pPr>
        <w:spacing w:line="600" w:lineRule="exact"/>
        <w:jc w:val="center"/>
        <w:rPr>
          <w:szCs w:val="21"/>
          <w:highlight w:val="none"/>
        </w:rPr>
      </w:pPr>
      <w:r>
        <w:rPr>
          <w:szCs w:val="21"/>
          <w:highlight w:val="none"/>
        </w:rPr>
        <w:br w:type="page"/>
      </w:r>
    </w:p>
    <w:p>
      <w:pPr>
        <w:spacing w:line="600" w:lineRule="exact"/>
        <w:jc w:val="center"/>
        <w:rPr>
          <w:rFonts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t>目  录</w:t>
      </w:r>
    </w:p>
    <w:p>
      <w:pPr>
        <w:spacing w:line="600" w:lineRule="exact"/>
        <w:jc w:val="center"/>
        <w:rPr>
          <w:rFonts w:eastAsia="方正小标宋简体"/>
          <w:szCs w:val="21"/>
          <w:highlight w:val="none"/>
        </w:rPr>
      </w:pP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一、摘要</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二、产品简介</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三、产品配方</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四、配方中各成分的安全评估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9</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五、可能存在的风险物质评估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63</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六、风险控制措施或建议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64</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七、安全评估结论</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4</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八、安全评估人员签名</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九、安全评估人员简历</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十、参考文献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tabs>
          <w:tab w:val="left" w:pos="1140"/>
          <w:tab w:val="right" w:leader="middleDot" w:pos="8820"/>
        </w:tabs>
        <w:adjustRightInd w:val="0"/>
        <w:snapToGrid w:val="0"/>
        <w:spacing w:line="600" w:lineRule="exact"/>
        <w:rPr>
          <w:rFonts w:ascii="Times New Roman" w:hAnsi="Times New Roman" w:eastAsia="黑体" w:cs="Times New Roman"/>
          <w:b/>
          <w:kern w:val="0"/>
          <w:szCs w:val="21"/>
          <w:highlight w:val="none"/>
        </w:rPr>
      </w:pPr>
      <w:r>
        <w:rPr>
          <w:rFonts w:ascii="Times New Roman" w:hAnsi="Times New Roman" w:eastAsia="黑体" w:cs="Times New Roman"/>
          <w:kern w:val="0"/>
          <w:szCs w:val="21"/>
          <w:highlight w:val="none"/>
        </w:rPr>
        <w:t>十一、附录</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spacing w:line="590" w:lineRule="exact"/>
        <w:jc w:val="left"/>
        <w:rPr>
          <w:rFonts w:eastAsia="黑体"/>
          <w:bCs/>
          <w:szCs w:val="21"/>
          <w:highlight w:val="none"/>
        </w:rPr>
      </w:pPr>
      <w:r>
        <w:rPr>
          <w:rFonts w:eastAsia="黑体"/>
          <w:bCs/>
          <w:szCs w:val="21"/>
          <w:highlight w:val="none"/>
        </w:rPr>
        <w:br w:type="page"/>
      </w:r>
      <w:r>
        <w:rPr>
          <w:rFonts w:eastAsia="黑体"/>
          <w:bCs/>
          <w:szCs w:val="21"/>
          <w:highlight w:val="none"/>
        </w:rPr>
        <w:t>一、摘要</w:t>
      </w:r>
    </w:p>
    <w:p>
      <w:pPr>
        <w:adjustRightInd w:val="0"/>
        <w:snapToGrid w:val="0"/>
        <w:spacing w:line="590" w:lineRule="exact"/>
        <w:rPr>
          <w:rFonts w:eastAsia="仿宋_GB2312"/>
          <w:szCs w:val="21"/>
          <w:highlight w:val="none"/>
        </w:rPr>
      </w:pPr>
      <w:r>
        <w:rPr>
          <w:rFonts w:eastAsia="仿宋_GB2312"/>
          <w:szCs w:val="21"/>
          <w:highlight w:val="none"/>
        </w:rPr>
        <w:t>xxx面霜为驻留类化妆品，适用于面部，依据《化妆品安全评估技术导则》有关规定，对配方所用的水、甘油、鲸蜡醇、花生醇、苯氧乙醇、香精和二棕榈酰羟脯氨酸等7种原料进行评估，对产品的有害物质和微生物等进行了检测，可能存在的二甘醇和苯酚等2种风险物质进行评估。结果显示，该产品在正常、合理及可预见的使用情况下，不会对人体健康产生危害。</w:t>
      </w:r>
    </w:p>
    <w:p>
      <w:pPr>
        <w:adjustRightInd w:val="0"/>
        <w:snapToGrid w:val="0"/>
        <w:spacing w:line="590" w:lineRule="exact"/>
        <w:rPr>
          <w:rFonts w:eastAsia="黑体"/>
          <w:bCs/>
          <w:szCs w:val="21"/>
          <w:highlight w:val="none"/>
        </w:rPr>
      </w:pPr>
      <w:r>
        <w:rPr>
          <w:rFonts w:eastAsia="黑体"/>
          <w:bCs/>
          <w:szCs w:val="21"/>
          <w:highlight w:val="none"/>
        </w:rPr>
        <w:t>二、产品简介</w:t>
      </w:r>
    </w:p>
    <w:p>
      <w:pPr>
        <w:adjustRightInd w:val="0"/>
        <w:snapToGrid w:val="0"/>
        <w:spacing w:line="590" w:lineRule="exact"/>
        <w:rPr>
          <w:rFonts w:eastAsia="仿宋_GB2312"/>
          <w:szCs w:val="21"/>
          <w:highlight w:val="none"/>
        </w:rPr>
      </w:pPr>
      <w:r>
        <w:rPr>
          <w:rFonts w:eastAsia="仿宋_GB2312"/>
          <w:szCs w:val="21"/>
          <w:highlight w:val="none"/>
        </w:rPr>
        <w:t>1、产品名称：xxx面霜</w:t>
      </w:r>
    </w:p>
    <w:p>
      <w:pPr>
        <w:adjustRightInd w:val="0"/>
        <w:snapToGrid w:val="0"/>
        <w:spacing w:line="590" w:lineRule="exact"/>
        <w:rPr>
          <w:rFonts w:eastAsia="仿宋_GB2312"/>
          <w:szCs w:val="21"/>
          <w:highlight w:val="none"/>
        </w:rPr>
      </w:pPr>
      <w:r>
        <w:rPr>
          <w:rFonts w:eastAsia="仿宋_GB2312"/>
          <w:szCs w:val="21"/>
          <w:highlight w:val="none"/>
        </w:rPr>
        <w:t>2、产品使用方法：本产品可涂抹于面部。</w:t>
      </w:r>
    </w:p>
    <w:p>
      <w:pPr>
        <w:adjustRightInd w:val="0"/>
        <w:snapToGrid w:val="0"/>
        <w:spacing w:line="590" w:lineRule="exact"/>
        <w:rPr>
          <w:rFonts w:eastAsia="仿宋_GB2312"/>
          <w:szCs w:val="21"/>
          <w:highlight w:val="none"/>
        </w:rPr>
      </w:pPr>
      <w:r>
        <w:rPr>
          <w:rFonts w:eastAsia="仿宋_GB2312"/>
          <w:szCs w:val="21"/>
          <w:highlight w:val="none"/>
        </w:rPr>
        <w:t>3、日均使用量 （g/day）：1.54</w:t>
      </w:r>
      <w:r>
        <w:rPr>
          <w:rFonts w:eastAsia="仿宋_GB2312"/>
          <w:szCs w:val="21"/>
          <w:highlight w:val="none"/>
          <w:vertAlign w:val="superscript"/>
        </w:rPr>
        <w:t>*</w:t>
      </w:r>
    </w:p>
    <w:p>
      <w:pPr>
        <w:adjustRightInd w:val="0"/>
        <w:snapToGrid w:val="0"/>
        <w:spacing w:line="590" w:lineRule="exact"/>
        <w:rPr>
          <w:rFonts w:eastAsia="仿宋_GB2312"/>
          <w:szCs w:val="21"/>
          <w:highlight w:val="none"/>
        </w:rPr>
      </w:pPr>
      <w:r>
        <w:rPr>
          <w:rFonts w:eastAsia="仿宋_GB2312"/>
          <w:szCs w:val="21"/>
          <w:highlight w:val="none"/>
        </w:rPr>
        <w:t>4、产品驻留因子： 1.00</w:t>
      </w:r>
    </w:p>
    <w:p>
      <w:pPr>
        <w:adjustRightInd w:val="0"/>
        <w:snapToGrid w:val="0"/>
        <w:spacing w:line="590" w:lineRule="exact"/>
        <w:rPr>
          <w:rFonts w:eastAsia="仿宋_GB2312"/>
          <w:szCs w:val="21"/>
          <w:highlight w:val="none"/>
        </w:rPr>
      </w:pPr>
      <w:r>
        <w:rPr>
          <w:rFonts w:eastAsia="仿宋_GB2312"/>
          <w:szCs w:val="21"/>
          <w:highlight w:val="none"/>
        </w:rPr>
        <w:t>5、暴露剂量（SED）=日均使用量×驻留因子×成分在配方中百分比×经皮吸收率÷体重</w:t>
      </w:r>
      <w:r>
        <w:rPr>
          <w:rFonts w:eastAsia="仿宋_GB2312"/>
          <w:szCs w:val="21"/>
          <w:highlight w:val="none"/>
          <w:vertAlign w:val="superscript"/>
        </w:rPr>
        <w:t>#</w:t>
      </w:r>
    </w:p>
    <w:p>
      <w:pPr>
        <w:adjustRightInd w:val="0"/>
        <w:snapToGrid w:val="0"/>
        <w:spacing w:line="590" w:lineRule="exact"/>
        <w:rPr>
          <w:rFonts w:eastAsia="仿宋_GB2312"/>
          <w:szCs w:val="21"/>
          <w:highlight w:val="none"/>
        </w:rPr>
      </w:pPr>
      <w:r>
        <w:rPr>
          <w:rFonts w:eastAsia="仿宋_GB2312"/>
          <w:szCs w:val="21"/>
          <w:highlight w:val="none"/>
        </w:rPr>
        <w:t>注：</w:t>
      </w:r>
      <w:r>
        <w:rPr>
          <w:rFonts w:eastAsia="仿宋_GB2312"/>
          <w:szCs w:val="21"/>
          <w:highlight w:val="none"/>
          <w:vertAlign w:val="superscript"/>
        </w:rPr>
        <w:t>*</w:t>
      </w:r>
      <w:r>
        <w:rPr>
          <w:rFonts w:eastAsia="仿宋_GB2312"/>
          <w:szCs w:val="21"/>
          <w:highlight w:val="none"/>
        </w:rPr>
        <w:t>日均使用量参考《THE SCCS NOTES OF GUIDANCE FOR THE TESTING OF COSMETIC INGREDIENTS AND THEIR SAFETY EVALUATION （10TH REVISION）》。</w:t>
      </w:r>
    </w:p>
    <w:p>
      <w:pPr>
        <w:adjustRightInd w:val="0"/>
        <w:snapToGrid w:val="0"/>
        <w:spacing w:line="590" w:lineRule="exact"/>
        <w:rPr>
          <w:rFonts w:eastAsia="仿宋_GB2312"/>
          <w:szCs w:val="21"/>
          <w:highlight w:val="none"/>
        </w:rPr>
      </w:pPr>
      <w:r>
        <w:rPr>
          <w:rFonts w:eastAsia="仿宋_GB2312"/>
          <w:szCs w:val="21"/>
          <w:highlight w:val="none"/>
          <w:vertAlign w:val="superscript"/>
        </w:rPr>
        <w:t>#</w:t>
      </w:r>
      <w:r>
        <w:rPr>
          <w:rFonts w:eastAsia="仿宋_GB2312"/>
          <w:szCs w:val="21"/>
          <w:highlight w:val="none"/>
        </w:rPr>
        <w:t xml:space="preserve"> 体重一般为默认的成人体重（60 kg）；经皮吸收率以100%计。</w:t>
      </w:r>
    </w:p>
    <w:p>
      <w:pPr>
        <w:adjustRightInd w:val="0"/>
        <w:snapToGrid w:val="0"/>
        <w:spacing w:line="590" w:lineRule="exact"/>
        <w:rPr>
          <w:rFonts w:eastAsia="黑体"/>
          <w:bCs/>
          <w:szCs w:val="21"/>
          <w:highlight w:val="none"/>
        </w:rPr>
      </w:pPr>
      <w:r>
        <w:rPr>
          <w:rFonts w:eastAsia="黑体"/>
          <w:bCs/>
          <w:szCs w:val="21"/>
          <w:highlight w:val="none"/>
        </w:rPr>
        <w:t>三、产品配方</w:t>
      </w:r>
    </w:p>
    <w:p>
      <w:pPr>
        <w:adjustRightInd w:val="0"/>
        <w:snapToGrid w:val="0"/>
        <w:spacing w:line="590" w:lineRule="exact"/>
        <w:rPr>
          <w:rFonts w:eastAsia="仿宋_GB2312"/>
          <w:szCs w:val="21"/>
          <w:highlight w:val="none"/>
        </w:rPr>
      </w:pPr>
      <w:r>
        <w:rPr>
          <w:rFonts w:eastAsia="仿宋_GB2312"/>
          <w:szCs w:val="21"/>
          <w:highlight w:val="none"/>
        </w:rPr>
        <w:t>本配方中所使用的成分均已列入《已使用化妆品原料目录》或《化妆品安全技术规范》（2015年版），产品配方表见表1。</w:t>
      </w:r>
    </w:p>
    <w:p>
      <w:pPr>
        <w:spacing w:before="159" w:beforeLines="50" w:after="159"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表1  产品配方表</w:t>
      </w:r>
    </w:p>
    <w:tbl>
      <w:tblPr>
        <w:tblStyle w:val="7"/>
        <w:tblW w:w="0" w:type="auto"/>
        <w:jc w:val="center"/>
        <w:tblLayout w:type="fixed"/>
        <w:tblCellMar>
          <w:top w:w="0" w:type="dxa"/>
          <w:left w:w="108" w:type="dxa"/>
          <w:bottom w:w="0" w:type="dxa"/>
          <w:right w:w="108" w:type="dxa"/>
        </w:tblCellMar>
      </w:tblPr>
      <w:tblGrid>
        <w:gridCol w:w="801"/>
        <w:gridCol w:w="1415"/>
        <w:gridCol w:w="1984"/>
        <w:gridCol w:w="1494"/>
        <w:gridCol w:w="1133"/>
        <w:gridCol w:w="1373"/>
      </w:tblGrid>
      <w:tr>
        <w:tblPrEx>
          <w:tblCellMar>
            <w:top w:w="0" w:type="dxa"/>
            <w:left w:w="108" w:type="dxa"/>
            <w:bottom w:w="0" w:type="dxa"/>
            <w:right w:w="108" w:type="dxa"/>
          </w:tblCellMar>
        </w:tblPrEx>
        <w:trPr>
          <w:trHeight w:val="1212" w:hRule="atLeast"/>
          <w:tblHeader/>
          <w:jc w:val="center"/>
        </w:trPr>
        <w:tc>
          <w:tcPr>
            <w:tcW w:w="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序号</w:t>
            </w:r>
          </w:p>
        </w:tc>
        <w:tc>
          <w:tcPr>
            <w:tcW w:w="1415"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中文名称</w:t>
            </w:r>
          </w:p>
        </w:tc>
        <w:tc>
          <w:tcPr>
            <w:tcW w:w="1984"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INCI名称/英文名称</w:t>
            </w:r>
          </w:p>
        </w:tc>
        <w:tc>
          <w:tcPr>
            <w:tcW w:w="1494"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使用</w:t>
            </w:r>
          </w:p>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目的</w:t>
            </w:r>
          </w:p>
        </w:tc>
        <w:tc>
          <w:tcPr>
            <w:tcW w:w="113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在《已使用原料目录》中的序号</w:t>
            </w:r>
          </w:p>
        </w:tc>
        <w:tc>
          <w:tcPr>
            <w:tcW w:w="137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备注</w:t>
            </w:r>
          </w:p>
        </w:tc>
      </w:tr>
      <w:tr>
        <w:tblPrEx>
          <w:tblCellMar>
            <w:top w:w="0" w:type="dxa"/>
            <w:left w:w="108" w:type="dxa"/>
            <w:bottom w:w="0" w:type="dxa"/>
            <w:right w:w="108" w:type="dxa"/>
          </w:tblCellMar>
        </w:tblPrEx>
        <w:trPr>
          <w:trHeight w:val="580"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1494"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溶剂</w:t>
            </w:r>
          </w:p>
        </w:tc>
        <w:tc>
          <w:tcPr>
            <w:tcW w:w="113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06260</w:t>
            </w:r>
          </w:p>
        </w:tc>
        <w:tc>
          <w:tcPr>
            <w:tcW w:w="137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0"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甘油</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GLYCERIN</w:t>
            </w:r>
          </w:p>
        </w:tc>
        <w:tc>
          <w:tcPr>
            <w:tcW w:w="1494"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13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02421</w:t>
            </w:r>
          </w:p>
        </w:tc>
        <w:tc>
          <w:tcPr>
            <w:tcW w:w="137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39"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鲸蜡醇</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CETYL ALCOHOL</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增稠剂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03526</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76"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ARACHIDYL ALCOHOL</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润肤剂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02992</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718" w:hRule="atLeast"/>
          <w:jc w:val="center"/>
        </w:trPr>
        <w:tc>
          <w:tcPr>
            <w:tcW w:w="801" w:type="dxa"/>
            <w:tcBorders>
              <w:top w:val="nil"/>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PHENOXYETHANOL</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防腐剂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01294</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《化妆品安全技术规范》准用防腐剂（表4）序号37</w:t>
            </w:r>
          </w:p>
        </w:tc>
      </w:tr>
      <w:tr>
        <w:tblPrEx>
          <w:tblCellMar>
            <w:top w:w="0" w:type="dxa"/>
            <w:left w:w="108" w:type="dxa"/>
            <w:bottom w:w="0" w:type="dxa"/>
            <w:right w:w="108" w:type="dxa"/>
          </w:tblCellMar>
        </w:tblPrEx>
        <w:trPr>
          <w:trHeight w:val="849" w:hRule="atLeast"/>
          <w:jc w:val="center"/>
        </w:trPr>
        <w:tc>
          <w:tcPr>
            <w:tcW w:w="801" w:type="dxa"/>
            <w:tcBorders>
              <w:top w:val="nil"/>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PARFUM</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芳香剂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07008</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117"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DIPALMITOYL HYDROXYPROLINE</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02255</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bl>
    <w:p>
      <w:pPr>
        <w:spacing w:line="560" w:lineRule="exact"/>
        <w:rPr>
          <w:b/>
          <w:bCs/>
          <w:szCs w:val="21"/>
          <w:highlight w:val="none"/>
        </w:rPr>
      </w:pPr>
      <w:r>
        <w:rPr>
          <w:bCs/>
          <w:szCs w:val="21"/>
          <w:highlight w:val="none"/>
        </w:rPr>
        <w:t>注：本配方仅为示例，非实际配方。产品配方应提供全部原料，并按照含量递减顺序排列。</w:t>
      </w:r>
    </w:p>
    <w:p>
      <w:pPr>
        <w:spacing w:before="319" w:beforeLines="100" w:after="159" w:afterLines="50"/>
        <w:rPr>
          <w:szCs w:val="21"/>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14" w:left="1531" w:header="851" w:footer="680" w:gutter="0"/>
          <w:cols w:space="720" w:num="1"/>
          <w:docGrid w:type="lines" w:linePitch="319" w:charSpace="0"/>
        </w:sectPr>
      </w:pPr>
    </w:p>
    <w:p>
      <w:pPr>
        <w:adjustRightInd w:val="0"/>
        <w:snapToGrid w:val="0"/>
        <w:spacing w:line="360" w:lineRule="auto"/>
        <w:rPr>
          <w:rFonts w:eastAsia="黑体"/>
          <w:bCs/>
          <w:szCs w:val="21"/>
          <w:highlight w:val="none"/>
        </w:rPr>
      </w:pPr>
      <w:r>
        <w:rPr>
          <w:rFonts w:eastAsia="黑体"/>
          <w:bCs/>
          <w:szCs w:val="21"/>
          <w:highlight w:val="none"/>
        </w:rPr>
        <w:t>四、配方中各成分的安全评估</w:t>
      </w:r>
    </w:p>
    <w:p>
      <w:pPr>
        <w:spacing w:before="163" w:beforeLines="50" w:after="163"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表2  各成分的安全评估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36"/>
        <w:gridCol w:w="1279"/>
        <w:gridCol w:w="1847"/>
        <w:gridCol w:w="1704"/>
        <w:gridCol w:w="1278"/>
        <w:gridCol w:w="1136"/>
        <w:gridCol w:w="468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786" w:type="dxa"/>
            <w:shd w:val="clear" w:color="auto" w:fill="auto"/>
            <w:vAlign w:val="center"/>
          </w:tcPr>
          <w:p>
            <w:pPr>
              <w:jc w:val="center"/>
              <w:rPr>
                <w:b/>
                <w:bCs/>
                <w:szCs w:val="21"/>
                <w:highlight w:val="none"/>
              </w:rPr>
            </w:pPr>
            <w:r>
              <w:rPr>
                <w:b/>
                <w:bCs/>
                <w:szCs w:val="21"/>
                <w:highlight w:val="none"/>
              </w:rPr>
              <w:t>序号</w:t>
            </w:r>
          </w:p>
        </w:tc>
        <w:tc>
          <w:tcPr>
            <w:tcW w:w="1136" w:type="dxa"/>
            <w:shd w:val="clear" w:color="auto" w:fill="auto"/>
            <w:vAlign w:val="center"/>
          </w:tcPr>
          <w:p>
            <w:pPr>
              <w:jc w:val="center"/>
              <w:rPr>
                <w:b/>
                <w:bCs/>
                <w:szCs w:val="21"/>
                <w:highlight w:val="none"/>
              </w:rPr>
            </w:pPr>
            <w:r>
              <w:rPr>
                <w:b/>
                <w:bCs/>
                <w:szCs w:val="21"/>
                <w:highlight w:val="none"/>
              </w:rPr>
              <w:t>中文</w:t>
            </w:r>
          </w:p>
          <w:p>
            <w:pPr>
              <w:jc w:val="center"/>
              <w:rPr>
                <w:b/>
                <w:bCs/>
                <w:szCs w:val="21"/>
                <w:highlight w:val="none"/>
              </w:rPr>
            </w:pPr>
            <w:r>
              <w:rPr>
                <w:b/>
                <w:bCs/>
                <w:szCs w:val="21"/>
                <w:highlight w:val="none"/>
              </w:rPr>
              <w:t>名称</w:t>
            </w:r>
          </w:p>
        </w:tc>
        <w:tc>
          <w:tcPr>
            <w:tcW w:w="1279" w:type="dxa"/>
            <w:shd w:val="clear" w:color="auto" w:fill="auto"/>
            <w:vAlign w:val="center"/>
          </w:tcPr>
          <w:p>
            <w:pPr>
              <w:jc w:val="center"/>
              <w:rPr>
                <w:b/>
                <w:bCs/>
                <w:szCs w:val="21"/>
                <w:highlight w:val="none"/>
              </w:rPr>
            </w:pPr>
            <w:r>
              <w:rPr>
                <w:b/>
                <w:bCs/>
                <w:szCs w:val="21"/>
                <w:highlight w:val="none"/>
              </w:rPr>
              <w:t>含量（%）</w:t>
            </w:r>
          </w:p>
        </w:tc>
        <w:tc>
          <w:tcPr>
            <w:tcW w:w="1847" w:type="dxa"/>
            <w:shd w:val="clear" w:color="auto" w:fill="auto"/>
            <w:vAlign w:val="center"/>
          </w:tcPr>
          <w:p>
            <w:pPr>
              <w:jc w:val="center"/>
              <w:rPr>
                <w:b/>
                <w:bCs/>
                <w:szCs w:val="21"/>
                <w:highlight w:val="none"/>
              </w:rPr>
            </w:pPr>
            <w:r>
              <w:rPr>
                <w:b/>
                <w:bCs/>
                <w:szCs w:val="21"/>
                <w:highlight w:val="none"/>
              </w:rPr>
              <w:t>《化妆品安全技术规范》要求</w:t>
            </w:r>
          </w:p>
        </w:tc>
        <w:tc>
          <w:tcPr>
            <w:tcW w:w="1704" w:type="dxa"/>
            <w:shd w:val="clear" w:color="auto" w:fill="auto"/>
            <w:vAlign w:val="center"/>
          </w:tcPr>
          <w:p>
            <w:pPr>
              <w:jc w:val="center"/>
              <w:rPr>
                <w:b/>
                <w:bCs/>
                <w:szCs w:val="21"/>
                <w:highlight w:val="none"/>
              </w:rPr>
            </w:pPr>
            <w:r>
              <w:rPr>
                <w:b/>
                <w:bCs/>
                <w:szCs w:val="21"/>
                <w:highlight w:val="none"/>
              </w:rPr>
              <w:t>权威机构评估结论</w:t>
            </w:r>
          </w:p>
        </w:tc>
        <w:tc>
          <w:tcPr>
            <w:tcW w:w="1278" w:type="dxa"/>
            <w:shd w:val="clear" w:color="auto" w:fill="auto"/>
            <w:vAlign w:val="center"/>
          </w:tcPr>
          <w:p>
            <w:pPr>
              <w:jc w:val="center"/>
              <w:rPr>
                <w:b/>
                <w:bCs/>
                <w:szCs w:val="21"/>
                <w:highlight w:val="none"/>
              </w:rPr>
            </w:pPr>
            <w:r>
              <w:rPr>
                <w:b/>
                <w:bCs/>
                <w:szCs w:val="21"/>
                <w:highlight w:val="none"/>
              </w:rPr>
              <w:t>本企业原料历史使用量（%）</w:t>
            </w:r>
          </w:p>
        </w:tc>
        <w:tc>
          <w:tcPr>
            <w:tcW w:w="1136" w:type="dxa"/>
            <w:shd w:val="clear" w:color="auto" w:fill="auto"/>
            <w:vAlign w:val="center"/>
          </w:tcPr>
          <w:p>
            <w:pPr>
              <w:jc w:val="center"/>
              <w:rPr>
                <w:b/>
                <w:bCs/>
                <w:szCs w:val="21"/>
                <w:highlight w:val="none"/>
              </w:rPr>
            </w:pPr>
            <w:r>
              <w:rPr>
                <w:b/>
                <w:bCs/>
                <w:szCs w:val="21"/>
                <w:highlight w:val="none"/>
              </w:rPr>
              <w:t>最高历史使用量（%）</w:t>
            </w:r>
          </w:p>
        </w:tc>
        <w:tc>
          <w:tcPr>
            <w:tcW w:w="4687" w:type="dxa"/>
            <w:shd w:val="clear" w:color="auto" w:fill="auto"/>
            <w:vAlign w:val="center"/>
          </w:tcPr>
          <w:p>
            <w:pPr>
              <w:jc w:val="center"/>
              <w:rPr>
                <w:b/>
                <w:bCs/>
                <w:szCs w:val="21"/>
                <w:highlight w:val="none"/>
              </w:rPr>
            </w:pPr>
            <w:r>
              <w:rPr>
                <w:b/>
                <w:bCs/>
                <w:szCs w:val="21"/>
                <w:highlight w:val="none"/>
              </w:rPr>
              <w:t>评估结论</w:t>
            </w:r>
          </w:p>
        </w:tc>
        <w:tc>
          <w:tcPr>
            <w:tcW w:w="1208" w:type="dxa"/>
            <w:shd w:val="clear" w:color="auto" w:fill="auto"/>
            <w:vAlign w:val="center"/>
          </w:tcPr>
          <w:p>
            <w:pPr>
              <w:jc w:val="center"/>
              <w:rPr>
                <w:b/>
                <w:bCs/>
                <w:szCs w:val="21"/>
                <w:highlight w:val="none"/>
              </w:rPr>
            </w:pPr>
            <w:r>
              <w:rPr>
                <w:b/>
                <w:bCs/>
                <w:szCs w:val="21"/>
                <w:highlight w:val="none"/>
              </w:rPr>
              <w:t>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6" w:type="dxa"/>
            <w:shd w:val="clear" w:color="auto" w:fill="auto"/>
            <w:vAlign w:val="center"/>
          </w:tcPr>
          <w:p>
            <w:pPr>
              <w:jc w:val="center"/>
              <w:rPr>
                <w:bCs/>
                <w:szCs w:val="21"/>
                <w:highlight w:val="none"/>
              </w:rPr>
            </w:pPr>
            <w:r>
              <w:rPr>
                <w:bCs/>
                <w:szCs w:val="21"/>
                <w:highlight w:val="none"/>
              </w:rPr>
              <w:t>1</w:t>
            </w:r>
          </w:p>
        </w:tc>
        <w:tc>
          <w:tcPr>
            <w:tcW w:w="1136" w:type="dxa"/>
            <w:shd w:val="clear" w:color="auto" w:fill="auto"/>
            <w:vAlign w:val="center"/>
          </w:tcPr>
          <w:p>
            <w:pPr>
              <w:jc w:val="center"/>
              <w:rPr>
                <w:szCs w:val="21"/>
                <w:highlight w:val="none"/>
              </w:rPr>
            </w:pPr>
            <w:r>
              <w:rPr>
                <w:szCs w:val="21"/>
                <w:highlight w:val="none"/>
              </w:rPr>
              <w:t>水</w:t>
            </w:r>
          </w:p>
        </w:tc>
        <w:tc>
          <w:tcPr>
            <w:tcW w:w="1279" w:type="dxa"/>
            <w:shd w:val="clear" w:color="auto" w:fill="auto"/>
            <w:vAlign w:val="center"/>
          </w:tcPr>
          <w:p>
            <w:pPr>
              <w:jc w:val="center"/>
              <w:rPr>
                <w:szCs w:val="21"/>
                <w:highlight w:val="none"/>
              </w:rPr>
            </w:pPr>
            <w:r>
              <w:rPr>
                <w:szCs w:val="21"/>
                <w:highlight w:val="none"/>
              </w:rPr>
              <w:t>91.699</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center"/>
              <w:rPr>
                <w:szCs w:val="21"/>
                <w:highlight w:val="none"/>
              </w:rPr>
            </w:pPr>
            <w:r>
              <w:rPr>
                <w:szCs w:val="21"/>
                <w:highlight w:val="none"/>
              </w:rPr>
              <w:t>本产品使用的水符合国家饮用水标准，无安全风险。</w:t>
            </w:r>
          </w:p>
        </w:tc>
        <w:tc>
          <w:tcPr>
            <w:tcW w:w="1208" w:type="dxa"/>
            <w:shd w:val="clear" w:color="auto" w:fill="auto"/>
            <w:vAlign w:val="center"/>
          </w:tcPr>
          <w:p>
            <w:pPr>
              <w:jc w:val="center"/>
              <w:rPr>
                <w:szCs w:val="21"/>
                <w:highlight w:val="none"/>
              </w:rPr>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86" w:type="dxa"/>
            <w:shd w:val="clear" w:color="auto" w:fill="auto"/>
            <w:vAlign w:val="center"/>
          </w:tcPr>
          <w:p>
            <w:pPr>
              <w:jc w:val="center"/>
              <w:rPr>
                <w:bCs/>
                <w:szCs w:val="21"/>
                <w:highlight w:val="none"/>
              </w:rPr>
            </w:pPr>
            <w:r>
              <w:rPr>
                <w:bCs/>
                <w:szCs w:val="21"/>
                <w:highlight w:val="none"/>
              </w:rPr>
              <w:t>2</w:t>
            </w:r>
          </w:p>
        </w:tc>
        <w:tc>
          <w:tcPr>
            <w:tcW w:w="1136" w:type="dxa"/>
            <w:shd w:val="clear" w:color="auto" w:fill="auto"/>
            <w:vAlign w:val="center"/>
          </w:tcPr>
          <w:p>
            <w:pPr>
              <w:jc w:val="center"/>
              <w:rPr>
                <w:szCs w:val="21"/>
                <w:highlight w:val="none"/>
              </w:rPr>
            </w:pPr>
            <w:r>
              <w:rPr>
                <w:szCs w:val="21"/>
                <w:highlight w:val="none"/>
              </w:rPr>
              <w:t>甘油</w:t>
            </w:r>
          </w:p>
        </w:tc>
        <w:tc>
          <w:tcPr>
            <w:tcW w:w="1279" w:type="dxa"/>
            <w:shd w:val="clear" w:color="auto" w:fill="auto"/>
            <w:vAlign w:val="center"/>
          </w:tcPr>
          <w:p>
            <w:pPr>
              <w:jc w:val="center"/>
              <w:rPr>
                <w:szCs w:val="21"/>
                <w:highlight w:val="none"/>
              </w:rPr>
            </w:pPr>
            <w:r>
              <w:rPr>
                <w:szCs w:val="21"/>
                <w:highlight w:val="none"/>
              </w:rPr>
              <w:t>5.000</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r>
              <w:rPr>
                <w:szCs w:val="21"/>
                <w:highlight w:val="none"/>
              </w:rPr>
              <w:t>CIR评估结果显示，驻留类化妆品浓度为78.5%时，在化妆品中的使用是安全的</w:t>
            </w: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center"/>
              <w:rPr>
                <w:szCs w:val="21"/>
                <w:highlight w:val="none"/>
              </w:rPr>
            </w:pPr>
            <w:r>
              <w:rPr>
                <w:szCs w:val="21"/>
                <w:highlight w:val="none"/>
              </w:rPr>
              <w:t>本配方中添加量在安全用量以内。</w:t>
            </w:r>
          </w:p>
        </w:tc>
        <w:tc>
          <w:tcPr>
            <w:tcW w:w="1208" w:type="dxa"/>
            <w:shd w:val="clear" w:color="auto" w:fill="auto"/>
            <w:vAlign w:val="center"/>
          </w:tcPr>
          <w:p>
            <w:pPr>
              <w:jc w:val="center"/>
              <w:rPr>
                <w:szCs w:val="21"/>
                <w:highlight w:val="none"/>
              </w:rPr>
            </w:pPr>
            <w:r>
              <w:rPr>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vAlign w:val="center"/>
          </w:tcPr>
          <w:p>
            <w:pPr>
              <w:jc w:val="center"/>
              <w:rPr>
                <w:bCs/>
                <w:szCs w:val="21"/>
                <w:highlight w:val="none"/>
              </w:rPr>
            </w:pPr>
            <w:r>
              <w:rPr>
                <w:bCs/>
                <w:szCs w:val="21"/>
                <w:highlight w:val="none"/>
              </w:rPr>
              <w:t>3</w:t>
            </w:r>
          </w:p>
        </w:tc>
        <w:tc>
          <w:tcPr>
            <w:tcW w:w="1136" w:type="dxa"/>
            <w:shd w:val="clear" w:color="auto" w:fill="auto"/>
            <w:vAlign w:val="center"/>
          </w:tcPr>
          <w:p>
            <w:pPr>
              <w:spacing w:after="160"/>
              <w:jc w:val="center"/>
              <w:rPr>
                <w:szCs w:val="21"/>
                <w:highlight w:val="none"/>
              </w:rPr>
            </w:pPr>
            <w:r>
              <w:rPr>
                <w:szCs w:val="21"/>
                <w:highlight w:val="none"/>
              </w:rPr>
              <w:t>鲸蜡醇</w:t>
            </w:r>
          </w:p>
        </w:tc>
        <w:tc>
          <w:tcPr>
            <w:tcW w:w="1279" w:type="dxa"/>
            <w:shd w:val="clear" w:color="auto" w:fill="auto"/>
            <w:vAlign w:val="center"/>
          </w:tcPr>
          <w:p>
            <w:pPr>
              <w:jc w:val="center"/>
              <w:rPr>
                <w:szCs w:val="21"/>
                <w:highlight w:val="none"/>
              </w:rPr>
            </w:pPr>
            <w:r>
              <w:rPr>
                <w:szCs w:val="21"/>
                <w:highlight w:val="none"/>
              </w:rPr>
              <w:t>1.000</w:t>
            </w:r>
          </w:p>
        </w:tc>
        <w:tc>
          <w:tcPr>
            <w:tcW w:w="1847" w:type="dxa"/>
            <w:shd w:val="clear" w:color="auto" w:fill="auto"/>
            <w:vAlign w:val="center"/>
          </w:tcPr>
          <w:p>
            <w:pPr>
              <w:spacing w:after="160"/>
              <w:jc w:val="center"/>
              <w:rPr>
                <w:szCs w:val="21"/>
                <w:highlight w:val="none"/>
              </w:rPr>
            </w:pPr>
          </w:p>
        </w:tc>
        <w:tc>
          <w:tcPr>
            <w:tcW w:w="1704" w:type="dxa"/>
            <w:shd w:val="clear" w:color="auto" w:fill="auto"/>
            <w:vAlign w:val="center"/>
          </w:tcPr>
          <w:p>
            <w:pPr>
              <w:spacing w:after="160"/>
              <w:jc w:val="center"/>
              <w:rPr>
                <w:szCs w:val="21"/>
                <w:highlight w:val="none"/>
              </w:rPr>
            </w:pPr>
          </w:p>
        </w:tc>
        <w:tc>
          <w:tcPr>
            <w:tcW w:w="1278" w:type="dxa"/>
            <w:shd w:val="clear" w:color="auto" w:fill="auto"/>
            <w:vAlign w:val="center"/>
          </w:tcPr>
          <w:p>
            <w:pPr>
              <w:spacing w:after="160"/>
              <w:jc w:val="center"/>
              <w:rPr>
                <w:szCs w:val="21"/>
                <w:highlight w:val="none"/>
              </w:rPr>
            </w:pPr>
            <w:r>
              <w:rPr>
                <w:szCs w:val="21"/>
                <w:highlight w:val="none"/>
              </w:rPr>
              <w:t>1.500</w:t>
            </w:r>
          </w:p>
        </w:tc>
        <w:tc>
          <w:tcPr>
            <w:tcW w:w="1136" w:type="dxa"/>
            <w:shd w:val="clear" w:color="auto" w:fill="auto"/>
            <w:vAlign w:val="center"/>
          </w:tcPr>
          <w:p>
            <w:pPr>
              <w:spacing w:after="160"/>
              <w:jc w:val="center"/>
              <w:rPr>
                <w:szCs w:val="21"/>
                <w:highlight w:val="none"/>
              </w:rPr>
            </w:pPr>
          </w:p>
        </w:tc>
        <w:tc>
          <w:tcPr>
            <w:tcW w:w="4687" w:type="dxa"/>
            <w:shd w:val="clear" w:color="auto" w:fill="auto"/>
            <w:vAlign w:val="center"/>
          </w:tcPr>
          <w:p>
            <w:pPr>
              <w:spacing w:after="160"/>
              <w:rPr>
                <w:szCs w:val="21"/>
                <w:highlight w:val="none"/>
              </w:rPr>
            </w:pPr>
            <w:r>
              <w:rPr>
                <w:szCs w:val="21"/>
                <w:highlight w:val="none"/>
              </w:rPr>
              <w:t>在备案号为</w:t>
            </w:r>
            <w:r>
              <w:rPr>
                <w:rFonts w:hint="eastAsia"/>
                <w:szCs w:val="21"/>
                <w:highlight w:val="none"/>
              </w:rPr>
              <w:t>xxx</w:t>
            </w:r>
            <w:r>
              <w:rPr>
                <w:szCs w:val="21"/>
                <w:highlight w:val="none"/>
              </w:rPr>
              <w:t>的面霜中，鲸蜡醇浓度为1.500%，本产品添加量为1.000%，该原料在本产品中应用风险在可接受范围之内。</w:t>
            </w:r>
          </w:p>
        </w:tc>
        <w:tc>
          <w:tcPr>
            <w:tcW w:w="1208" w:type="dxa"/>
            <w:shd w:val="clear" w:color="auto" w:fill="auto"/>
            <w:vAlign w:val="center"/>
          </w:tcPr>
          <w:p>
            <w:pPr>
              <w:spacing w:after="160"/>
              <w:jc w:val="center"/>
              <w:rPr>
                <w:szCs w:val="21"/>
                <w:highlight w:val="none"/>
              </w:rPr>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vAlign w:val="center"/>
          </w:tcPr>
          <w:p>
            <w:pPr>
              <w:jc w:val="center"/>
              <w:rPr>
                <w:bCs/>
                <w:szCs w:val="21"/>
                <w:highlight w:val="none"/>
              </w:rPr>
            </w:pPr>
            <w:r>
              <w:rPr>
                <w:bCs/>
                <w:szCs w:val="21"/>
                <w:highlight w:val="none"/>
              </w:rPr>
              <w:t>4</w:t>
            </w:r>
          </w:p>
        </w:tc>
        <w:tc>
          <w:tcPr>
            <w:tcW w:w="1136" w:type="dxa"/>
            <w:shd w:val="clear" w:color="auto" w:fill="auto"/>
            <w:vAlign w:val="center"/>
          </w:tcPr>
          <w:p>
            <w:pPr>
              <w:spacing w:after="160"/>
              <w:jc w:val="center"/>
              <w:rPr>
                <w:szCs w:val="21"/>
                <w:highlight w:val="none"/>
              </w:rPr>
            </w:pPr>
            <w:r>
              <w:rPr>
                <w:szCs w:val="21"/>
                <w:highlight w:val="none"/>
              </w:rPr>
              <w:t>花生醇</w:t>
            </w:r>
          </w:p>
        </w:tc>
        <w:tc>
          <w:tcPr>
            <w:tcW w:w="1279" w:type="dxa"/>
            <w:shd w:val="clear" w:color="auto" w:fill="auto"/>
            <w:vAlign w:val="center"/>
          </w:tcPr>
          <w:p>
            <w:pPr>
              <w:jc w:val="center"/>
              <w:rPr>
                <w:szCs w:val="21"/>
                <w:highlight w:val="none"/>
              </w:rPr>
            </w:pPr>
            <w:r>
              <w:rPr>
                <w:szCs w:val="21"/>
                <w:highlight w:val="none"/>
              </w:rPr>
              <w:t>0. 600</w:t>
            </w:r>
          </w:p>
        </w:tc>
        <w:tc>
          <w:tcPr>
            <w:tcW w:w="1847" w:type="dxa"/>
            <w:shd w:val="clear" w:color="auto" w:fill="auto"/>
            <w:vAlign w:val="center"/>
          </w:tcPr>
          <w:p>
            <w:pPr>
              <w:spacing w:after="160"/>
              <w:jc w:val="center"/>
              <w:rPr>
                <w:szCs w:val="21"/>
                <w:highlight w:val="none"/>
              </w:rPr>
            </w:pPr>
          </w:p>
        </w:tc>
        <w:tc>
          <w:tcPr>
            <w:tcW w:w="1704" w:type="dxa"/>
            <w:shd w:val="clear" w:color="auto" w:fill="auto"/>
            <w:vAlign w:val="center"/>
          </w:tcPr>
          <w:p>
            <w:pPr>
              <w:spacing w:after="160"/>
              <w:jc w:val="center"/>
              <w:rPr>
                <w:szCs w:val="21"/>
                <w:highlight w:val="none"/>
              </w:rPr>
            </w:pPr>
          </w:p>
        </w:tc>
        <w:tc>
          <w:tcPr>
            <w:tcW w:w="1278" w:type="dxa"/>
            <w:shd w:val="clear" w:color="auto" w:fill="auto"/>
            <w:vAlign w:val="center"/>
          </w:tcPr>
          <w:p>
            <w:pPr>
              <w:spacing w:after="160"/>
              <w:jc w:val="center"/>
              <w:rPr>
                <w:szCs w:val="21"/>
                <w:highlight w:val="none"/>
              </w:rPr>
            </w:pPr>
          </w:p>
        </w:tc>
        <w:tc>
          <w:tcPr>
            <w:tcW w:w="1136" w:type="dxa"/>
            <w:shd w:val="clear" w:color="auto" w:fill="auto"/>
            <w:vAlign w:val="center"/>
          </w:tcPr>
          <w:p>
            <w:pPr>
              <w:spacing w:after="160"/>
              <w:jc w:val="center"/>
              <w:rPr>
                <w:szCs w:val="21"/>
                <w:highlight w:val="none"/>
              </w:rPr>
            </w:pPr>
          </w:p>
        </w:tc>
        <w:tc>
          <w:tcPr>
            <w:tcW w:w="4687" w:type="dxa"/>
            <w:shd w:val="clear" w:color="auto" w:fill="auto"/>
            <w:vAlign w:val="center"/>
          </w:tcPr>
          <w:p>
            <w:pPr>
              <w:jc w:val="left"/>
              <w:rPr>
                <w:szCs w:val="21"/>
                <w:highlight w:val="none"/>
              </w:rPr>
            </w:pPr>
            <w:r>
              <w:rPr>
                <w:szCs w:val="21"/>
                <w:highlight w:val="none"/>
              </w:rPr>
              <w:t>花生醇为1-二十烷醇，属于直链长链饱和脂肪醇。直链长链饱和脂肪醇类物质的通用分子结构式为CnH2n+2O，该类物质都具有直链碳链结构，且都具有末端醇羟基作为关键官能团，化学结构的区别是碳链长短的不同。因此，花生醇和具有近似碳链长度的饱和脂肪醇（如1-十八醇、1-二十二醇）在理化性质、危害描述、危害特征描述等上的数据可以相互参考。</w:t>
            </w:r>
          </w:p>
          <w:p>
            <w:pPr>
              <w:jc w:val="left"/>
              <w:rPr>
                <w:szCs w:val="21"/>
                <w:highlight w:val="none"/>
              </w:rPr>
            </w:pPr>
            <w:r>
              <w:rPr>
                <w:szCs w:val="21"/>
                <w:highlight w:val="none"/>
              </w:rPr>
              <w:t>毒理学终点：</w:t>
            </w:r>
          </w:p>
          <w:p>
            <w:pPr>
              <w:jc w:val="left"/>
              <w:rPr>
                <w:szCs w:val="21"/>
                <w:highlight w:val="none"/>
              </w:rPr>
            </w:pPr>
            <w:r>
              <w:rPr>
                <w:szCs w:val="21"/>
                <w:highlight w:val="none"/>
              </w:rPr>
              <w:t>急性毒性：急性经口毒性试验显示该原料为实际无毒性。急性经皮毒性试验显示该原料为微毒性。</w:t>
            </w:r>
          </w:p>
          <w:p>
            <w:pPr>
              <w:jc w:val="left"/>
              <w:rPr>
                <w:szCs w:val="21"/>
                <w:highlight w:val="none"/>
              </w:rPr>
            </w:pPr>
            <w:r>
              <w:rPr>
                <w:szCs w:val="21"/>
                <w:highlight w:val="none"/>
              </w:rPr>
              <w:t>皮肤刺激性：根据原料供应商提供的毒理学安全数据，浓度为50.000%时，该原料对皮肤无刺激性。</w:t>
            </w:r>
          </w:p>
          <w:p>
            <w:pPr>
              <w:jc w:val="left"/>
              <w:rPr>
                <w:szCs w:val="21"/>
                <w:highlight w:val="none"/>
              </w:rPr>
            </w:pPr>
            <w:r>
              <w:rPr>
                <w:szCs w:val="21"/>
                <w:highlight w:val="none"/>
              </w:rPr>
              <w:t>眼刺激性：根据原料供应商提供的毒理学安全数据，浓度为50.000%时该原料对眼睛无刺激性。</w:t>
            </w:r>
          </w:p>
          <w:p>
            <w:pPr>
              <w:jc w:val="left"/>
              <w:rPr>
                <w:szCs w:val="21"/>
                <w:highlight w:val="none"/>
              </w:rPr>
            </w:pPr>
            <w:r>
              <w:rPr>
                <w:szCs w:val="21"/>
                <w:highlight w:val="none"/>
              </w:rPr>
              <w:t>皮肤变态反应：该原料经动物测试证明无致敏性。</w:t>
            </w:r>
          </w:p>
          <w:p>
            <w:pPr>
              <w:jc w:val="left"/>
              <w:rPr>
                <w:szCs w:val="21"/>
                <w:highlight w:val="none"/>
              </w:rPr>
            </w:pPr>
            <w:r>
              <w:rPr>
                <w:szCs w:val="21"/>
                <w:highlight w:val="none"/>
              </w:rPr>
              <w:t>皮肤光毒性：含有该原料的产品在临床研究中显示无皮肤光毒性。</w:t>
            </w:r>
          </w:p>
          <w:p>
            <w:pPr>
              <w:jc w:val="left"/>
              <w:rPr>
                <w:szCs w:val="21"/>
                <w:highlight w:val="none"/>
              </w:rPr>
            </w:pPr>
            <w:r>
              <w:rPr>
                <w:szCs w:val="21"/>
                <w:highlight w:val="none"/>
              </w:rPr>
              <w:t>致突变性：根据原料供应商提供的毒理学安全数据，该原料无潜在基因突变性或染色体畸变性。</w:t>
            </w:r>
          </w:p>
          <w:p>
            <w:pPr>
              <w:jc w:val="left"/>
              <w:rPr>
                <w:szCs w:val="21"/>
                <w:highlight w:val="none"/>
              </w:rPr>
            </w:pPr>
            <w:r>
              <w:rPr>
                <w:szCs w:val="21"/>
                <w:highlight w:val="none"/>
              </w:rPr>
              <w:t>系统毒性：经过危害特征描述，该原料的未观察到有害作用的剂量（NOAEL）为 1000 mg/kg bw/day。生殖发育毒性：该原料的交叉参考物1-二十二醇在重复剂量毒性/生殖和发育毒性试验中未观测到发育和生殖毒性反应，其NOAEL为 1000 mg/kg bw/day。另一交叉参考物1-十八醇在生殖和发育毒性试验中也未观测到发育和生殖毒性反应，其NOAEL为 2000 mg/kg bw/day。鉴于化学结构的相似性，花生醇（C=20）的生殖和发育毒性应与1-二十二醇和1-十八醇相近。此外，据研究表明，直链饱和脂肪醇的经皮、经口吸收率与碳链长度直接相关。当碳链长度大于7时，饱和脂肪醇的经皮、经口吸收率随碳链长度的增加而下降。因此，花生醇的生殖和发育毒性应不高于其交叉参照物的生殖发育毒性，基于保守原则，NOAEL选取1000 mg/kg bw/day。安全评估用NOAEL：选取经口重复染毒试验资料的NOAEL 1000 mg/kg/day用以计算安全边际值。暴露剂量=1.54*1000*0.600/（60*100）=0.154mg/kg/d。安全边际值MoS = 1000/0.154=6494&gt; 100</w:t>
            </w:r>
          </w:p>
          <w:p>
            <w:pPr>
              <w:spacing w:after="160"/>
              <w:jc w:val="left"/>
              <w:rPr>
                <w:szCs w:val="21"/>
                <w:highlight w:val="none"/>
              </w:rPr>
            </w:pPr>
            <w:r>
              <w:rPr>
                <w:szCs w:val="21"/>
                <w:highlight w:val="none"/>
              </w:rPr>
              <w:t>该原料在本产品中的应用风险在可接受范围内。</w:t>
            </w:r>
          </w:p>
        </w:tc>
        <w:tc>
          <w:tcPr>
            <w:tcW w:w="1208" w:type="dxa"/>
            <w:shd w:val="clear" w:color="auto" w:fill="auto"/>
            <w:vAlign w:val="center"/>
          </w:tcPr>
          <w:p>
            <w:pPr>
              <w:spacing w:after="160"/>
              <w:jc w:val="center"/>
              <w:rPr>
                <w:szCs w:val="21"/>
                <w:highlight w:val="none"/>
              </w:rPr>
            </w:pPr>
            <w:r>
              <w:rPr>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86" w:type="dxa"/>
            <w:shd w:val="clear" w:color="auto" w:fill="auto"/>
            <w:vAlign w:val="center"/>
          </w:tcPr>
          <w:p>
            <w:pPr>
              <w:jc w:val="center"/>
              <w:rPr>
                <w:szCs w:val="21"/>
                <w:highlight w:val="none"/>
              </w:rPr>
            </w:pPr>
            <w:r>
              <w:rPr>
                <w:szCs w:val="21"/>
                <w:highlight w:val="none"/>
              </w:rPr>
              <w:t>5</w:t>
            </w:r>
          </w:p>
        </w:tc>
        <w:tc>
          <w:tcPr>
            <w:tcW w:w="1136" w:type="dxa"/>
            <w:shd w:val="clear" w:color="auto" w:fill="auto"/>
            <w:vAlign w:val="center"/>
          </w:tcPr>
          <w:p>
            <w:pPr>
              <w:jc w:val="center"/>
              <w:rPr>
                <w:szCs w:val="21"/>
                <w:highlight w:val="none"/>
              </w:rPr>
            </w:pPr>
            <w:r>
              <w:rPr>
                <w:szCs w:val="21"/>
                <w:highlight w:val="none"/>
              </w:rPr>
              <w:t>苯氧乙醇</w:t>
            </w:r>
          </w:p>
        </w:tc>
        <w:tc>
          <w:tcPr>
            <w:tcW w:w="1279" w:type="dxa"/>
            <w:shd w:val="clear" w:color="auto" w:fill="auto"/>
            <w:vAlign w:val="center"/>
          </w:tcPr>
          <w:p>
            <w:pPr>
              <w:jc w:val="center"/>
              <w:rPr>
                <w:szCs w:val="21"/>
                <w:highlight w:val="none"/>
              </w:rPr>
            </w:pPr>
            <w:r>
              <w:rPr>
                <w:szCs w:val="21"/>
                <w:highlight w:val="none"/>
              </w:rPr>
              <w:t>0.500</w:t>
            </w:r>
          </w:p>
        </w:tc>
        <w:tc>
          <w:tcPr>
            <w:tcW w:w="1847" w:type="dxa"/>
            <w:shd w:val="clear" w:color="auto" w:fill="auto"/>
            <w:vAlign w:val="center"/>
          </w:tcPr>
          <w:p>
            <w:pPr>
              <w:jc w:val="center"/>
              <w:rPr>
                <w:szCs w:val="21"/>
                <w:highlight w:val="none"/>
              </w:rPr>
            </w:pPr>
            <w:r>
              <w:rPr>
                <w:szCs w:val="21"/>
                <w:highlight w:val="none"/>
              </w:rPr>
              <w:t>符合《化妆品安全技术规范》准用防腐剂（表4）规定</w:t>
            </w: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left"/>
              <w:rPr>
                <w:szCs w:val="21"/>
                <w:highlight w:val="none"/>
              </w:rPr>
            </w:pPr>
            <w:r>
              <w:rPr>
                <w:szCs w:val="21"/>
                <w:highlight w:val="none"/>
              </w:rPr>
              <w:t>满足《化妆品安全技术规范》（2015年版）要求。</w:t>
            </w:r>
          </w:p>
        </w:tc>
        <w:tc>
          <w:tcPr>
            <w:tcW w:w="1208" w:type="dxa"/>
            <w:shd w:val="clear" w:color="auto" w:fill="auto"/>
            <w:vAlign w:val="center"/>
          </w:tcPr>
          <w:p>
            <w:pPr>
              <w:jc w:val="center"/>
              <w:rPr>
                <w:szCs w:val="21"/>
                <w:highlight w:val="none"/>
              </w:rPr>
            </w:pPr>
            <w:r>
              <w:rPr>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86" w:type="dxa"/>
            <w:shd w:val="clear" w:color="auto" w:fill="auto"/>
            <w:vAlign w:val="center"/>
          </w:tcPr>
          <w:p>
            <w:pPr>
              <w:jc w:val="center"/>
              <w:rPr>
                <w:szCs w:val="21"/>
                <w:highlight w:val="none"/>
              </w:rPr>
            </w:pPr>
            <w:r>
              <w:rPr>
                <w:szCs w:val="21"/>
                <w:highlight w:val="none"/>
              </w:rPr>
              <w:t>6</w:t>
            </w:r>
          </w:p>
        </w:tc>
        <w:tc>
          <w:tcPr>
            <w:tcW w:w="1136" w:type="dxa"/>
            <w:shd w:val="clear" w:color="auto" w:fill="auto"/>
            <w:vAlign w:val="center"/>
          </w:tcPr>
          <w:p>
            <w:pPr>
              <w:jc w:val="center"/>
              <w:rPr>
                <w:szCs w:val="21"/>
                <w:highlight w:val="none"/>
              </w:rPr>
            </w:pPr>
            <w:r>
              <w:rPr>
                <w:szCs w:val="21"/>
                <w:highlight w:val="none"/>
              </w:rPr>
              <w:t>香精</w:t>
            </w:r>
          </w:p>
        </w:tc>
        <w:tc>
          <w:tcPr>
            <w:tcW w:w="1279" w:type="dxa"/>
            <w:shd w:val="clear" w:color="auto" w:fill="auto"/>
            <w:vAlign w:val="center"/>
          </w:tcPr>
          <w:p>
            <w:pPr>
              <w:jc w:val="center"/>
              <w:rPr>
                <w:szCs w:val="21"/>
                <w:highlight w:val="none"/>
              </w:rPr>
            </w:pPr>
            <w:r>
              <w:rPr>
                <w:szCs w:val="21"/>
                <w:highlight w:val="none"/>
              </w:rPr>
              <w:t>0.200</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left"/>
              <w:rPr>
                <w:szCs w:val="21"/>
                <w:highlight w:val="none"/>
              </w:rPr>
            </w:pPr>
            <w:r>
              <w:rPr>
                <w:szCs w:val="21"/>
                <w:highlight w:val="none"/>
              </w:rPr>
              <w:t>其使用符合国际日用香料协会（IFRA）实践法规要求。</w:t>
            </w:r>
          </w:p>
        </w:tc>
        <w:tc>
          <w:tcPr>
            <w:tcW w:w="1208" w:type="dxa"/>
            <w:shd w:val="clear" w:color="auto" w:fill="auto"/>
            <w:vAlign w:val="center"/>
          </w:tcPr>
          <w:p>
            <w:pPr>
              <w:jc w:val="center"/>
              <w:rPr>
                <w:szCs w:val="21"/>
                <w:highlight w:val="none"/>
              </w:rPr>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vAlign w:val="center"/>
          </w:tcPr>
          <w:p>
            <w:pPr>
              <w:jc w:val="center"/>
              <w:rPr>
                <w:szCs w:val="21"/>
                <w:highlight w:val="none"/>
              </w:rPr>
            </w:pPr>
            <w:r>
              <w:rPr>
                <w:szCs w:val="21"/>
                <w:highlight w:val="none"/>
              </w:rPr>
              <w:t>7</w:t>
            </w:r>
          </w:p>
        </w:tc>
        <w:tc>
          <w:tcPr>
            <w:tcW w:w="1136" w:type="dxa"/>
            <w:shd w:val="clear" w:color="auto" w:fill="auto"/>
            <w:vAlign w:val="center"/>
          </w:tcPr>
          <w:p>
            <w:pPr>
              <w:jc w:val="center"/>
              <w:rPr>
                <w:szCs w:val="21"/>
                <w:highlight w:val="none"/>
              </w:rPr>
            </w:pPr>
            <w:r>
              <w:rPr>
                <w:szCs w:val="21"/>
                <w:highlight w:val="none"/>
              </w:rPr>
              <w:t>二棕榈酰羟脯氨酸</w:t>
            </w:r>
          </w:p>
        </w:tc>
        <w:tc>
          <w:tcPr>
            <w:tcW w:w="1279" w:type="dxa"/>
            <w:shd w:val="clear" w:color="auto" w:fill="auto"/>
            <w:vAlign w:val="center"/>
          </w:tcPr>
          <w:p>
            <w:pPr>
              <w:jc w:val="center"/>
              <w:rPr>
                <w:szCs w:val="21"/>
                <w:highlight w:val="none"/>
              </w:rPr>
            </w:pPr>
            <w:r>
              <w:rPr>
                <w:szCs w:val="21"/>
                <w:highlight w:val="none"/>
              </w:rPr>
              <w:t>0.001</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r>
              <w:rPr>
                <w:szCs w:val="21"/>
                <w:highlight w:val="none"/>
              </w:rPr>
              <w:t>5</w:t>
            </w:r>
          </w:p>
        </w:tc>
        <w:tc>
          <w:tcPr>
            <w:tcW w:w="4687" w:type="dxa"/>
            <w:shd w:val="clear" w:color="auto" w:fill="auto"/>
            <w:vAlign w:val="center"/>
          </w:tcPr>
          <w:p>
            <w:pPr>
              <w:jc w:val="left"/>
              <w:rPr>
                <w:szCs w:val="21"/>
                <w:highlight w:val="none"/>
              </w:rPr>
            </w:pPr>
            <w:r>
              <w:rPr>
                <w:szCs w:val="21"/>
                <w:highlight w:val="none"/>
              </w:rPr>
              <w:t>该原料使用浓度低于已获批准驻留类化妆品中最高历史曾用量，可安全使用</w:t>
            </w:r>
            <w:r>
              <w:rPr>
                <w:rFonts w:hint="eastAsia"/>
                <w:szCs w:val="21"/>
                <w:highlight w:val="none"/>
              </w:rPr>
              <w:t>。</w:t>
            </w:r>
          </w:p>
        </w:tc>
        <w:tc>
          <w:tcPr>
            <w:tcW w:w="1208" w:type="dxa"/>
            <w:shd w:val="clear" w:color="auto" w:fill="auto"/>
            <w:vAlign w:val="center"/>
          </w:tcPr>
          <w:p>
            <w:pPr>
              <w:jc w:val="center"/>
              <w:rPr>
                <w:szCs w:val="21"/>
                <w:highlight w:val="none"/>
              </w:rPr>
            </w:pPr>
            <w:r>
              <w:rPr>
                <w:szCs w:val="21"/>
                <w:highlight w:val="none"/>
              </w:rPr>
              <w:t>/</w:t>
            </w:r>
          </w:p>
        </w:tc>
      </w:tr>
    </w:tbl>
    <w:p>
      <w:pPr>
        <w:jc w:val="center"/>
        <w:rPr>
          <w:szCs w:val="21"/>
          <w:highlight w:val="none"/>
        </w:rPr>
        <w:sectPr>
          <w:pgSz w:w="16838" w:h="11906" w:orient="landscape"/>
          <w:pgMar w:top="1531" w:right="1814" w:bottom="1531" w:left="1814" w:header="851" w:footer="680" w:gutter="0"/>
          <w:cols w:space="720" w:num="1"/>
          <w:docGrid w:type="lines" w:linePitch="327" w:charSpace="0"/>
        </w:sectPr>
      </w:pPr>
    </w:p>
    <w:p>
      <w:pPr>
        <w:adjustRightInd w:val="0"/>
        <w:snapToGrid w:val="0"/>
        <w:spacing w:line="560" w:lineRule="exact"/>
        <w:rPr>
          <w:rFonts w:eastAsia="黑体"/>
          <w:bCs/>
          <w:szCs w:val="21"/>
          <w:highlight w:val="none"/>
        </w:rPr>
      </w:pPr>
      <w:r>
        <w:rPr>
          <w:rFonts w:eastAsia="黑体"/>
          <w:bCs/>
          <w:szCs w:val="21"/>
          <w:highlight w:val="none"/>
        </w:rPr>
        <w:t>五、可能存在的风险物质的安全评估</w:t>
      </w:r>
    </w:p>
    <w:p>
      <w:pPr>
        <w:adjustRightInd w:val="0"/>
        <w:snapToGrid w:val="0"/>
        <w:spacing w:line="560" w:lineRule="exact"/>
        <w:rPr>
          <w:rFonts w:eastAsia="仿宋_GB2312"/>
          <w:szCs w:val="21"/>
          <w:highlight w:val="none"/>
        </w:rPr>
      </w:pPr>
      <w:r>
        <w:rPr>
          <w:rFonts w:eastAsia="仿宋_GB2312"/>
          <w:szCs w:val="21"/>
          <w:highlight w:val="none"/>
        </w:rPr>
        <w:t>本产品按照《化妆品安全评估技术导则》的要求，基于当前科学认知水平，对可能由化妆品原料带入、生产过程中产生或带入的风险物质进行评估，结果表明：</w:t>
      </w:r>
    </w:p>
    <w:p>
      <w:pPr>
        <w:adjustRightInd w:val="0"/>
        <w:snapToGrid w:val="0"/>
        <w:spacing w:line="560" w:lineRule="exact"/>
        <w:rPr>
          <w:rFonts w:eastAsia="仿宋_GB2312"/>
          <w:szCs w:val="21"/>
          <w:highlight w:val="none"/>
        </w:rPr>
      </w:pPr>
      <w:r>
        <w:rPr>
          <w:rFonts w:eastAsia="仿宋_GB2312"/>
          <w:szCs w:val="21"/>
          <w:highlight w:val="none"/>
        </w:rPr>
        <w:t>本产品的生产符合国家相关法律法规，对生产过程和产品包装材料进行严格的管理和控制。</w:t>
      </w:r>
    </w:p>
    <w:p>
      <w:pPr>
        <w:adjustRightInd w:val="0"/>
        <w:snapToGrid w:val="0"/>
        <w:spacing w:line="560" w:lineRule="exact"/>
        <w:rPr>
          <w:rFonts w:eastAsia="仿宋_GB2312"/>
          <w:szCs w:val="21"/>
          <w:highlight w:val="none"/>
        </w:rPr>
      </w:pPr>
      <w:r>
        <w:rPr>
          <w:rFonts w:eastAsia="仿宋_GB2312"/>
          <w:szCs w:val="21"/>
          <w:highlight w:val="none"/>
        </w:rPr>
        <w:t>产品中可能存在的安全性风险物质是技术上无法避免、由原料带入的杂质。残留的微量杂质在正常合理使用条件下不会对人体健康造成危害。产品安全性风险物质危害识别表见表3。</w:t>
      </w:r>
    </w:p>
    <w:p>
      <w:pPr>
        <w:spacing w:before="156" w:beforeLines="50" w:after="156"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表3  化妆品中安全性风险物质危害识别表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88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2424" w:type="dxa"/>
            <w:shd w:val="clear" w:color="auto" w:fill="auto"/>
            <w:vAlign w:val="center"/>
          </w:tcPr>
          <w:p>
            <w:pPr>
              <w:adjustRightInd w:val="0"/>
              <w:snapToGrid w:val="0"/>
              <w:spacing w:line="260" w:lineRule="exact"/>
              <w:jc w:val="center"/>
              <w:rPr>
                <w:rFonts w:eastAsia="仿宋_GB2312"/>
                <w:b/>
                <w:szCs w:val="21"/>
                <w:highlight w:val="none"/>
              </w:rPr>
            </w:pPr>
            <w:r>
              <w:rPr>
                <w:rFonts w:eastAsia="仿宋_GB2312"/>
                <w:b/>
                <w:szCs w:val="21"/>
                <w:highlight w:val="none"/>
              </w:rPr>
              <w:t>标准中文名称</w:t>
            </w:r>
          </w:p>
        </w:tc>
        <w:tc>
          <w:tcPr>
            <w:tcW w:w="1880" w:type="dxa"/>
            <w:shd w:val="clear" w:color="auto" w:fill="auto"/>
            <w:vAlign w:val="center"/>
          </w:tcPr>
          <w:p>
            <w:pPr>
              <w:adjustRightInd w:val="0"/>
              <w:snapToGrid w:val="0"/>
              <w:spacing w:line="260" w:lineRule="exact"/>
              <w:jc w:val="center"/>
              <w:rPr>
                <w:rFonts w:eastAsia="仿宋_GB2312"/>
                <w:b/>
                <w:szCs w:val="21"/>
                <w:highlight w:val="none"/>
              </w:rPr>
            </w:pPr>
            <w:r>
              <w:rPr>
                <w:rFonts w:eastAsia="仿宋_GB2312"/>
                <w:b/>
                <w:szCs w:val="21"/>
                <w:highlight w:val="none"/>
              </w:rPr>
              <w:t>可能含有的风险物质</w:t>
            </w:r>
          </w:p>
        </w:tc>
        <w:tc>
          <w:tcPr>
            <w:tcW w:w="4630" w:type="dxa"/>
            <w:shd w:val="clear" w:color="auto" w:fill="auto"/>
            <w:vAlign w:val="center"/>
          </w:tcPr>
          <w:p>
            <w:pPr>
              <w:adjustRightInd w:val="0"/>
              <w:snapToGrid w:val="0"/>
              <w:spacing w:line="260" w:lineRule="exact"/>
              <w:jc w:val="center"/>
              <w:rPr>
                <w:rFonts w:eastAsia="仿宋_GB2312"/>
                <w:b/>
                <w:szCs w:val="21"/>
                <w:highlight w:val="none"/>
              </w:rPr>
            </w:pPr>
            <w:r>
              <w:rPr>
                <w:rFonts w:eastAsia="仿宋_GB2312"/>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水</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甘油</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二甘醇</w:t>
            </w:r>
          </w:p>
        </w:tc>
        <w:tc>
          <w:tcPr>
            <w:tcW w:w="4630" w:type="dxa"/>
            <w:shd w:val="clear" w:color="auto" w:fill="auto"/>
            <w:vAlign w:val="center"/>
          </w:tcPr>
          <w:p>
            <w:pPr>
              <w:adjustRightInd w:val="0"/>
              <w:snapToGrid w:val="0"/>
              <w:spacing w:line="260" w:lineRule="exact"/>
              <w:jc w:val="left"/>
              <w:rPr>
                <w:rFonts w:eastAsia="仿宋_GB2312"/>
                <w:szCs w:val="21"/>
                <w:highlight w:val="none"/>
              </w:rPr>
            </w:pPr>
            <w:r>
              <w:rPr>
                <w:rFonts w:eastAsia="仿宋_GB2312"/>
                <w:szCs w:val="21"/>
                <w:highlight w:val="none"/>
              </w:rPr>
              <w:t>欧洲消费者安全科学委员会（SCCS）关于二甘醇杂质的意见中，浓度不超过0.1%时，其在化妆品中的存在是安全的。</w:t>
            </w:r>
          </w:p>
          <w:p>
            <w:pPr>
              <w:adjustRightInd w:val="0"/>
              <w:snapToGrid w:val="0"/>
              <w:spacing w:line="260" w:lineRule="exact"/>
              <w:jc w:val="left"/>
              <w:rPr>
                <w:rFonts w:eastAsia="仿宋_GB2312"/>
                <w:szCs w:val="21"/>
                <w:highlight w:val="none"/>
              </w:rPr>
            </w:pPr>
            <w:r>
              <w:rPr>
                <w:rFonts w:eastAsia="仿宋_GB2312"/>
                <w:szCs w:val="21"/>
                <w:highlight w:val="none"/>
              </w:rPr>
              <w:t>终产品二甘醇的检验报告附后。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鲸蜡醇</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花生醇</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苯氧乙醇</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二噁烷和苯酚</w:t>
            </w:r>
          </w:p>
        </w:tc>
        <w:tc>
          <w:tcPr>
            <w:tcW w:w="4630" w:type="dxa"/>
            <w:shd w:val="clear" w:color="auto" w:fill="auto"/>
            <w:vAlign w:val="center"/>
          </w:tcPr>
          <w:p>
            <w:pPr>
              <w:adjustRightInd w:val="0"/>
              <w:snapToGrid w:val="0"/>
              <w:spacing w:line="260" w:lineRule="exact"/>
              <w:rPr>
                <w:rFonts w:eastAsia="仿宋_GB2312"/>
                <w:szCs w:val="21"/>
                <w:highlight w:val="none"/>
              </w:rPr>
            </w:pPr>
            <w:r>
              <w:rPr>
                <w:rFonts w:eastAsia="仿宋_GB2312"/>
                <w:szCs w:val="21"/>
                <w:highlight w:val="none"/>
              </w:rPr>
              <w:t>二噁烷：化妆品终产品中二噁烷的残留浓度应符合《化妆品安全技术规范》（2015版）第一章&lt;概述&gt;中表2“化妆品中有害物质限值”的要求，即二噁烷的残留浓度应小于30mg/kg。本产品中二噁烷的残留浓度符合该要求。</w:t>
            </w:r>
          </w:p>
          <w:p>
            <w:pPr>
              <w:adjustRightInd w:val="0"/>
              <w:snapToGrid w:val="0"/>
              <w:spacing w:line="260" w:lineRule="exact"/>
              <w:rPr>
                <w:rFonts w:eastAsia="仿宋_GB2312"/>
                <w:szCs w:val="21"/>
                <w:highlight w:val="none"/>
              </w:rPr>
            </w:pPr>
            <w:r>
              <w:rPr>
                <w:rFonts w:eastAsia="仿宋_GB2312"/>
                <w:szCs w:val="21"/>
                <w:highlight w:val="none"/>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香精</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二棕榈酰羟脯氨酸</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bl>
    <w:p>
      <w:pPr>
        <w:adjustRightInd w:val="0"/>
        <w:snapToGrid w:val="0"/>
        <w:spacing w:line="580" w:lineRule="exact"/>
        <w:rPr>
          <w:rFonts w:eastAsia="仿宋_GB2312"/>
          <w:szCs w:val="21"/>
          <w:highlight w:val="none"/>
        </w:rPr>
      </w:pPr>
      <w:r>
        <w:rPr>
          <w:rFonts w:eastAsia="仿宋_GB2312"/>
          <w:szCs w:val="21"/>
          <w:highlight w:val="none"/>
        </w:rPr>
        <w:t>此外，该产品的检验报告显示其铅、汞、砷、镉、二噁烷检验结果符合《化妆品安全技术规范》（2015年版）表2《化妆品中有害物质限量》的限值要求。</w:t>
      </w:r>
    </w:p>
    <w:p>
      <w:pPr>
        <w:adjustRightInd w:val="0"/>
        <w:snapToGrid w:val="0"/>
        <w:spacing w:line="580" w:lineRule="exact"/>
        <w:rPr>
          <w:rFonts w:eastAsia="黑体"/>
          <w:bCs/>
          <w:szCs w:val="21"/>
          <w:highlight w:val="none"/>
        </w:rPr>
      </w:pPr>
      <w:r>
        <w:rPr>
          <w:rFonts w:eastAsia="黑体"/>
          <w:bCs/>
          <w:szCs w:val="21"/>
          <w:highlight w:val="none"/>
        </w:rPr>
        <w:t>六、风险控制措施或建议</w:t>
      </w:r>
    </w:p>
    <w:p>
      <w:pPr>
        <w:adjustRightInd w:val="0"/>
        <w:snapToGrid w:val="0"/>
        <w:spacing w:line="580" w:lineRule="exact"/>
        <w:rPr>
          <w:rFonts w:eastAsia="仿宋_GB2312"/>
          <w:szCs w:val="21"/>
          <w:highlight w:val="none"/>
        </w:rPr>
      </w:pPr>
      <w:r>
        <w:rPr>
          <w:rFonts w:eastAsia="仿宋_GB2312"/>
          <w:szCs w:val="21"/>
          <w:highlight w:val="none"/>
        </w:rPr>
        <w:t>本产品为面霜，涂抹于面部，可每日使用。</w:t>
      </w:r>
    </w:p>
    <w:p>
      <w:pPr>
        <w:adjustRightInd w:val="0"/>
        <w:snapToGrid w:val="0"/>
        <w:spacing w:line="580" w:lineRule="exact"/>
        <w:rPr>
          <w:rFonts w:eastAsia="仿宋_GB2312"/>
          <w:szCs w:val="21"/>
          <w:highlight w:val="none"/>
        </w:rPr>
      </w:pPr>
      <w:r>
        <w:rPr>
          <w:rFonts w:eastAsia="仿宋_GB2312"/>
          <w:szCs w:val="21"/>
          <w:highlight w:val="none"/>
        </w:rPr>
        <w:t>本产品无需标注警示用语。</w:t>
      </w:r>
    </w:p>
    <w:p>
      <w:pPr>
        <w:adjustRightInd w:val="0"/>
        <w:snapToGrid w:val="0"/>
        <w:spacing w:line="580" w:lineRule="exact"/>
        <w:rPr>
          <w:rFonts w:eastAsia="黑体"/>
          <w:bCs/>
          <w:szCs w:val="21"/>
          <w:highlight w:val="none"/>
        </w:rPr>
      </w:pPr>
      <w:r>
        <w:rPr>
          <w:rFonts w:eastAsia="黑体"/>
          <w:bCs/>
          <w:szCs w:val="21"/>
          <w:highlight w:val="none"/>
        </w:rPr>
        <w:t>七、安全评估结论</w:t>
      </w:r>
    </w:p>
    <w:p>
      <w:pPr>
        <w:adjustRightInd w:val="0"/>
        <w:snapToGrid w:val="0"/>
        <w:spacing w:line="580" w:lineRule="exact"/>
        <w:rPr>
          <w:rFonts w:eastAsia="仿宋_GB2312"/>
          <w:szCs w:val="21"/>
          <w:highlight w:val="none"/>
        </w:rPr>
      </w:pPr>
      <w:r>
        <w:rPr>
          <w:rFonts w:eastAsia="仿宋_GB2312"/>
          <w:szCs w:val="21"/>
          <w:highlight w:val="none"/>
        </w:rPr>
        <w:t>本产品为面霜（驻留类化妆品），可每日使用，涂抹于面部。主要暴露方式为经皮吸收，根据产品的特性，对本产品的暴露评估仅考虑经皮途径。</w:t>
      </w:r>
    </w:p>
    <w:p>
      <w:pPr>
        <w:adjustRightInd w:val="0"/>
        <w:snapToGrid w:val="0"/>
        <w:spacing w:line="580" w:lineRule="exact"/>
        <w:rPr>
          <w:rFonts w:eastAsia="仿宋_GB2312"/>
          <w:szCs w:val="21"/>
          <w:highlight w:val="none"/>
        </w:rPr>
      </w:pPr>
      <w:r>
        <w:rPr>
          <w:rFonts w:eastAsia="仿宋_GB2312"/>
          <w:szCs w:val="21"/>
          <w:highlight w:val="none"/>
        </w:rPr>
        <w:t>通过对产品以下各方面的综合评估：</w:t>
      </w:r>
    </w:p>
    <w:p>
      <w:pPr>
        <w:adjustRightInd w:val="0"/>
        <w:snapToGrid w:val="0"/>
        <w:spacing w:line="580" w:lineRule="exact"/>
        <w:rPr>
          <w:rFonts w:eastAsia="仿宋_GB2312"/>
          <w:szCs w:val="21"/>
          <w:highlight w:val="none"/>
        </w:rPr>
      </w:pPr>
      <w:r>
        <w:rPr>
          <w:rFonts w:eastAsia="仿宋_GB2312"/>
          <w:szCs w:val="21"/>
          <w:highlight w:val="none"/>
        </w:rPr>
        <w:t>1、各成分的安全评估结果显示，所有成分在本产品浓度下不会对人体健康产生危害；</w:t>
      </w:r>
    </w:p>
    <w:p>
      <w:pPr>
        <w:adjustRightInd w:val="0"/>
        <w:snapToGrid w:val="0"/>
        <w:spacing w:line="580" w:lineRule="exact"/>
        <w:rPr>
          <w:rFonts w:eastAsia="仿宋_GB2312"/>
          <w:szCs w:val="21"/>
          <w:highlight w:val="none"/>
        </w:rPr>
      </w:pPr>
      <w:r>
        <w:rPr>
          <w:rFonts w:eastAsia="仿宋_GB2312"/>
          <w:szCs w:val="21"/>
          <w:highlight w:val="none"/>
        </w:rPr>
        <w:t>2、可能存在的安全性风险物质检测及评估结果显示，不会对人体健康产生危害；</w:t>
      </w:r>
    </w:p>
    <w:p>
      <w:pPr>
        <w:adjustRightInd w:val="0"/>
        <w:snapToGrid w:val="0"/>
        <w:spacing w:line="580" w:lineRule="exact"/>
        <w:rPr>
          <w:rFonts w:eastAsia="仿宋_GB2312"/>
          <w:szCs w:val="21"/>
          <w:highlight w:val="none"/>
        </w:rPr>
      </w:pPr>
      <w:r>
        <w:rPr>
          <w:rFonts w:eastAsia="仿宋_GB2312"/>
          <w:szCs w:val="21"/>
          <w:highlight w:val="none"/>
        </w:rPr>
        <w:t xml:space="preserve">3、微生物检验结果显示该产品微生物符合《化妆品安全技术规范》（2015年版）有关要求； </w:t>
      </w:r>
    </w:p>
    <w:p>
      <w:pPr>
        <w:adjustRightInd w:val="0"/>
        <w:snapToGrid w:val="0"/>
        <w:spacing w:line="580" w:lineRule="exact"/>
        <w:rPr>
          <w:rFonts w:eastAsia="仿宋_GB2312"/>
          <w:szCs w:val="21"/>
          <w:highlight w:val="none"/>
        </w:rPr>
      </w:pPr>
      <w:r>
        <w:rPr>
          <w:rFonts w:eastAsia="仿宋_GB2312"/>
          <w:szCs w:val="21"/>
          <w:highlight w:val="none"/>
        </w:rPr>
        <w:t>4、有害物质检测结果显示，该产品有害物质含量符合《化妆品安全技术规范》（2015年版）有关要求;</w:t>
      </w:r>
    </w:p>
    <w:p>
      <w:pPr>
        <w:adjustRightInd w:val="0"/>
        <w:snapToGrid w:val="0"/>
        <w:spacing w:line="580" w:lineRule="exact"/>
        <w:rPr>
          <w:rFonts w:eastAsia="仿宋_GB2312"/>
          <w:szCs w:val="21"/>
          <w:highlight w:val="none"/>
        </w:rPr>
      </w:pPr>
      <w:r>
        <w:rPr>
          <w:rFonts w:eastAsia="仿宋_GB2312"/>
          <w:szCs w:val="21"/>
          <w:highlight w:val="none"/>
        </w:rPr>
        <w:t>5、配方中各成分之间未预见发生有害的相互作用。</w:t>
      </w:r>
    </w:p>
    <w:p>
      <w:pPr>
        <w:adjustRightInd w:val="0"/>
        <w:snapToGrid w:val="0"/>
        <w:spacing w:line="580" w:lineRule="exact"/>
        <w:rPr>
          <w:rFonts w:eastAsia="仿宋_GB2312"/>
          <w:szCs w:val="21"/>
          <w:highlight w:val="none"/>
        </w:rPr>
      </w:pPr>
      <w:r>
        <w:rPr>
          <w:rFonts w:eastAsia="仿宋_GB2312"/>
          <w:szCs w:val="21"/>
          <w:highlight w:val="none"/>
        </w:rPr>
        <w:t>综上，认为该产品在正常及合理、可预见的使用条件下，不会对人体健康产生危害。</w:t>
      </w:r>
    </w:p>
    <w:p>
      <w:pPr>
        <w:adjustRightInd w:val="0"/>
        <w:snapToGrid w:val="0"/>
        <w:spacing w:line="580" w:lineRule="exact"/>
        <w:rPr>
          <w:rFonts w:eastAsia="黑体"/>
          <w:bCs/>
          <w:szCs w:val="21"/>
          <w:highlight w:val="none"/>
        </w:rPr>
      </w:pPr>
      <w:r>
        <w:rPr>
          <w:rFonts w:eastAsia="黑体"/>
          <w:bCs/>
          <w:szCs w:val="21"/>
          <w:highlight w:val="none"/>
        </w:rPr>
        <w:t xml:space="preserve">八、安全评估人员的签名 </w:t>
      </w:r>
    </w:p>
    <w:p>
      <w:pPr>
        <w:adjustRightInd w:val="0"/>
        <w:snapToGrid w:val="0"/>
        <w:spacing w:line="580" w:lineRule="exact"/>
        <w:rPr>
          <w:rFonts w:eastAsia="仿宋_GB2312"/>
          <w:szCs w:val="21"/>
          <w:highlight w:val="none"/>
        </w:rPr>
      </w:pPr>
      <w:r>
        <w:rPr>
          <w:rFonts w:eastAsia="仿宋_GB2312"/>
          <w:szCs w:val="21"/>
          <w:highlight w:val="none"/>
        </w:rPr>
        <w:t xml:space="preserve">评估人：xxx    </w:t>
      </w:r>
    </w:p>
    <w:p>
      <w:pPr>
        <w:adjustRightInd w:val="0"/>
        <w:snapToGrid w:val="0"/>
        <w:spacing w:line="560" w:lineRule="exact"/>
        <w:rPr>
          <w:rFonts w:eastAsia="仿宋_GB2312"/>
          <w:szCs w:val="21"/>
          <w:highlight w:val="none"/>
        </w:rPr>
      </w:pPr>
      <w:r>
        <w:rPr>
          <w:rFonts w:eastAsia="仿宋_GB2312"/>
          <w:szCs w:val="21"/>
          <w:highlight w:val="none"/>
        </w:rPr>
        <w:t>日期：20xx年xx月xx日</w:t>
      </w:r>
    </w:p>
    <w:p>
      <w:pPr>
        <w:adjustRightInd w:val="0"/>
        <w:snapToGrid w:val="0"/>
        <w:spacing w:line="560" w:lineRule="exact"/>
        <w:rPr>
          <w:rFonts w:eastAsia="仿宋_GB2312"/>
          <w:szCs w:val="21"/>
          <w:highlight w:val="none"/>
        </w:rPr>
      </w:pPr>
      <w:r>
        <w:rPr>
          <w:rFonts w:eastAsia="仿宋_GB2312"/>
          <w:szCs w:val="21"/>
          <w:highlight w:val="none"/>
        </w:rPr>
        <w:t>地址：xxxxxxxxxxxxxxxx</w:t>
      </w:r>
    </w:p>
    <w:p>
      <w:pPr>
        <w:adjustRightInd w:val="0"/>
        <w:snapToGrid w:val="0"/>
        <w:spacing w:line="560" w:lineRule="exact"/>
        <w:rPr>
          <w:rFonts w:eastAsia="仿宋_GB2312"/>
          <w:szCs w:val="21"/>
          <w:highlight w:val="none"/>
        </w:rPr>
      </w:pPr>
    </w:p>
    <w:p>
      <w:pPr>
        <w:adjustRightInd w:val="0"/>
        <w:snapToGrid w:val="0"/>
        <w:spacing w:line="560" w:lineRule="exact"/>
        <w:rPr>
          <w:rFonts w:eastAsia="仿宋_GB2312"/>
          <w:szCs w:val="21"/>
          <w:highlight w:val="none"/>
        </w:rPr>
      </w:pPr>
      <w:r>
        <w:rPr>
          <w:rFonts w:eastAsia="仿宋_GB2312"/>
          <w:szCs w:val="21"/>
          <w:highlight w:val="none"/>
        </w:rPr>
        <w:t xml:space="preserve">评估人：xxx    </w:t>
      </w:r>
    </w:p>
    <w:p>
      <w:pPr>
        <w:adjustRightInd w:val="0"/>
        <w:snapToGrid w:val="0"/>
        <w:spacing w:line="560" w:lineRule="exact"/>
        <w:rPr>
          <w:rFonts w:eastAsia="仿宋_GB2312"/>
          <w:szCs w:val="21"/>
          <w:highlight w:val="none"/>
        </w:rPr>
      </w:pPr>
      <w:r>
        <w:rPr>
          <w:rFonts w:eastAsia="仿宋_GB2312"/>
          <w:szCs w:val="21"/>
          <w:highlight w:val="none"/>
        </w:rPr>
        <w:t>日期：20xx年xx月xx日</w:t>
      </w:r>
    </w:p>
    <w:p>
      <w:pPr>
        <w:adjustRightInd w:val="0"/>
        <w:snapToGrid w:val="0"/>
        <w:spacing w:line="560" w:lineRule="exact"/>
        <w:rPr>
          <w:rFonts w:eastAsia="仿宋_GB2312"/>
          <w:szCs w:val="21"/>
          <w:highlight w:val="none"/>
        </w:rPr>
      </w:pPr>
      <w:r>
        <w:rPr>
          <w:rFonts w:eastAsia="仿宋_GB2312"/>
          <w:szCs w:val="21"/>
          <w:highlight w:val="none"/>
        </w:rPr>
        <w:t>地址：xxxxxxxxxxxxxxxx</w:t>
      </w:r>
    </w:p>
    <w:p>
      <w:pPr>
        <w:adjustRightInd w:val="0"/>
        <w:snapToGrid w:val="0"/>
        <w:spacing w:line="580" w:lineRule="exact"/>
        <w:rPr>
          <w:rFonts w:eastAsia="黑体"/>
          <w:bCs/>
          <w:szCs w:val="21"/>
          <w:highlight w:val="none"/>
        </w:rPr>
      </w:pPr>
      <w:r>
        <w:rPr>
          <w:rFonts w:eastAsia="黑体"/>
          <w:bCs/>
          <w:szCs w:val="21"/>
          <w:highlight w:val="none"/>
        </w:rPr>
        <w:t>九、安全评估人员简历</w:t>
      </w:r>
    </w:p>
    <w:p>
      <w:pPr>
        <w:adjustRightInd w:val="0"/>
        <w:snapToGrid w:val="0"/>
        <w:spacing w:line="560" w:lineRule="exact"/>
        <w:rPr>
          <w:rFonts w:eastAsia="仿宋_GB2312"/>
          <w:szCs w:val="21"/>
          <w:highlight w:val="none"/>
        </w:rPr>
      </w:pPr>
      <w:r>
        <w:rPr>
          <w:rFonts w:eastAsia="仿宋_GB2312"/>
          <w:szCs w:val="21"/>
          <w:highlight w:val="none"/>
        </w:rPr>
        <w:t>……</w:t>
      </w:r>
    </w:p>
    <w:p>
      <w:pPr>
        <w:adjustRightInd w:val="0"/>
        <w:snapToGrid w:val="0"/>
        <w:spacing w:line="580" w:lineRule="exact"/>
        <w:rPr>
          <w:rFonts w:eastAsia="黑体"/>
          <w:bCs/>
          <w:szCs w:val="21"/>
          <w:highlight w:val="none"/>
        </w:rPr>
      </w:pPr>
      <w:r>
        <w:rPr>
          <w:rFonts w:eastAsia="黑体"/>
          <w:bCs/>
          <w:szCs w:val="21"/>
          <w:highlight w:val="none"/>
        </w:rPr>
        <w:t>十、参考文献</w:t>
      </w:r>
    </w:p>
    <w:p>
      <w:pPr>
        <w:adjustRightInd w:val="0"/>
        <w:snapToGrid w:val="0"/>
        <w:spacing w:line="560" w:lineRule="exact"/>
        <w:rPr>
          <w:rFonts w:eastAsia="仿宋_GB2312"/>
          <w:szCs w:val="21"/>
          <w:highlight w:val="none"/>
        </w:rPr>
      </w:pPr>
      <w:r>
        <w:rPr>
          <w:rFonts w:eastAsia="仿宋_GB2312"/>
          <w:szCs w:val="21"/>
          <w:highlight w:val="none"/>
        </w:rPr>
        <w:t>格式举例：</w:t>
      </w:r>
    </w:p>
    <w:p>
      <w:pPr>
        <w:adjustRightInd w:val="0"/>
        <w:snapToGrid w:val="0"/>
        <w:spacing w:line="560" w:lineRule="exact"/>
        <w:rPr>
          <w:rFonts w:eastAsia="仿宋_GB2312"/>
          <w:szCs w:val="21"/>
          <w:highlight w:val="none"/>
        </w:rPr>
      </w:pPr>
      <w:r>
        <w:rPr>
          <w:rFonts w:eastAsia="仿宋_GB2312"/>
          <w:szCs w:val="21"/>
          <w:highlight w:val="none"/>
        </w:rPr>
        <w:t>1. 国家食品药品监督管理总局，关于发布化妆品安全技术规范（2015年版）的公告，2015年第268号</w:t>
      </w:r>
    </w:p>
    <w:p>
      <w:pPr>
        <w:adjustRightInd w:val="0"/>
        <w:snapToGrid w:val="0"/>
        <w:spacing w:line="560" w:lineRule="exact"/>
        <w:rPr>
          <w:rFonts w:eastAsia="仿宋_GB2312"/>
          <w:szCs w:val="21"/>
          <w:highlight w:val="none"/>
        </w:rPr>
      </w:pPr>
      <w:r>
        <w:rPr>
          <w:rFonts w:eastAsia="仿宋_GB2312"/>
          <w:szCs w:val="21"/>
          <w:highlight w:val="none"/>
        </w:rPr>
        <w:t>2. Ralph Gingell, Jeannie B. Kirkpatrick, and David R. Subchronic Toxicity Study of 1,3-Propanediol Administered Orally to Rats. International Journal of Toxicology, 2000,19: 27–32</w:t>
      </w:r>
    </w:p>
    <w:p>
      <w:pPr>
        <w:adjustRightInd w:val="0"/>
        <w:snapToGrid w:val="0"/>
        <w:spacing w:line="560" w:lineRule="exact"/>
        <w:rPr>
          <w:rFonts w:eastAsia="仿宋_GB2312"/>
          <w:szCs w:val="21"/>
          <w:highlight w:val="none"/>
        </w:rPr>
      </w:pPr>
      <w:r>
        <w:rPr>
          <w:rFonts w:eastAsia="仿宋_GB2312"/>
          <w:szCs w:val="21"/>
          <w:highlight w:val="none"/>
        </w:rPr>
        <w:t>3. Safety Assessment of Brown Algae-Derived Ingredients as Used in Cosmetics. Final report 2019 available from CIR</w:t>
      </w:r>
    </w:p>
    <w:p>
      <w:pPr>
        <w:adjustRightInd w:val="0"/>
        <w:snapToGrid w:val="0"/>
        <w:spacing w:line="580" w:lineRule="exact"/>
        <w:rPr>
          <w:rFonts w:eastAsia="黑体"/>
          <w:bCs/>
          <w:szCs w:val="21"/>
          <w:highlight w:val="none"/>
        </w:rPr>
      </w:pPr>
      <w:r>
        <w:rPr>
          <w:rFonts w:eastAsia="黑体"/>
          <w:bCs/>
          <w:szCs w:val="21"/>
          <w:highlight w:val="none"/>
        </w:rPr>
        <w:t>十一、附录</w:t>
      </w:r>
    </w:p>
    <w:p>
      <w:pPr>
        <w:adjustRightInd w:val="0"/>
        <w:snapToGrid w:val="0"/>
        <w:spacing w:line="560" w:lineRule="exact"/>
        <w:rPr>
          <w:rFonts w:eastAsia="仿宋_GB2312"/>
          <w:szCs w:val="21"/>
          <w:highlight w:val="none"/>
        </w:rPr>
      </w:pPr>
      <w:r>
        <w:rPr>
          <w:rFonts w:eastAsia="仿宋_GB2312"/>
          <w:szCs w:val="21"/>
          <w:highlight w:val="none"/>
        </w:rPr>
        <w:t>1、原料供应商提供的1,3-丙二醇、花生醇毒理学报告</w:t>
      </w:r>
    </w:p>
    <w:p>
      <w:pPr>
        <w:adjustRightInd w:val="0"/>
        <w:snapToGrid w:val="0"/>
        <w:spacing w:line="560" w:lineRule="exact"/>
        <w:rPr>
          <w:rFonts w:eastAsia="仿宋_GB2312"/>
          <w:szCs w:val="21"/>
          <w:highlight w:val="none"/>
        </w:rPr>
      </w:pPr>
      <w:r>
        <w:rPr>
          <w:rFonts w:eastAsia="仿宋_GB2312"/>
          <w:szCs w:val="21"/>
          <w:highlight w:val="none"/>
        </w:rPr>
        <w:t>2、使用鲸蜡醇的备案号为</w:t>
      </w:r>
      <w:r>
        <w:rPr>
          <w:rFonts w:hint="eastAsia" w:eastAsia="仿宋_GB2312"/>
          <w:szCs w:val="21"/>
          <w:highlight w:val="none"/>
        </w:rPr>
        <w:t>xxx</w:t>
      </w:r>
      <w:r>
        <w:rPr>
          <w:rFonts w:eastAsia="仿宋_GB2312"/>
          <w:szCs w:val="21"/>
          <w:highlight w:val="none"/>
        </w:rPr>
        <w:t>的面霜资料</w:t>
      </w:r>
    </w:p>
    <w:p>
      <w:pPr>
        <w:adjustRightInd w:val="0"/>
        <w:snapToGrid w:val="0"/>
        <w:spacing w:line="560" w:lineRule="exact"/>
        <w:rPr>
          <w:rFonts w:eastAsia="仿宋_GB2312"/>
          <w:szCs w:val="21"/>
          <w:highlight w:val="none"/>
        </w:rPr>
      </w:pPr>
      <w:r>
        <w:rPr>
          <w:rFonts w:eastAsia="仿宋_GB2312"/>
          <w:szCs w:val="21"/>
          <w:highlight w:val="none"/>
        </w:rPr>
        <w:t>3、产品中二甘醇、苯酚检测报告</w:t>
      </w:r>
    </w:p>
    <w:p>
      <w:pPr>
        <w:adjustRightInd w:val="0"/>
        <w:snapToGrid w:val="0"/>
        <w:spacing w:line="560" w:lineRule="exact"/>
        <w:rPr>
          <w:rFonts w:eastAsia="仿宋_GB2312"/>
          <w:szCs w:val="21"/>
          <w:highlight w:val="none"/>
        </w:rPr>
      </w:pPr>
      <w:r>
        <w:rPr>
          <w:rFonts w:eastAsia="仿宋_GB2312"/>
          <w:szCs w:val="21"/>
          <w:highlight w:val="none"/>
        </w:rPr>
        <w:t>4、香精的IFRA证书</w:t>
      </w:r>
    </w:p>
    <w:p>
      <w:pPr>
        <w:adjustRightInd w:val="0"/>
        <w:snapToGrid w:val="0"/>
        <w:spacing w:line="560" w:lineRule="exact"/>
        <w:rPr>
          <w:rFonts w:eastAsia="仿宋_GB2312"/>
          <w:szCs w:val="21"/>
          <w:highlight w:val="none"/>
        </w:rPr>
      </w:pPr>
      <w:r>
        <w:rPr>
          <w:rFonts w:eastAsia="仿宋_GB2312"/>
          <w:szCs w:val="21"/>
          <w:highlight w:val="none"/>
        </w:rPr>
        <w:t>注：附录所提供的资料仅针对该示例报告，还可根据产品实际情况提供原料供应商提供的符合要求的证明文件，根据原料供应商提供的材料推算出的风险物质浓度，原料供应商提供的其他香精证明文件或符合GB/T 22731-2017 日用香精标准声明等其他证明文件。</w:t>
      </w:r>
    </w:p>
    <w:p>
      <w:pPr>
        <w:adjustRightInd w:val="0"/>
        <w:snapToGrid w:val="0"/>
        <w:spacing w:line="500" w:lineRule="exact"/>
        <w:outlineLvl w:val="0"/>
        <w:rPr>
          <w:rFonts w:ascii="方正小标宋简体" w:hAnsi="黑体" w:eastAsia="方正小标宋简体" w:cs="黑体"/>
          <w:bCs/>
          <w:color w:val="000000"/>
          <w:sz w:val="28"/>
          <w:szCs w:val="28"/>
          <w:highlight w:val="none"/>
        </w:rPr>
      </w:pPr>
      <w:bookmarkStart w:id="17" w:name="_Toc15014"/>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bookmarkEnd w:id="17"/>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附14</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办理流程</w: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93056" behindDoc="0" locked="0" layoutInCell="1" allowOverlap="1">
                <wp:simplePos x="0" y="0"/>
                <wp:positionH relativeFrom="column">
                  <wp:posOffset>121920</wp:posOffset>
                </wp:positionH>
                <wp:positionV relativeFrom="paragraph">
                  <wp:posOffset>187960</wp:posOffset>
                </wp:positionV>
                <wp:extent cx="995680" cy="0"/>
                <wp:effectExtent l="0" t="38100" r="13970" b="38100"/>
                <wp:wrapNone/>
                <wp:docPr id="109" name="直接箭头连接符 109"/>
                <wp:cNvGraphicFramePr/>
                <a:graphic xmlns:a="http://schemas.openxmlformats.org/drawingml/2006/main">
                  <a:graphicData uri="http://schemas.microsoft.com/office/word/2010/wordprocessingShape">
                    <wps:wsp>
                      <wps:cNvCnPr/>
                      <wps:spPr>
                        <a:xfrm>
                          <a:off x="0" y="0"/>
                          <a:ext cx="99568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6pt;margin-top:14.8pt;height:0pt;width:78.4pt;z-index:251693056;mso-width-relative:page;mso-height-relative:page;" filled="f" stroked="t" coordsize="21600,21600" o:gfxdata="UEsFBgAAAAAAAAAAAAAAAAAAAAAAAFBLAwQKAAAAAACHTuJAAAAAAAAAAAAAAAAABAAAAGRycy9Q&#10;SwMEFAAAAAgAh07iQOW/ESTWAAAACAEAAA8AAABkcnMvZG93bnJldi54bWxNj81OwzAQhO9IvIO1&#10;SNyo0xwCCXEqQYXIBSRahDi68RJbxOsodv94erbiUI6zM5r9pl4c/CB2OEUXSMF8loFA6oJx1Ct4&#10;Xz/d3IGISZPRQyBUcMQIi+byotaVCXt6w90q9YJLKFZagU1prKSMnUWv4yyMSOx9hcnrxHLqpZn0&#10;nsv9IPMsK6TXjviD1SM+Wuy+V1uvIC0/j7b46B5K97p+fincT9u2S6Wur+bZPYiEh3QOwwmf0aFh&#10;pk3YkoliYF3mnFSQlwWIk39b8LbN30E2tfw/oPkFUEsDBBQAAAAIAIdO4kDgVqfS9gEAALgDAAAO&#10;AAAAZHJzL2Uyb0RvYy54bWytU0uOEzEQ3SNxB8t70p1IGU2idGaRMGz4RAIOUHG7uy35J5dJJ5fg&#10;AkisgBWwmv2cBoZjUHYnGT47RC/scn1eVb2qXlztjWY7GVA5W/HxqORMWuFqZduKv351/eiSM4xg&#10;a9DOyoofJPKr5cMHi97P5cR1TtcyMAKxOO99xbsY/bwoUHTSAI6cl5aMjQsGIj1DW9QBekI3upiU&#10;5UXRu1D74IREJO16MPJlxm8aKeKLpkEZma441RbzGfK5TWexXMC8DeA7JY5lwD9UYUBZSnqGWkME&#10;9iaov6CMEsGha+JIOFO4plFC5h6om3H5RzcvO/Ay90LkoD/ThP8PVjzfbQJTNc2unHFmwdCQ7t7d&#10;fH/78e7rl28fbn7cvk/y508sORBdvcc5Ra3sJhxf6Dch9b5vgkk3dcX2meLDmWK5j0yQcjabXlzS&#10;IMTJVNzH+YDxiXSGJaHiGAOotosrZy3N0YVxZhh2TzFSZgo8BaSk1l0rrfM4tWU9ZZpOppQHaKka&#10;DZFE46lNtC1noFvaVhFDRkSnVZ2iEw6GdrvSge0gbUz+BqcOajloZ1NSD5uDEJ+5elCPy5OeSjvC&#10;5DJ/w081rwG7ISabBqgISj+2NYsHTyOIQYFttUw2gtOWrsT8wHWStq4+5BFkPa1Hdjyuctq/X985&#10;+v6HW/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5b8RJNYAAAAIAQAADwAAAAAAAAABACAAAAA4&#10;AAAAZHJzL2Rvd25yZXYueG1sUEsBAhQAFAAAAAgAh07iQOBWp9L2AQAAuAMAAA4AAAAAAAAAAQAg&#10;AAAAOwEAAGRycy9lMm9Eb2MueG1sUEsFBgAAAAAGAAYAWQEAAKMFAAAAAA==&#10;">
                <v:fill on="f" focussize="0,0"/>
                <v:stroke color="#000000 [3200]" joinstyle="round"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187960</wp:posOffset>
                </wp:positionV>
                <wp:extent cx="0" cy="2080260"/>
                <wp:effectExtent l="4445" t="0" r="14605" b="15240"/>
                <wp:wrapNone/>
                <wp:docPr id="110" name="直接连接符 110"/>
                <wp:cNvGraphicFramePr/>
                <a:graphic xmlns:a="http://schemas.openxmlformats.org/drawingml/2006/main">
                  <a:graphicData uri="http://schemas.microsoft.com/office/word/2010/wordprocessingShape">
                    <wps:wsp>
                      <wps:cNvCnPr/>
                      <wps:spPr>
                        <a:xfrm>
                          <a:off x="0" y="0"/>
                          <a:ext cx="0" cy="208026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14.8pt;height:163.8pt;width:0pt;z-index:251667456;mso-width-relative:page;mso-height-relative:page;" filled="f" stroked="t" coordsize="21600,21600" o:gfxdata="UEsFBgAAAAAAAAAAAAAAAAAAAAAAAFBLAwQKAAAAAACHTuJAAAAAAAAAAAAAAAAABAAAAGRycy9Q&#10;SwMEFAAAAAgAh07iQJNXBKnVAAAACAEAAA8AAABkcnMvZG93bnJldi54bWxNj8tOwzAQRfdI/IM1&#10;SGyq1q4rWhridAFkx4YCYjuNhyQiHqex+4Cvx1mV5dG9unMm35xdJ440hNazgflMgSCuvG25NvD+&#10;Vk7vQYSIbLHzTAZ+KMCmuL7KMbP+xK903MZapBEOGRpoYuwzKUPVkMMw8z1xyr784DAmHGppBzyl&#10;cddJrdRSOmw5XWiwp8eGqu/twRkI5Qfty99JNVGfi9qT3j+9PKMxtzdz9QAi0jleyjDqJ3UoktPO&#10;H9gG0SVe69Q0oNdLEGM+8s7A4m6lQRa5/P9A8QdQSwMEFAAAAAgAh07iQO8NUB7WAQAAiQMAAA4A&#10;AABkcnMvZTJvRG9jLnhtbK1TS44TMRDdI3EHy3vSnUgZzbTSmcVEw4ZPJOAAFdvdbck/uUw6uQQX&#10;QGIHK5bsuQ0zx6DszmT47BC9KNvPVc9Vr6pX1wdr2F5F1N61fD6rOVNOeKld3/J3b2+fXXKGCZwE&#10;451q+VEhv14/fbIaQ6MWfvBGqsiIxGEzhpYPKYWmqlAMygLOfFCOLjsfLSQ6xr6SEUZit6Za1PVF&#10;NfooQ/RCIRK6mS75uvB3nRLpddehSsy0nHJLxcZid9lW6xU0fYQwaHFKA/4hCwva0aNnqg0kYO+j&#10;/ovKahE9+i7NhLeV7zotVKmBqpnXf1TzZoCgSi0kDoazTPj/aMWr/TYyLal3c9LHgaUm3X389uPD&#10;5/vvn8jeff3C8hUJNQZsyP/GbePphGEbc9WHLtq8Uj3sUMQ9nsVVh8TEBApCF/VlvbgofNVjYIiY&#10;nitvWd603GiX64YG9i8w0WPk+uCSYedvtTGld8axseVXy8WSMwE0QZ2BRFsbqCZ0PWdgehpNkWJh&#10;RG+0zNGZB2O/uzGR7SGPR/kmpwGkmtCrJcHTmCCkl15O8Lx+wCm1E01J8zf+nPMGcJhiylWmohDj&#10;aMmCThLm3c7LY1G24NTv4niazTxQv55L9OMftP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k1cE&#10;qdUAAAAIAQAADwAAAAAAAAABACAAAAA4AAAAZHJzL2Rvd25yZXYueG1sUEsBAhQAFAAAAAgAh07i&#10;QO8NUB7WAQAAiQMAAA4AAAAAAAAAAQAgAAAAOgEAAGRycy9lMm9Eb2MueG1sUEsFBgAAAAAGAAYA&#10;WQEAAII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60288" behindDoc="0" locked="0" layoutInCell="1" allowOverlap="1">
                <wp:simplePos x="0" y="0"/>
                <wp:positionH relativeFrom="column">
                  <wp:posOffset>1115060</wp:posOffset>
                </wp:positionH>
                <wp:positionV relativeFrom="paragraph">
                  <wp:posOffset>20955</wp:posOffset>
                </wp:positionV>
                <wp:extent cx="2936240" cy="306705"/>
                <wp:effectExtent l="4445" t="4445" r="12065" b="12700"/>
                <wp:wrapNone/>
                <wp:docPr id="112" name="文本框 112"/>
                <wp:cNvGraphicFramePr/>
                <a:graphic xmlns:a="http://schemas.openxmlformats.org/drawingml/2006/main">
                  <a:graphicData uri="http://schemas.microsoft.com/office/word/2010/wordprocessingShape">
                    <wps:wsp>
                      <wps:cNvSpPr txBox="true">
                        <a:spLocks noChangeArrowheads="true"/>
                      </wps:cNvSpPr>
                      <wps:spPr bwMode="auto">
                        <a:xfrm>
                          <a:off x="0" y="0"/>
                          <a:ext cx="2936529" cy="30670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申请人系统提交注册申请</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7.8pt;margin-top:1.65pt;height:24.15pt;width:231.2pt;z-index:251660288;mso-width-relative:page;mso-height-relative:page;" fillcolor="#FFFFFF" filled="t" stroked="t" coordsize="21600,21600" o:gfxdata="UEsFBgAAAAAAAAAAAAAAAAAAAAAAAFBLAwQKAAAAAACHTuJAAAAAAAAAAAAAAAAABAAAAGRycy9Q&#10;SwMEFAAAAAgAh07iQJaMwGbXAAAACAEAAA8AAABkcnMvZG93bnJldi54bWxNj8FOwzAQRO9I/IO1&#10;SFwQdUJoGkKcHpBAcIOC4OrG2yTCXgfbTcvfs5zgOJrRzJtmfXRWzBji6ElBvshAIHXejNQreHu9&#10;v6xAxKTJaOsJFXxjhHV7etLo2vgDveC8Sb3gEoq1VjCkNNVSxm5Ap+PCT0js7XxwOrEMvTRBH7jc&#10;WXmVZaV0eiReGPSEdwN2n5u9U1BdP84f8al4fu/Knb1JF6v54SsodX6WZ7cgEh7TXxh+8RkdWmba&#10;+j2ZKCzr1bLkqIKiAMF+WVT8batgmZcg20b+P9D+AFBLAwQUAAAACACHTuJALHu0DDYCAABYBAAA&#10;DgAAAGRycy9lMm9Eb2MueG1srVTNbtQwEL4j8Q6W7zTZtNt2o2ar0qoIqfxIhQfwOs7GwvGYsXeT&#10;8gDwBpy4cOe59jkYO9slAk6IHCyPZ/z58/eNc3E5dIZtFXoNtuKzo5wzZSXU2q4r/v7d7bNzznwQ&#10;thYGrKr4g/L8cvn0yUXvSlVAC6ZWyAjE+rJ3FW9DcGWWedmqTvgjcMpSsgHsRKAQ11mNoif0zmRF&#10;np9mPWDtEKTynlZvxiRfJvymUTK8aRqvAjMVJ24hjZjGVRyz5YUo1yhcq+WehvgHFp3Qlg49QN2I&#10;INgG9R9QnZYIHppwJKHLoGm0VOkOdJtZ/ttt7lvhVLoLiePdQSb//2Dl6+1bZLom72YFZ1Z0ZNLu&#10;65fdtx+7759ZXCSJeudLqrx3VBuG5zBUPOAmUhOld3cgP3hm4boVdq2uEKFvlaiJZSqi/dkEYETz&#10;EWrVv4KazhObAAlraLCLmKQLozPIsIeDSWoITNJisTg+nRcLziTljvPTs3weKWaifNzt0IcXCjoW&#10;JxVHaoKELrZ3PoyljyXpAmB0fauNSQGuV9cG2VZQw9ymb4/up2XGsr7ii3kxHzWY5vwUIk/f3yA6&#10;Hajzje4qfj4tMjbyUKl393yjelGwUbowrIa9JyuoH0hHhLGv6R3SpAX8xFlPPV1x/3EjUHFmXlqy&#10;YzE7OYmPIAUn87OCApxmVtOMsJKgyETOxul1oKgRxhPgxqFet3TaoQ8sXJGNjU4KR8Yjub351L7J&#10;o/1Ti+9jGqeqXz+E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WjMBm1wAAAAgBAAAPAAAAAAAA&#10;AAEAIAAAADgAAABkcnMvZG93bnJldi54bWxQSwECFAAUAAAACACHTuJALHu0DDYCAABYBAAADgAA&#10;AAAAAAABACAAAAA8AQAAZHJzL2Uyb0RvYy54bWxQSwUGAAAAAAYABgBZAQAA5A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申请人系统提交注册申请</w:t>
                      </w:r>
                    </w:p>
                  </w:txbxContent>
                </v:textbox>
              </v:shape>
            </w:pict>
          </mc:Fallback>
        </mc:AlternateConten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83840" behindDoc="0" locked="0" layoutInCell="1" allowOverlap="1">
                <wp:simplePos x="0" y="0"/>
                <wp:positionH relativeFrom="column">
                  <wp:posOffset>2461260</wp:posOffset>
                </wp:positionH>
                <wp:positionV relativeFrom="paragraph">
                  <wp:posOffset>-1905</wp:posOffset>
                </wp:positionV>
                <wp:extent cx="259715" cy="635"/>
                <wp:effectExtent l="38100" t="0" r="37465" b="6985"/>
                <wp:wrapNone/>
                <wp:docPr id="114" name="肘形连接符 114"/>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93.8pt;margin-top:-0.15pt;height:0.05pt;width:20.45pt;rotation:5898240f;z-index:251683840;mso-width-relative:page;mso-height-relative:page;" filled="f" stroked="t" coordsize="21600,21600" o:gfxdata="UEsFBgAAAAAAAAAAAAAAAAAAAAAAAFBLAwQKAAAAAACHTuJAAAAAAAAAAAAAAAAABAAAAGRycy9Q&#10;SwMEFAAAAAgAh07iQAiY0e3UAAAABwEAAA8AAABkcnMvZG93bnJldi54bWxNjk1Lw0AQhu+C/2EZ&#10;wYu0m36kDTGbUgTBk2Cs92l2TEKzsyG7Tau/3vGkx5f36yl2V9ericbQeTawmCegiGtvO24MHN6f&#10;ZxmoEJEt9p7JwBcF2JW3NwXm1l/4jaYqNkpGOORooI1xyLUOdUsOw9wPxOJ9+tFhFDk22o54kXHX&#10;62WSbLTDjuWhxYGeWqpP1dkJxgOmwe4/DtPpu3pZp9vsdc+1Mfd3i+QRVKRr/AvDL750oBSmoz+z&#10;Dao3sMq2G4kamK1Aib9eZimoo+gl6LLQ//nLH1BLAwQUAAAACACHTuJANPS2Nx0CAADyAwAADgAA&#10;AGRycy9lMm9Eb2MueG1srVPBbhMxEL0j8Q+W72STtFvaVTY9pJRLgUgtH+DY3qzB9li2k02ufABn&#10;ThyQ4MQvIL6mpZ/B2NkECjeED5Y9M34zb954cr4xmqylDwpsTUeDISXSchDKLmv6+ubyySklITIr&#10;mAYra7qVgZ5PHz+adK6SY2hBC+kJgthQda6mbYyuKorAW2lYGICTFp0NeMMiXv2yEJ51iG50MR4O&#10;T4oOvHAeuAwBrRc7J51m/KaRPL5qmiAj0TXF2mLefd4XaS+mE1YtPXOt4n0Z7B+qMExZTHqAumCR&#10;kZVXf0EZxT0EaOKAgymgaRSXmQOyGQ3/YHPdMiczF2xOcIc2hf8Hy1+u554ogdqNjimxzKBI9+8+&#10;3H77dP/94937zz++fiHJhY3qXKgwfmbnPlHlG3vtroC/DcTCrGV2KXPBN1uHGNGvZHpUPHiVLsFh&#10;xkX3AgSGsVWE3LhN4w3xgAKVx8O0shUbRDZZre1BLbmJhKNxXJ49HZWUcHSdHJU5GasSTqrO+RCf&#10;SzAkHWq6kDbOwFocCPBHGZutr0LMmomeNxNvRpQ0RuMIrJkmZa4jkWBVH42nPXJ6auFSaZ2HSFvS&#10;1fSsHJcZPYBWIjlTWPDLxUx7gqBII6++3AdhRkX8DFqZmp4eglgVmdLPrCCxb6zCVmtJUzojBSVa&#10;4tdLp12l2qaUMg8/MtxrkNq+03ABYjv3ezsOVibYf4I0ub/fs4K/vur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iY0e3UAAAABwEAAA8AAAAAAAAAAQAgAAAAOAAAAGRycy9kb3ducmV2LnhtbFBL&#10;AQIUABQAAAAIAIdO4kA09LY3HQIAAPIDAAAOAAAAAAAAAAEAIAAAADkBAABkcnMvZTJvRG9jLnht&#10;bFBLBQYAAAAABgAGAFkBAADI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61312" behindDoc="0" locked="0" layoutInCell="1" allowOverlap="1">
                <wp:simplePos x="0" y="0"/>
                <wp:positionH relativeFrom="column">
                  <wp:posOffset>1052830</wp:posOffset>
                </wp:positionH>
                <wp:positionV relativeFrom="paragraph">
                  <wp:posOffset>139065</wp:posOffset>
                </wp:positionV>
                <wp:extent cx="2971165" cy="276225"/>
                <wp:effectExtent l="4445" t="4445" r="15240" b="5080"/>
                <wp:wrapNone/>
                <wp:docPr id="115" name="文本框 115"/>
                <wp:cNvGraphicFramePr/>
                <a:graphic xmlns:a="http://schemas.openxmlformats.org/drawingml/2006/main">
                  <a:graphicData uri="http://schemas.microsoft.com/office/word/2010/wordprocessingShape">
                    <wps:wsp>
                      <wps:cNvSpPr txBox="true">
                        <a:spLocks noChangeArrowheads="true"/>
                      </wps:cNvSpPr>
                      <wps:spPr bwMode="auto">
                        <a:xfrm>
                          <a:off x="0" y="0"/>
                          <a:ext cx="2971165" cy="27622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受理机构做出受理决定</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2.9pt;margin-top:10.95pt;height:21.75pt;width:233.95pt;z-index:251661312;mso-width-relative:page;mso-height-relative:page;" fillcolor="#FFFFFF" filled="t" stroked="t" coordsize="21600,21600" o:gfxdata="UEsFBgAAAAAAAAAAAAAAAAAAAAAAAFBLAwQKAAAAAACHTuJAAAAAAAAAAAAAAAAABAAAAGRycy9Q&#10;SwMEFAAAAAgAh07iQOvfJT/ZAAAACQEAAA8AAABkcnMvZG93bnJldi54bWxNj8FOwzAQRO9I/IO1&#10;SFwQddK0aRvi9IAEglspVbm68TaJsNchdtPy9ywnuM1oRrNvy/XFWTHiEDpPCtJJAgKp9qajRsHu&#10;/el+CSJETUZbT6jgGwOsq+urUhfGn+kNx21sBI9QKLSCNsa+kDLULTodJr5H4uzoB6cj26GRZtBn&#10;HndWTpMkl053xBda3eNji/Xn9uQULGcv40d4zTb7Oj/aVbxbjM9fg1K3N2nyACLiJf6V4Ref0aFi&#10;poM/kQnCss/njB4VTNMVCC7kWbYAcWAxn4GsSvn/g+oHUEsDBBQAAAAIAIdO4kD6pJ7DNQIAAFgE&#10;AAAOAAAAZHJzL2Uyb0RvYy54bWytVM2O0zAQviPxDpbvNG20bbfRpqtlV0VIy4+08ACO4zQWjseM&#10;3SblAeAN9sSFO8+1z8HY7ZYKEAdEDpbHM/7mm2/GubgcOsO2Cr0GW/LJaMyZshJqbdclf/9u9eyc&#10;Mx+ErYUBq0q+U55fLp8+uehdoXJowdQKGYFYX/Su5G0IrsgyL1vVCT8Cpyw5G8BOBDJxndUoekLv&#10;TJaPx7OsB6wdglTe0+nN3smXCb9plAxvmsarwEzJiVtIK6a1imu2vBDFGoVrtTzQEP/AohPaUtIj&#10;1I0Igm1Q/wbVaYngoQkjCV0GTaOlSjVQNZPxL9XctcKpVAuJ491RJv//YOXr7VtkuqbeTaacWdFR&#10;kx7uvzx8/f7w7TOLhyRR73xBkXeOYsPwHIaSB9xEaqLw7hbkB88sXLfCrtUVIvStEjWxTEF0PzsB&#10;2KP5CFX1r6CmfGITIGENDXYRk3RhlIMatjs2SQ2BSTrMF/PJZEZcJfny+SzPE8VMFI+3HfrwQkHH&#10;4qbkSEOQ0MX21ofIRhSPIakAMLpeaWOSgevq2iDbChqYVfqiAHTFn4YZy/qSL6aU++8Q4/T9CaLT&#10;gSbf6K7k56dBxkZElWb3wDeqFwXbSxeGajj0pIJ6Rzoi7Oea3iFtWsBPnPU00yX3HzcCFWfmpaV2&#10;LCZnZ/ERJONsOs/JwFNPdeoRVhIUNZGz/fY6kNUI4wlw41CvW8p2nAMLV9TGRieFI+M9uUPzaXyT&#10;ioenFt/HqZ2ifv4Q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698lP9kAAAAJAQAADwAAAAAA&#10;AAABACAAAAA4AAAAZHJzL2Rvd25yZXYueG1sUEsBAhQAFAAAAAgAh07iQPqknsM1AgAAWAQAAA4A&#10;AAAAAAAAAQAgAAAAPg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受理机构做出受理决定</w:t>
                      </w:r>
                    </w:p>
                  </w:txbxContent>
                </v:textbox>
              </v:shap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2576" behindDoc="0" locked="0" layoutInCell="1" allowOverlap="1">
                <wp:simplePos x="0" y="0"/>
                <wp:positionH relativeFrom="column">
                  <wp:posOffset>2591435</wp:posOffset>
                </wp:positionH>
                <wp:positionV relativeFrom="paragraph">
                  <wp:posOffset>172720</wp:posOffset>
                </wp:positionV>
                <wp:extent cx="0" cy="187325"/>
                <wp:effectExtent l="5080" t="0" r="13970" b="3175"/>
                <wp:wrapNone/>
                <wp:docPr id="116" name="直接连接符 116"/>
                <wp:cNvGraphicFramePr/>
                <a:graphic xmlns:a="http://schemas.openxmlformats.org/drawingml/2006/main">
                  <a:graphicData uri="http://schemas.microsoft.com/office/word/2010/wordprocessingShape">
                    <wps:wsp>
                      <wps:cNvCnPr/>
                      <wps:spPr>
                        <a:xfrm>
                          <a:off x="0" y="0"/>
                          <a:ext cx="0" cy="18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05pt;margin-top:13.6pt;height:14.75pt;width:0pt;z-index:251672576;mso-width-relative:page;mso-height-relative:page;" filled="f" stroked="t" coordsize="21600,21600" o:gfxdata="UEsFBgAAAAAAAAAAAAAAAAAAAAAAAFBLAwQKAAAAAACHTuJAAAAAAAAAAAAAAAAABAAAAGRycy9Q&#10;SwMEFAAAAAgAh07iQGABKNbWAAAACQEAAA8AAABkcnMvZG93bnJldi54bWxNjz1Pw0AMhnck/sPJ&#10;SCxVe5cAbRXidACysVBAXd3EJBE5X5q7fsCv51AHGG0/ev28+epke3Xg0XdOEJKZAcVSubqTBuHt&#10;tZwuQflAUlPvhBG+2MOquLzIKavdUV74sA6NiiHiM0JoQxgyrX3VsiU/cwNLvH240VKI49joeqRj&#10;DLe9To2Za0udxA8tDfzQcvW53lsEX77zrvyeVBOzuWkcp7vH5ydCvL5KzD2owKfwB8OvflSHIjpt&#10;3V5qr3qEW7NMIoqQLlJQETgvtgh38wXoItf/GxQ/UEsDBBQAAAAIAIdO4kD7PBzS1AEAAIgDAAAO&#10;AAAAZHJzL2Uyb0RvYy54bWytU0tu2zAQ3RfoHQjua1kunCaC5SxipJt+DLQ5wJiiJAL8gcNa9iV6&#10;gQLdtasuu+9tkh4jQ0px+tkV1WJEPs48zXscrS4PRrO9DKicrXk5m3MmrXCNsl3Nb95fPzvnDCPY&#10;BrSzsuZHifxy/fTJavCVXLje6UYGRiQWq8HXvI/RV0WBopcGcOa8tHTYumAg0jZ0RRNgIHaji8V8&#10;flYMLjQ+OCERCd2Mh3yd+dtWivi2bVFGpmtOvcUcQ467FIv1CqougO+VmNqAf+jCgLL00RPVBiKw&#10;D0H9RWWUCA5dG2fCmcK1rRIyayA15fwPNe968DJrIXPQn2zC/0cr3uy3gamG7q4848yCoUu6+/T9&#10;9uOXnz8+U7z79pWlIzJq8FhR/pXdhmmHfhuS6kMbTHqTHnbI5h5P5spDZGIEBaHl+Yvni2WiKx7r&#10;fMD4UjrD0qLmWtkkGyrYv8I4pj6kJNi6a6U14VBpy4aaXyyJkgmgAWo1RFoaT5LQdpyB7mgyRQyZ&#10;EZ1WTapOxRi63ZUObA9pOvIzJvXQyBG9WBI8TglCfO2aES7nDzipmGiyot/4U88bwH6syUeTcG0p&#10;O/k5OphWO9ccs7EZp+vOfNNopnn6dZ+rH3+g9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gASjW&#10;1gAAAAkBAAAPAAAAAAAAAAEAIAAAADgAAABkcnMvZG93bnJldi54bWxQSwECFAAUAAAACACHTuJA&#10;+zwc0tQBAACIAwAADgAAAAAAAAABACAAAAA7AQAAZHJzL2Uyb0RvYy54bWxQSwUGAAAAAAYABgBZ&#10;AQAAgQU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84864" behindDoc="0" locked="0" layoutInCell="1" allowOverlap="1">
                <wp:simplePos x="0" y="0"/>
                <wp:positionH relativeFrom="column">
                  <wp:posOffset>1264920</wp:posOffset>
                </wp:positionH>
                <wp:positionV relativeFrom="paragraph">
                  <wp:posOffset>131445</wp:posOffset>
                </wp:positionV>
                <wp:extent cx="2540000" cy="0"/>
                <wp:effectExtent l="0" t="0" r="0" b="0"/>
                <wp:wrapNone/>
                <wp:docPr id="120" name="直接连接符 120"/>
                <wp:cNvGraphicFramePr/>
                <a:graphic xmlns:a="http://schemas.openxmlformats.org/drawingml/2006/main">
                  <a:graphicData uri="http://schemas.microsoft.com/office/word/2010/wordprocessingShape">
                    <wps:wsp>
                      <wps:cNvCnPr/>
                      <wps:spPr>
                        <a:xfrm>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pt;margin-top:10.35pt;height:0pt;width:200pt;z-index:251684864;mso-width-relative:page;mso-height-relative:page;" filled="f" stroked="t" coordsize="21600,21600" o:gfxdata="UEsFBgAAAAAAAAAAAAAAAAAAAAAAAFBLAwQKAAAAAACHTuJAAAAAAAAAAAAAAAAABAAAAGRycy9Q&#10;SwMEFAAAAAgAh07iQLPbARzUAAAACQEAAA8AAABkcnMvZG93bnJldi54bWxNj81OwzAQhO9IvIO1&#10;SFwqajcISkOcHoDcuFCouG7jJYmI12ns/sDTs8ABjjP7aXamWB59r/Y0xi6whdnUgCKug+u4sfDy&#10;XF3cgIoJ2WEfmCx8UIRleXpSYO7CgZ9ov0qNkhCOOVpoUxpyrWPdksc4DQOx3N7C6DGJHBvtRjxI&#10;uO91Zsy19tixfGhxoLuW6vfVzluI1Zq21eeknpjXyyZQtr1/fEBrz89m5hZUomP6g+G7vlSHUjpt&#10;wo5dVL3oxSIT1EJm5qAEuPoxNr+GLgv9f0H5BVBLAwQUAAAACACHTuJA9j9g3NQBAACJAwAADgAA&#10;AGRycy9lMm9Eb2MueG1srVNLjhMxEN0jcQfLe9KdiCCmlc4sJho2fCIBB6jY7m5L/sll0skluAAS&#10;O1ixZM9tGI5B2Z1k+OwQXlTb9Xmu91y9uj5Yw/Yqovau5fNZzZlywkvt+pa/fXP76ClnmMBJMN6p&#10;lh8V8uv1wwerMTRq4QdvpIqMQBw2Y2j5kFJoqgrFoCzgzAflKNj5aCHRMfaVjDASujXVoq6fVKOP&#10;MkQvFCJ5N1OQrwt+1ymRXnUdqsRMy6m3VGwsdpdttV5B00cIgxanNuAfurCgHV16gdpAAvYu6r+g&#10;rBbRo+/STHhb+a7TQhUOxGZe/8Hm9QBBFS4kDoaLTPj/YMXL/TYyLentFqSPA0uPdPfh6/f3n358&#10;+0j27stnlkMk1Biwofwbt42nE4ZtzKwPXbT5S3zYoYh7vIirDokJci6Wj2tanIlzrLovDBHTM+Ut&#10;y5uWG+0yb2hg/xwTXUap55Tsdv5WG1Pezjg2tvxquVgSMtAEdQYSbW0gTuh6zsD0NJoixYKI3miZ&#10;qzMOxn53YyLbQx6PsqakAaSavFfL3HS5CiG98HJyz+uzn1o7wZQ2f8PPPW8Ah6mmhDIUlRhHnyzo&#10;JGHe7bw8FmWLn967JJ5mMw/Ur+dSff8H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9sBHNQA&#10;AAAJAQAADwAAAAAAAAABACAAAAA4AAAAZHJzL2Rvd25yZXYueG1sUEsBAhQAFAAAAAgAh07iQPY/&#10;YNzUAQAAiQMAAA4AAAAAAAAAAQAgAAAAOQEAAGRycy9lMm9Eb2MueG1sUEsFBgAAAAAGAAYAWQEA&#10;AH8FA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5408" behindDoc="0" locked="0" layoutInCell="1" allowOverlap="1">
                <wp:simplePos x="0" y="0"/>
                <wp:positionH relativeFrom="column">
                  <wp:posOffset>3581400</wp:posOffset>
                </wp:positionH>
                <wp:positionV relativeFrom="paragraph">
                  <wp:posOffset>167640</wp:posOffset>
                </wp:positionV>
                <wp:extent cx="441960" cy="269240"/>
                <wp:effectExtent l="4445" t="5080" r="10795" b="11430"/>
                <wp:wrapNone/>
                <wp:docPr id="122" name="文本框 122"/>
                <wp:cNvGraphicFramePr/>
                <a:graphic xmlns:a="http://schemas.openxmlformats.org/drawingml/2006/main">
                  <a:graphicData uri="http://schemas.microsoft.com/office/word/2010/wordprocessingShape">
                    <wps:wsp>
                      <wps:cNvSpPr txBox="true"/>
                      <wps:spPr>
                        <a:xfrm>
                          <a:off x="0" y="0"/>
                          <a:ext cx="44196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2pt;margin-top:13.2pt;height:21.2pt;width:34.8pt;z-index:251665408;mso-width-relative:page;mso-height-relative:page;" fillcolor="#FFFFFF [3201]" filled="t" stroked="t" coordsize="21600,21600" o:gfxdata="UEsFBgAAAAAAAAAAAAAAAAAAAAAAAFBLAwQKAAAAAACHTuJAAAAAAAAAAAAAAAAABAAAAGRycy9Q&#10;SwMEFAAAAAgAh07iQFtAsLnZAAAACQEAAA8AAABkcnMvZG93bnJldi54bWxNj8FOwzAQRO9I/IO1&#10;SFwQddoEE0KcHpBAcIOC4OrG2yQiXgfbTcvfs5zgNqsZzb6p10c3ihlDHDxpWC4yEEittwN1Gt5e&#10;7y9LEDEZsmb0hBq+McK6OT2pTWX9gV5w3qROcAnFymjoU5oqKWPbozNx4Sck9nY+OJP4DJ20wRy4&#10;3I1ylWVKOjMQf+jNhHc9tp+bvdNQFo/zR3zKn99btRtv0sX1/PAVtD4/W2a3IBIe018YfvEZHRpm&#10;2vo92ShGDVeq4C1Jw0oVIDig8lyB2LIoS5BNLf8vaH4AUEsDBBQAAAAIAIdO4kAs6Jx9TAIAAIwE&#10;AAAOAAAAZHJzL2Uyb0RvYy54bWytVMGO0zAQvSPxD5bvbNqoXWjVdFW6KkKq2JUWxNl17DbCsY3t&#10;NikfAH/AiQt3vmu/g2c37XZZTogcnBnP5M3Mm5lMrtpakZ1wvjK6oP2LHiVCc1NWel3QD+8XL15R&#10;4gPTJVNGi4LuhadX0+fPJo0di9xsjCqFIwDRftzYgm5CsOMs83wjauYvjBUaRmlczQJUt85Kxxqg&#10;1yrLe73LrDGutM5w4T1urw9GOk34UgoebqT0IhBVUOQW0unSuYpnNp2w8doxu6l4lwb7hyxqVmkE&#10;PUFds8DI1lVPoOqKO+ONDBfc1JmRsuIi1YBq+r0/qrnbMCtSLSDH2xNN/v/B8ne7W0eqEr3Lc0o0&#10;q9Gk++/f7n/8uv/5lcRLUNRYP4bnnYVvaF+btqDBbcXR5HEfi2+lq+MbZRG4gO/9iWPRBsJxORj0&#10;R5ewcJjyy1E+SD3IHj62zoc3wtQkCgV1aGFilu2WPiAXuB5dYixvVFUuKqWS4taruXJkx9DuRXpi&#10;jvjkkZvSpCnoaJgPE/IjW8Q+QawU45+eIgBP6RhPpAnr8ookHZiIUmhXbcfcypR7EOfMYfq85YsK&#10;UZbMh1vmMG6gAysUbnBIZZCa6SRKNsZ9+dt99McUwEpJg/EtqP+8ZU5Qot5qzMeoPwCzJCRlMHyZ&#10;Q3HnltW5RW/ruQFlfSyr5UmM/kEdRelM/RGbNotRJVMegZjmiI9JOIrzAK0zYmO5mM1OOqbdsrDU&#10;d5Z3sxP502a2DUZWqa+RtQNV6FhUMPKpd916xp0615PXw09k+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bQLC52QAAAAkBAAAPAAAAAAAAAAEAIAAAADgAAABkcnMvZG93bnJldi54bWxQSwECFAAU&#10;AAAACACHTuJALOicfUwCAACM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4384" behindDoc="0" locked="0" layoutInCell="1" allowOverlap="1">
                <wp:simplePos x="0" y="0"/>
                <wp:positionH relativeFrom="column">
                  <wp:posOffset>981075</wp:posOffset>
                </wp:positionH>
                <wp:positionV relativeFrom="paragraph">
                  <wp:posOffset>163195</wp:posOffset>
                </wp:positionV>
                <wp:extent cx="538480" cy="269240"/>
                <wp:effectExtent l="4445" t="4445" r="9525" b="12065"/>
                <wp:wrapNone/>
                <wp:docPr id="126" name="文本框 126"/>
                <wp:cNvGraphicFramePr/>
                <a:graphic xmlns:a="http://schemas.openxmlformats.org/drawingml/2006/main">
                  <a:graphicData uri="http://schemas.microsoft.com/office/word/2010/wordprocessingShape">
                    <wps:wsp>
                      <wps:cNvSpPr txBox="true"/>
                      <wps:spPr>
                        <a:xfrm>
                          <a:off x="0" y="0"/>
                          <a:ext cx="53848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25pt;margin-top:12.85pt;height:21.2pt;width:42.4pt;z-index:251664384;mso-width-relative:page;mso-height-relative:page;" fillcolor="#FFFFFF [3201]" filled="t" stroked="t" coordsize="21600,21600" o:gfxdata="UEsFBgAAAAAAAAAAAAAAAAAAAAAAAFBLAwQKAAAAAACHTuJAAAAAAAAAAAAAAAAABAAAAGRycy9Q&#10;SwMEFAAAAAgAh07iQGQpv9XZAAAACQEAAA8AAABkcnMvZG93bnJldi54bWxNj8tOwzAQRfdI/IM1&#10;SGwQdR5NmoY4XSCBYFcKgq0bu0mEPQ62m5a/Z1jB8mqO7j3TbM7WsFn7MDoUkC4SYBo7p0bsBby9&#10;PtxWwEKUqKRxqAV86wCb9vKikbVyJ3zR8y72jEow1FLAEONUcx66QVsZFm7SSLeD81ZGir7nyssT&#10;lVvDsyQpuZUj0sIgJ30/6O5zd7QCquXT/BGe8+17Vx7MOt6s5scvL8T1VZrcAYv6HP9g+NUndWjJ&#10;ae+OqAIzlItlQaiArFgBIyDL1zmwvYCySoG3Df//QfsDUEsDBBQAAAAIAIdO4kCjKvBeTQIAAIwE&#10;AAAOAAAAZHJzL2Uyb0RvYy54bWytVMGO0zAQvSPxD5bvbNrQLm216arsqgipYldaEGfXsdsIxza2&#10;26R8APwBJy7c+a5+B89u2t1lOSFycGY8kzczb2ZycdnWimyF85XRBe2f9SgRmpuy0quCfng/fzGi&#10;xAemS6aMFgXdCU8vp8+fXTR2InKzNqoUjgBE+0ljC7oOwU6yzPO1qJk/M1ZoGKVxNQtQ3SorHWuA&#10;Xqss7/XOs8a40jrDhfe4vT4Y6TThSyl4uJHSi0BUQZFbSKdL5zKe2fSCTVaO2XXFuzTYP2RRs0oj&#10;6AnqmgVGNq56AlVX3BlvZDjjps6MlBUXqQZU0+/9Uc3dmlmRagE53p5o8v8Plr/b3jpSlehdfk6J&#10;ZjWatP/+bf/j1/7nVxIvQVFj/QSedxa+oX1t2oIGtxFHk8d9LL6Vro5vlEXgAr53J45FGwjH5fDl&#10;aDCChcOUn4/zQepBdv+xdT68EaYmUSioQwsTs2y78AG5wPXoEmN5o6pyXimVFLdaXilHtgztnqcn&#10;5ohPHrkpTZqCjof5MCE/skXsE8RSMf7pKQLwlI7xRJqwLq9I0oGJKIV22XbMLU25A3HOHKbPWz6v&#10;EGXBfLhlDuMGOrBC4QaHVAapmU6iZG3cl7/dR39MAayUNBjfgvrPG+YEJeqtxnyM+wMwS0JSBsNX&#10;ORT30LJ8aNGb+sqAsj6W1fIkRv+gjqJ0pv6ITZvFqJIpj0BMc8THJBzFqwCtM2JjuZjNTjqm3bKw&#10;0HeWd7MT+dNmtglGVqmvkbUDVehYVDDyqXfdesadeqgnr/ufy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ZCm/1dkAAAAJAQAADwAAAAAAAAABACAAAAA4AAAAZHJzL2Rvd25yZXYueG1sUEsBAhQA&#10;FAAAAAgAh07iQKMq8F5NAgAAjAQAAA4AAAAAAAAAAQAgAAAAPgEAAGRycy9lMm9Eb2MueG1sUEsF&#10;BgAAAAAGAAYAWQEAAP0FA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w:pict>
          </mc:Fallback>
        </mc:AlternateContent>
      </w:r>
      <w:r>
        <w:rPr>
          <w:rFonts w:ascii="Calibri" w:hAnsi="Calibri"/>
          <w:highlight w:val="none"/>
        </w:rPr>
        <mc:AlternateContent>
          <mc:Choice Requires="wps">
            <w:drawing>
              <wp:anchor distT="0" distB="0" distL="114300" distR="114300" simplePos="0" relativeHeight="251686912" behindDoc="0" locked="0" layoutInCell="1" allowOverlap="1">
                <wp:simplePos x="0" y="0"/>
                <wp:positionH relativeFrom="column">
                  <wp:posOffset>3674110</wp:posOffset>
                </wp:positionH>
                <wp:positionV relativeFrom="paragraph">
                  <wp:posOffset>32385</wp:posOffset>
                </wp:positionV>
                <wp:extent cx="259715" cy="635"/>
                <wp:effectExtent l="38100" t="0" r="37465" b="6985"/>
                <wp:wrapNone/>
                <wp:docPr id="128" name="肘形连接符 128"/>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26528"/>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9.3pt;margin-top:2.55pt;height:0.05pt;width:20.45pt;rotation:5898240f;z-index:251686912;mso-width-relative:page;mso-height-relative:page;" filled="f" stroked="t" coordsize="21600,21600" o:gfxdata="UEsFBgAAAAAAAAAAAAAAAAAAAAAAAFBLAwQKAAAAAACHTuJAAAAAAAAAAAAAAAAABAAAAGRycy9Q&#10;SwMEFAAAAAgAh07iQPlZo9zWAAAABwEAAA8AAABkcnMvZG93bnJldi54bWxNjsFOwzAQRO9I/IO1&#10;SNyok1YNbYhTIRAIAQda+IBtvE2ixusodpvw9ywnuM1oRjOv2EyuU2caQuvZQDpLQBFX3rZcG/j6&#10;fLpZgQoR2WLnmQx8U4BNeXlRYG79yFs672KtZIRDjgaaGPtc61A15DDMfE8s2cEPDqPYodZ2wFHG&#10;XafnSZJphy3LQ4M9PTRUHXcnZ+AtfXfTdr0Y2+Pj4uXj+RWrwz0ac32VJnegIk3xrwy/+IIOpTDt&#10;/YltUJ2B5e0qk6qIFJTkWbpegtqLn4MuC/2fv/wBUEsDBBQAAAAIAIdO4kD4bxlJIAIAAPIDAAAO&#10;AAAAZHJzL2Uyb0RvYy54bWytU81uEzEQviPxDpbvZJMtG9pVNj2klEuBSC0P4NjerMH2WLaTTa48&#10;AGdOHCrBiVdAPA3Qx2Ds/FDghtiDtfaMv5nv+8aT843RZC19UGAbOhoMKZGWg1B22dBXN5ePTikJ&#10;kVnBNFjZ0K0M9Hz68MGkd7UsoQMtpCcIYkPdu4Z2Mbq6KALvpGFhAE5aDLbgDYu49ctCeNYjutFF&#10;ORyOix68cB64DAFPL3ZBOs34bSt5fNm2QUaiG4q9xbz6vC7SWkwnrF565jrF922wf+jCMGWx6BHq&#10;gkVGVl79BWUU9xCgjQMOpoC2VVxmDshmNPyDzXXHnMxcUJzgjjKF/wfLX6znniiB3pVolWUGTbp7&#10;+/7bl9u7rx++v/v44/MnkkIoVO9CjfkzO/eJKt/Ya3cF/E0gFmYds0uZG77ZOsSIfiXTpeK3W2kT&#10;HFZc9M9BYBpbRcjCbVpviAc0qHo8TF8+RYHIJru1PbolN5FwPCyrsyejihKOofFJlYuxOuGk7pwP&#10;8ZkEQ9JPQxfSxhlYiwMB/iRjs/VViNkzsefNxOsRJa3ROAJrpkk5rnbMC1bvs/HvgJyuWrhUWuch&#10;0pb0DT2ryiqjB9BKpGBKC365mGlPEBRp7OglbTByP82oiI9BK9PQ02MSqyNT+qkVJO6FVSi1ljSV&#10;M1JQoiU+vfS3g9Q2lZR5+JHhwYMk+87DBYjt3B/OcbByJ/tHkCb3/j47+OupT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Vmj3NYAAAAHAQAADwAAAAAAAAABACAAAAA4AAAAZHJzL2Rvd25yZXYu&#10;eG1sUEsBAhQAFAAAAAgAh07iQPhvGUkgAgAA8gMAAA4AAAAAAAAAAQAgAAAAOwEAAGRycy9lMm9E&#10;b2MueG1sUEsFBgAAAAAGAAYAWQEAAM0FAAAAAA==&#10;" adj="573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5888" behindDoc="0" locked="0" layoutInCell="1" allowOverlap="1">
                <wp:simplePos x="0" y="0"/>
                <wp:positionH relativeFrom="column">
                  <wp:posOffset>1134110</wp:posOffset>
                </wp:positionH>
                <wp:positionV relativeFrom="paragraph">
                  <wp:posOffset>32385</wp:posOffset>
                </wp:positionV>
                <wp:extent cx="259715" cy="635"/>
                <wp:effectExtent l="38100" t="0" r="37465" b="6985"/>
                <wp:wrapNone/>
                <wp:docPr id="129" name="肘形连接符 129"/>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89.3pt;margin-top:2.55pt;height:0.05pt;width:20.45pt;rotation:5898240f;z-index:251685888;mso-width-relative:page;mso-height-relative:page;" filled="f" stroked="t" coordsize="21600,21600" o:gfxdata="UEsFBgAAAAAAAAAAAAAAAAAAAAAAAFBLAwQKAAAAAACHTuJAAAAAAAAAAAAAAAAABAAAAGRycy9Q&#10;SwMEFAAAAAgAh07iQN6S4CPUAAAABwEAAA8AAABkcnMvZG93bnJldi54bWxNjkFLw0AQhe+C/2EZ&#10;wYvYTYJpY8ymFEHwJFjrfZodk9DsbMhu0+qvdzzZ48d78+ar1mc3qJmm0Hs2kC4SUMSNtz23BnYf&#10;L/cFqBCRLQ6eycA3BVjX11cVltaf+J3mbWyVjHAo0UAX41hqHZqOHIaFH4kl+/KTwyg4tdpOeJJx&#10;N+gsSZbaYc/yocORnjtqDtujE407zIPdfO7mw8/29SFfFW8bboy5vUmTJ1CRzvG/DH/6cgO1OO39&#10;kW1Qg/CqWErVQJ6CkjxLH3NQe+EMdF3pS//6F1BLAwQUAAAACACHTuJAfSjn2B0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bjCSWWGRTp7u37&#10;b19u775++P7u44/Pn0hyYaM6FyqMn9uFT1T51l67K+BvArEwb5ldyVzwzc4hRvRrmR4V916lS3CY&#10;cdk9B4FhbB0hN27beEM8oEDl42Fa2YoNItus1u6oltxGwtE4LidPRiUlHF2nJ2VOxqqEk6pzPsRn&#10;EgxJh5oupY1zsBYHAvxJxmabqxCzZqLnzcTrESWN0TgCG6ZJmetIJFjVR+PpgJyeWrhUWuch0pZ0&#10;NZ2U4zKjB9BKJGcKC361nGtPEBRp5NWXey/MqIifQStT07NjEKsiU/qpFST2jVXYai1pSmekoERL&#10;/HrptK9U25RS5uFHhgcNUtv3Gi5B7Bb+YMfBygT7T5Am9/d7VvDXV53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6S4CPUAAAABwEAAA8AAAAAAAAAAQAgAAAAOAAAAGRycy9kb3ducmV2LnhtbFBL&#10;AQIUABQAAAAIAIdO4kB9KOfY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spacing w:line="360" w:lineRule="atLeast"/>
        <w:rPr>
          <w:rFonts w:ascii="Times New Roman" w:hAnsi="Times New Roman"/>
          <w:color w:val="000000"/>
          <w:kern w:val="0"/>
          <w:highlight w:val="none"/>
        </w:rPr>
      </w:pPr>
      <w:r>
        <w:rPr>
          <w:highlight w:val="none"/>
        </w:rPr>
        <mc:AlternateContent>
          <mc:Choice Requires="wps">
            <w:drawing>
              <wp:anchor distT="0" distB="0" distL="114300" distR="114300" simplePos="0" relativeHeight="251717632" behindDoc="0" locked="0" layoutInCell="1" allowOverlap="1">
                <wp:simplePos x="0" y="0"/>
                <wp:positionH relativeFrom="column">
                  <wp:posOffset>1264285</wp:posOffset>
                </wp:positionH>
                <wp:positionV relativeFrom="paragraph">
                  <wp:posOffset>203200</wp:posOffset>
                </wp:positionV>
                <wp:extent cx="0" cy="167640"/>
                <wp:effectExtent l="4445" t="0" r="14605" b="3810"/>
                <wp:wrapNone/>
                <wp:docPr id="130" name="直接连接符 130"/>
                <wp:cNvGraphicFramePr/>
                <a:graphic xmlns:a="http://schemas.openxmlformats.org/drawingml/2006/main">
                  <a:graphicData uri="http://schemas.microsoft.com/office/word/2010/wordprocessingShape">
                    <wps:wsp>
                      <wps:cNvCnPr/>
                      <wps:spPr>
                        <a:xfrm flipH="true">
                          <a:off x="0" y="0"/>
                          <a:ext cx="1"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9.55pt;margin-top:16pt;height:13.2pt;width:0pt;z-index:251717632;mso-width-relative:page;mso-height-relative:page;" filled="f" stroked="t" coordsize="21600,21600" o:gfxdata="UEsFBgAAAAAAAAAAAAAAAAAAAAAAAFBLAwQKAAAAAACHTuJAAAAAAAAAAAAAAAAABAAAAGRycy9Q&#10;SwMEFAAAAAgAh07iQPuma6DWAAAACQEAAA8AAABkcnMvZG93bnJldi54bWxNj8FOwzAQRO9I/IO1&#10;SNyonRRQk8apEAIuSEgtoWcnXpKIeB3Fblr+ni0XOM7s0+xMsTm5Qcw4hd6ThmShQCA13vbUaqje&#10;n29WIEI0ZM3gCTV8Y4BNeXlRmNz6I21x3sVWcAiF3GjoYhxzKUPToTNh4Uckvn36yZnIcmqlncyR&#10;w90gU6XupTM98YfOjPjYYfO1OzgND/vXp+XbXDs/2KytPqyr1Euq9fVVotYgIp7iHwzn+lwdSu5U&#10;+wPZIAbWWZYwqmGZ8qYz8GvUGu5WtyDLQv5fUP4AUEsDBBQAAAAIAIdO4kD5fbmu4QEAAJUDAAAO&#10;AAAAZHJzL2Uyb0RvYy54bWytU0uOEzEQ3SNxB8t70kkggWmlM4uJBhZ8IgEHqLjtbkv+yeVJJ5fg&#10;AkjsYMWSPbdhOAZldyb8doheVNv1ef3qVfXq8mAN28uI2ruGzyZTzqQTvtWua/jbN9cPnnCGCVwL&#10;xjvZ8KNEfrm+f281hFrOfe9NKyMjEIf1EBrepxTqqkLRSws48UE6CiofLSS6xq5qIwyEbk01n06X&#10;1eBjG6IXEpG8mzHI1wVfKSnSK6VQJmYaTtxSsbHYXbbVegV1FyH0WpxowD+wsKAdffQMtYEE7Cbq&#10;v6CsFtGjV2kivK28UlrI0gN1M5v+0c3rHoIsvZA4GM4y4f+DFS/328h0S7N7SPo4sDSk2/dfvr37&#10;+P3rB7K3nz+xHCKhhoA15V+5bTzdMGxj7vqgomXK6PCs4SneZM5QU3PsUJQ+npWWh8QEOWecCfLO&#10;lo+Xjwp2NYLkuhAxPZXesnxouNFuxIP9c0z0YUq9S8npzl9rY8ocjWNDwy8W8wXBA22TMpDoaAP1&#10;h67jDExHaypSLAzRG93m6oyDsdtdmcj2kFelPGNSD60cvRcLco8rg5Be+HZ0z6Z3fqJ2gik0f8PP&#10;nDeA/VhTQhmKSoyjVxZ3lDOfdr49FpWLn2ZfEk97mpfr13up/vk3r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6ZroNYAAAAJAQAADwAAAAAAAAABACAAAAA4AAAAZHJzL2Rvd25yZXYueG1sUEsB&#10;AhQAFAAAAAgAh07iQPl9ua7hAQAAlQMAAA4AAAAAAAAAAQAgAAAAOwEAAGRycy9lMm9Eb2MueG1s&#10;UEsFBgAAAAAGAAYAWQEAAI4FAAAAAA==&#10;">
                <v:fill on="f" focussize="0,0"/>
                <v:stroke color="#000000 [3200]" joinstyle="round"/>
                <v:imagedata o:title=""/>
                <o:lock v:ext="edit" aspectratio="f"/>
              </v:line>
            </w:pict>
          </mc:Fallback>
        </mc:AlternateContent>
      </w:r>
    </w:p>
    <w:p>
      <w:pPr>
        <w:spacing w:line="360" w:lineRule="atLeast"/>
        <w:rPr>
          <w:rFonts w:ascii="宋体" w:hAnsi="宋体"/>
          <w:highlight w:val="none"/>
        </w:rPr>
      </w:pPr>
      <w:r>
        <w:rPr>
          <w:rFonts w:ascii="Calibri" w:hAnsi="Calibri"/>
          <w:highlight w:val="none"/>
        </w:rPr>
        <mc:AlternateContent>
          <mc:Choice Requires="wps">
            <w:drawing>
              <wp:anchor distT="0" distB="0" distL="114300" distR="114300" simplePos="0" relativeHeight="251675648" behindDoc="0" locked="0" layoutInCell="1" allowOverlap="1">
                <wp:simplePos x="0" y="0"/>
                <wp:positionH relativeFrom="column">
                  <wp:posOffset>3613150</wp:posOffset>
                </wp:positionH>
                <wp:positionV relativeFrom="paragraph">
                  <wp:posOffset>194310</wp:posOffset>
                </wp:positionV>
                <wp:extent cx="431800" cy="635"/>
                <wp:effectExtent l="38100" t="0" r="37465" b="6350"/>
                <wp:wrapNone/>
                <wp:docPr id="131" name="肘形连接符 131"/>
                <wp:cNvGraphicFramePr/>
                <a:graphic xmlns:a="http://schemas.openxmlformats.org/drawingml/2006/main">
                  <a:graphicData uri="http://schemas.microsoft.com/office/word/2010/wordprocessingShape">
                    <wps:wsp>
                      <wps:cNvCnPr>
                        <a:cxnSpLocks noChangeShapeType="true"/>
                      </wps:cNvCnPr>
                      <wps:spPr bwMode="auto">
                        <a:xfrm rot="5400000">
                          <a:off x="0" y="0"/>
                          <a:ext cx="431800"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4.5pt;margin-top:15.3pt;height:0.05pt;width:34pt;rotation:5898240f;z-index:251675648;mso-width-relative:page;mso-height-relative:page;" filled="f" stroked="t" coordsize="21600,21600" o:gfxdata="UEsFBgAAAAAAAAAAAAAAAAAAAAAAAFBLAwQKAAAAAACHTuJAAAAAAAAAAAAAAAAABAAAAGRycy9Q&#10;SwMEFAAAAAgAh07iQHzy2hrYAAAACQEAAA8AAABkcnMvZG93bnJldi54bWxNj0FPwzAMhe9I/IfI&#10;SFwQS8Zou5Wm04SExAmJMu5ek7XVGqdqsm7w6/FO7Ojn5+fvFeuz68Vkx9B50jCfKRCWam86ajRs&#10;v94elyBCRDLYe7IafmyAdXl7U2Bu/Ik+7VTFRnAIhRw1tDEOuZShbq3DMPODJd7t/egw8jg20ox4&#10;4nDXyyelUumwI/7Q4mBfW1sfqqNjjAdMgtl8b6fDb/X+nGTLjw3VWt/fzdULiGjP8d8MF3y+gZKZ&#10;dv5IJoheQ5KuuEvUsFApCDaki4yF3UXIQJaFvG5Q/gFQSwMEFAAAAAgAh07iQOktfvccAgAA8gMA&#10;AA4AAABkcnMvZTJvRG9jLnhtbK1TTW4TMRTeI3EHy3syk6SpyiiTLlLKpkCktgdwbE/GYPtZtpNJ&#10;thyANSsWSLDiCojTFHoMnp1JoLBDeGHZ7+fz+773PD3fGk020gcFtqbDQUmJtByEsqua3t5cPjmj&#10;JERmBdNgZU13MtDz2eNH085VcgQtaCE9QRAbqs7VtI3RVUUReCsNCwNw0qKzAW9YxKtfFcKzDtGN&#10;LkZleVp04IXzwGUIaL3YO+ks4zeN5PFV0wQZia4p1hbz7vO+THsxm7Jq5ZlrFe/LYP9QhWHK4qNH&#10;qAsWGVl79ReUUdxDgCYOOJgCmkZxmTkgm2H5B5vrljmZuaA4wR1lCv8Plr/cLDxRAns3HlJimcEm&#10;3b99f/f14/23D9/fffrx5TNJLhSqc6HC+Lld+ESVb+21uwL+JhAL85bZlcwF3+wcYkS/limpeJCV&#10;LsHhi8vuBQgMY+sIWbht4w3xgA2anJRpZSsKRLa5W7tjt+Q2Eo7Gk/HwDMMIR9fpeJIfY1XCSdU5&#10;H+JzCYakQ02X0sY5WIsDAX6csdnmKsTcM9HzZuI1atAYjSOwYZpMch2JBKv6aDwdkFOqhUuldR4i&#10;bUlX06eT0SSjB9BKJGcKC361nGtPEBRp5NWX+yDMqIifQStTU2SGKwWxKjKln1lBYi+sQqm1pOk5&#10;IwUlWuLXS6d9pdqmJJmHHxkm40H2fQ+XIHYLf7DjYGWC/SdIk/v7PWf/+qq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zy2hrYAAAACQEAAA8AAAAAAAAAAQAgAAAAOAAAAGRycy9kb3ducmV2Lnht&#10;bFBLAQIUABQAAAAIAIdO4kDpLX73HAIAAPIDAAAOAAAAAAAAAAEAIAAAAD0BAABkcnMvZTJvRG9j&#10;LnhtbFBLBQYAAAAABgAGAFkBAADLBQAAAAA=&#10;" adj="10800">
                <v:fill on="f" focussize="0,0"/>
                <v:stroke color="#000000" miterlimit="8" joinstyle="miter"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18656" behindDoc="0" locked="0" layoutInCell="1" allowOverlap="1">
                <wp:simplePos x="0" y="0"/>
                <wp:positionH relativeFrom="column">
                  <wp:posOffset>899160</wp:posOffset>
                </wp:positionH>
                <wp:positionV relativeFrom="paragraph">
                  <wp:posOffset>142240</wp:posOffset>
                </wp:positionV>
                <wp:extent cx="754380" cy="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8pt;margin-top:11.2pt;height:0pt;width:59.4pt;z-index:251718656;mso-width-relative:page;mso-height-relative:page;" filled="f" stroked="t" coordsize="21600,21600" o:gfxdata="UEsFBgAAAAAAAAAAAAAAAAAAAAAAAFBLAwQKAAAAAACHTuJAAAAAAAAAAAAAAAAABAAAAGRycy9Q&#10;SwMEFAAAAAgAh07iQKnGRTXVAAAACQEAAA8AAABkcnMvZG93bnJldi54bWxNj81OxDAMhO9IvENk&#10;JC4rNmlZVag03QPQGxcWEFdvY9qKxuk22R94eow4wM1jj8bfVOuTH9WB5jgEtpAtDSjiNriBOwsv&#10;z83VDaiYkB2OgcnCJ0VY1+dnFZYuHPmJDpvUKQnhWKKFPqWp1Dq2PXmMyzARy+09zB6TyLnTbsaj&#10;hPtR58YU2uPA8qHHie56aj82e28hNq+0a74W7cK8XXeB8t394wNae3mRmVtQiU7pzww/+IIOtTBt&#10;w55dVKPoVVaI1UKer0CJIS+MDNvfha4r/b9B/Q1QSwMEFAAAAAgAh07iQF7qvU3WAQAAiAMAAA4A&#10;AABkcnMvZTJvRG9jLnhtbK1TS44TMRDdI3EHy3vSSYbATCudWUw0bPhEAg5Qsd3dlvyTy6STS3AB&#10;JHawYsme2zAcg7I7yfDZIXrhz6uq56pX1cvrvTVspyJq7xo+m0w5U054qV3X8Ldvbh9dcoYJnATj&#10;nWr4QSG/Xj18sBxCrea+90aqyIjEYT2EhvcphbqqUPTKAk58UI6MrY8WEl1jV8kIA7FbU82n0yfV&#10;4KMM0QuFSOh6NPJV4W9bJdKrtkWVmGk45ZbKGsu6zWu1WkLdRQi9Fsc04B+ysKAdPXqmWkMC9i7q&#10;v6isFtGjb9NEeFv5ttVClRqomtn0j2pe9xBUqYXEwXCWCf8frXi520SmJfXuYs6ZA0tNuvvw9fv7&#10;Tz++faT17stnlk0k1BCwJv8bt4nHG4ZNzFXv22jzTvWwfRH3cBZX7RMTBD5dPL64pBaIk6m6jwsR&#10;0zPlLcuHhhvtctlQw+45JnqLXE8uGXb+VhtTWmccGxp+tZgviBlogFoDiY42UEnoOs7AdDSZIsXC&#10;iN5omaMzD8Zue2Mi20GejvKNTj1INaJXC4LHKUFIL7wc4dn0hFNqR5qS5m/8Oec1YD/GFFOmohDj&#10;aMt6jgrm09bLQxG24NTu4ngczTxPv95L9P0PtP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cZF&#10;NdUAAAAJAQAADwAAAAAAAAABACAAAAA4AAAAZHJzL2Rvd25yZXYueG1sUEsBAhQAFAAAAAgAh07i&#10;QF7qvU3WAQAAiAMAAA4AAAAAAAAAAQAgAAAAOgEAAGRycy9lMm9Eb2MueG1sUEsFBgAAAAAGAAYA&#10;WQEAAIIFAAAAAA==&#10;">
                <v:fill on="f" focussize="0,0"/>
                <v:stroke color="#000000 [3200]" joinstyle="round"/>
                <v:imagedata o:title=""/>
                <o:lock v:ext="edit" aspectratio="f"/>
              </v:line>
            </w:pict>
          </mc:Fallback>
        </mc:AlternateContent>
      </w:r>
    </w:p>
    <w:p>
      <w:pPr>
        <w:rPr>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3418840</wp:posOffset>
                </wp:positionH>
                <wp:positionV relativeFrom="paragraph">
                  <wp:posOffset>158115</wp:posOffset>
                </wp:positionV>
                <wp:extent cx="777240" cy="532765"/>
                <wp:effectExtent l="4445" t="4445" r="18415" b="15240"/>
                <wp:wrapNone/>
                <wp:docPr id="133" name="文本框 133"/>
                <wp:cNvGraphicFramePr/>
                <a:graphic xmlns:a="http://schemas.openxmlformats.org/drawingml/2006/main">
                  <a:graphicData uri="http://schemas.microsoft.com/office/word/2010/wordprocessingShape">
                    <wps:wsp>
                      <wps:cNvSpPr txBox="true">
                        <a:spLocks noChangeArrowheads="true"/>
                      </wps:cNvSpPr>
                      <wps:spPr bwMode="auto">
                        <a:xfrm>
                          <a:off x="0" y="0"/>
                          <a:ext cx="77724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69.2pt;margin-top:12.45pt;height:41.95pt;width:61.2pt;z-index:251662336;mso-width-relative:page;mso-height-relative:page;" fillcolor="#FFFFFF" filled="t" stroked="t" coordsize="21600,21600" o:gfxdata="UEsFBgAAAAAAAAAAAAAAAAAAAAAAAFBLAwQKAAAAAACHTuJAAAAAAAAAAAAAAAAABAAAAGRycy9Q&#10;SwMEFAAAAAgAh07iQOAglqfZAAAACgEAAA8AAABkcnMvZG93bnJldi54bWxNj8tOwzAQRfdI/IM1&#10;SGwQtduG4IY4XSCBYFcKgq0bT5MIP4LtpuXvGVawHM3RvefW65OzbMKYhuAVzGcCGPo2mMF3Ct5e&#10;H64lsJS1N9oGjwq+McG6OT+rdWXC0b/gtM0doxCfKq2gz3msOE9tj06nWRjR028fotOZzthxE/WR&#10;wp3lCyFK7vTgqaHXI9732H5uD06BLJ6mj/S83Ly35d6u8tXt9PgVlbq8mIs7YBlP+Q+GX31Sh4ac&#10;duHgTWJWwc1SFoQqWBQrYASUpaAtOyKFlMCbmv+f0PwAUEsDBBQAAAAIAIdO4kDfMwIGNAIAAFcE&#10;AAAOAAAAZHJzL2Uyb0RvYy54bWytVM2O0zAQviPxDpbvNN3+bHejpqulqyKk5UdaeADXcRoLx2PG&#10;bpPlAeANOHHhznPtczB2uiUCTogcLI9n/Pnz942zvOoaww4KvQZb8LPRmDNlJZTa7gr+/t3m2QVn&#10;PghbCgNWFfxeeX61evpk2bpcTaAGUypkBGJ93rqC1yG4PMu8rFUj/AicspSsABsRKMRdVqJoCb0x&#10;2WQ8Ps9awNIhSOU9rd70Sb5K+FWlZHhTVV4FZgpO3EIaMY3bOGarpch3KFyt5ZGG+AcWjdCWDj1B&#10;3Ygg2B71H1CNlggeqjCS0GRQVVqqdAe6zdn4t9vc1cKpdBcSx7uTTP7/wcrXh7fIdEneTaecWdGQ&#10;SQ9fvzx8+/Hw/TOLiyRR63xOlXeOakP3HLqCB9xHaiL37hbkB88srGthd+oaEdpaiZJYpiLanw0A&#10;ejQfobbtKyjpPLEPkLC6CpuISbowOoMMuz+ZpLrAJC0uFovJjDKSUvPpZHE+jwwzkT9udujDCwUN&#10;i5OCI/VAAheHWx/60seSxB+MLjfamBTgbrs2yA6C+mWTviO6H5YZy9qCX84n816CYc4PIcbp+xtE&#10;owM1vtFNwS+GRcZGHiq17pFvFC/q1SsXum13tGQL5T3JiNC3NT1DmtSAnzhrqaUL7j/uBSrOzEtL&#10;blyezaJwIQWz+WJCAQ4z22FGWElQ5CFn/XQdKKqE8QS4d6h3NZ12agML1+RipZPCkXFP7ug9dW/y&#10;6PjS4vMYxqnq1/9g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gIJan2QAAAAoBAAAPAAAAAAAA&#10;AAEAIAAAADgAAABkcnMvZG93bnJldi54bWxQSwECFAAUAAAACACHTuJA3zMCBjQCAABXBAAADgAA&#10;AAAAAAABACAAAAA+AQAAZHJzL2Uyb0RvYy54bWxQSwUGAAAAAAYABgBZAQAA5A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v:textbox>
              </v:shape>
            </w:pict>
          </mc:Fallback>
        </mc:AlternateContent>
      </w:r>
      <w:r>
        <w:rPr>
          <w:rFonts w:hint="eastAsia"/>
          <w:highlight w:val="none"/>
        </w:rPr>
        <mc:AlternateContent>
          <mc:Choice Requires="wps">
            <w:drawing>
              <wp:anchor distT="0" distB="0" distL="114300" distR="114300" simplePos="0" relativeHeight="251720704" behindDoc="0" locked="0" layoutInCell="1" allowOverlap="1">
                <wp:simplePos x="0" y="0"/>
                <wp:positionH relativeFrom="column">
                  <wp:posOffset>1409700</wp:posOffset>
                </wp:positionH>
                <wp:positionV relativeFrom="paragraph">
                  <wp:posOffset>165100</wp:posOffset>
                </wp:positionV>
                <wp:extent cx="914400" cy="532765"/>
                <wp:effectExtent l="4445" t="4445" r="14605" b="15240"/>
                <wp:wrapNone/>
                <wp:docPr id="134" name="文本框 134"/>
                <wp:cNvGraphicFramePr/>
                <a:graphic xmlns:a="http://schemas.openxmlformats.org/drawingml/2006/main">
                  <a:graphicData uri="http://schemas.microsoft.com/office/word/2010/wordprocessingShape">
                    <wps:wsp>
                      <wps:cNvSpPr txBox="true">
                        <a:spLocks noChangeArrowheads="true"/>
                      </wps:cNvSpPr>
                      <wps:spPr bwMode="auto">
                        <a:xfrm>
                          <a:off x="0" y="0"/>
                          <a:ext cx="91440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11pt;margin-top:13pt;height:41.95pt;width:72pt;z-index:251720704;mso-width-relative:page;mso-height-relative:page;" fillcolor="#FFFFFF" filled="t" stroked="t" coordsize="21600,21600" o:gfxdata="UEsFBgAAAAAAAAAAAAAAAAAAAAAAAFBLAwQKAAAAAACHTuJAAAAAAAAAAAAAAAAABAAAAGRycy9Q&#10;SwMEFAAAAAgAh07iQEBuCa3YAAAACgEAAA8AAABkcnMvZG93bnJldi54bWxNj0FPwzAMhe9I/IfI&#10;SFzQlqxD3Vqa7oAEghsMBNes9dqKxClJ1o1/j3eCk5/lp+fvVZuTs2LCEAdPGhZzBQKp8e1AnYb3&#10;t4fZGkRMhlpjPaGGH4ywqS8vKlO2/kivOG1TJziEYmk09CmNpZSx6dGZOPcjEt/2PjiTeA2dbIM5&#10;crizMlMql84MxB96M+J9j83X9uA0rG+fps/4vHz5aPK9LdLNanr8DlpfXy3UHYiEp/RnhjM+o0PN&#10;TDt/oDYKqyHLMu6SWOQ82bDMz2LHTlUUIOtK/q9Q/wJQSwMEFAAAAAgAh07iQFYGIEMzAgAAVwQA&#10;AA4AAABkcnMvZTJvRG9jLnhtbK1UzY7TMBC+I/EOlu80bbfdXaKmq6WrIqTlR1p4AMdxEgvHY8Zu&#10;k+UB2DfgxIU7z9XnYOJ0SwScEDlYHs/48+fvG2d11TWG7RV6DTbjs8mUM2UlFNpWGf/wfvvskjMf&#10;hC2EAasyfq88v1o/fbJqXarmUIMpFDICsT5tXcbrEFyaJF7WqhF+Ak5ZSpaAjQgUYpUUKFpCb0wy&#10;n07PkxawcAhSeU+rN0OSryN+WSoZ3palV4GZjBO3EEeMY96PyXol0gqFq7U80hD/wKIR2tKhJ6gb&#10;EQTbof4DqtESwUMZJhKaBMpSSxXvQLeZTX+7zV0tnIp3IXG8O8nk/x+sfLN/h0wX5N3ZgjMrGjLp&#10;8PXh8O3H4fsX1i+SRK3zKVXeOaoN3QvoMh5w11MTqXe3ID96ZmFTC1upa0RoayUKYhmLaH8yAhjQ&#10;fA+Vt6+hoPPELkDE6kpsekzShdEZZNj9ySTVBSZp8flssZhSRlJqeTa/OF/2DBORPm526MNLBQ3r&#10;JxlH6oEILva3PgyljyWRPxhdbLUxMcAq3xhke0H9so3fEd2Py4xlLTFZzpeDBOOcH0NM4/c3iEYH&#10;anyjm4xfjouM7Xmo2LpHvr14vV6DcqHLu6MlORT3JCPC0Nb0DGlSA37mrKWWzrj/tBOoODOvLLkR&#10;laM3EIPF8mJOKuI4k48zwkqCIg85G6abQFEpjCfAnUNd1XTaqQ0sXJOLpY4K94wHckfvqXujR8eX&#10;1j+PcRyrfv0P1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QG4JrdgAAAAKAQAADwAAAAAAAAAB&#10;ACAAAAA4AAAAZHJzL2Rvd25yZXYueG1sUEsBAhQAFAAAAAgAh07iQFYGIEMzAgAAVwQAAA4AAAAA&#10;AAAAAQAgAAAAPQEAAGRycy9lMm9Eb2MueG1sUEsFBgAAAAAGAAYAWQEAAOI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v:textbox>
              </v:shape>
            </w:pict>
          </mc:Fallback>
        </mc:AlternateContent>
      </w:r>
      <w:r>
        <w:rPr>
          <w:rFonts w:ascii="Calibri" w:hAnsi="Calibri"/>
          <w:highlight w:val="none"/>
        </w:rPr>
        <mc:AlternateContent>
          <mc:Choice Requires="wps">
            <w:drawing>
              <wp:anchor distT="0" distB="0" distL="114300" distR="114300" simplePos="0" relativeHeight="251719680" behindDoc="0" locked="0" layoutInCell="1" allowOverlap="1">
                <wp:simplePos x="0" y="0"/>
                <wp:positionH relativeFrom="column">
                  <wp:posOffset>1513205</wp:posOffset>
                </wp:positionH>
                <wp:positionV relativeFrom="paragraph">
                  <wp:posOffset>34290</wp:posOffset>
                </wp:positionV>
                <wp:extent cx="259715" cy="635"/>
                <wp:effectExtent l="38100" t="0" r="37465" b="6985"/>
                <wp:wrapNone/>
                <wp:docPr id="135" name="肘形连接符 135"/>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19.15pt;margin-top:2.7pt;height:0.05pt;width:20.45pt;rotation:5898240f;z-index:251719680;mso-width-relative:page;mso-height-relative:page;" filled="f" stroked="t" coordsize="21600,21600" o:gfxdata="UEsFBgAAAAAAAAAAAAAAAAAAAAAAAFBLAwQKAAAAAACHTuJAAAAAAAAAAAAAAAAABAAAAGRycy9Q&#10;SwMEFAAAAAgAh07iQB8qgizUAAAABwEAAA8AAABkcnMvZG93bnJldi54bWxNjk1Lw0AQhu+C/2EZ&#10;wYvYTdPGxphNKYLgSTDW+zQ7JqHZ2ZLdptVf73iyx5f36ynXZzeoicbQezYwnyWgiBtve24NbD9e&#10;7nNQISJbHDyTgW8KsK6ur0osrD/xO011bJWMcCjQQBfjodA6NB05DDN/IBbvy48Oo8ix1XbEk4y7&#10;QadJ8qAd9iwPHR7ouaNmXx+dYNxhFuzmczvtf+rXZbbK3zbcGHN7M0+eQEU6x/8w/OFLByph2vkj&#10;26AGA+kiX0jUQLYEJX66ekxB7URnoKtSX/JXv1BLAwQUAAAACACHTuJALzW9Lh4CAADyAwAADgAA&#10;AGRycy9lMm9Eb2MueG1srVNNbhMxFN4jcQfLezJJypR2lEkXKWVTIFLLATy2J2Ow/SzbySRbDsCa&#10;FYtKsOIKqKcp9Bg8Oz8U2CG8sGy/58/f973nydnaaLKSPiiwNR0NhpRIy0Eou6jpm+uLJyeUhMis&#10;YBqsrOlGBno2ffxo0rtKjqEDLaQnCGJD1buadjG6qigC76RhYQBOWgy24A2LuPWLQnjWI7rRxXg4&#10;PC568MJ54DIEPD3fBuk047et5PF12wYZia4pcot59nlu0lxMJ6xaeOY6xXc02D+wMExZfPQAdc4i&#10;I0uv/oIyinsI0MYBB1NA2youswZUMxr+oeaqY05mLWhOcAebwv+D5a9Wc0+UwNodlZRYZrBI9+8/&#10;3n27ub/99P3D5x9fv5AUQqN6FyrMn9m5T1L52l65S+DvArEw65hdyEz4euMQI/qlTJeK326lTXD4&#10;YtO/BIFpbBkhG7duvSEesEDl02Ea+RQNIutcrc2hWnIdCcfDcXn6bIScOYaOtwwLViWcxM75EF9I&#10;MCQtatpIG2dgLTYE+KOMzVaXIeaaiZ1uJt6OKGmNxhZYMU3KzCOJYNUuG1d75HTVwoXSOjeRtqSv&#10;6Wk5LjN6AK1ECqa04BfNTHuCoCgjj+wNRh6mGRXxM2hlanpySGJVZEo/t4LEnbEKrdaSpueMFJRo&#10;iV8vrbZMtU1Pytz8qHBfg2T7toYNiM3c78+xsbLA3SdInftwnyv466tO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fKoIs1AAAAAcBAAAPAAAAAAAAAAEAIAAAADgAAABkcnMvZG93bnJldi54bWxQ&#10;SwECFAAUAAAACACHTuJALzW9Lh4CAADyAwAADgAAAAAAAAABACAAAAA5AQAAZHJzL2Uyb0RvYy54&#10;bWxQSwUGAAAAAAYABgBZAQAAyQUAAAAA&#10;" adj="10800">
                <v:fill on="f" focussize="0,0"/>
                <v:stroke color="#000000" miterlimit="8" joinstyle="miter" endarrow="block"/>
                <v:imagedata o:title=""/>
                <o:lock v:ext="edit" aspectratio="f"/>
              </v:shape>
            </w:pict>
          </mc:Fallback>
        </mc:AlternateContent>
      </w:r>
      <w:r>
        <w:rPr>
          <w:rFonts w:hint="eastAsia"/>
          <w:highlight w:val="none"/>
        </w:rPr>
        <mc:AlternateContent>
          <mc:Choice Requires="wps">
            <w:drawing>
              <wp:anchor distT="0" distB="0" distL="114300" distR="114300" simplePos="0" relativeHeight="251663360" behindDoc="0" locked="0" layoutInCell="1" allowOverlap="1">
                <wp:simplePos x="0" y="0"/>
                <wp:positionH relativeFrom="column">
                  <wp:posOffset>473075</wp:posOffset>
                </wp:positionH>
                <wp:positionV relativeFrom="paragraph">
                  <wp:posOffset>175895</wp:posOffset>
                </wp:positionV>
                <wp:extent cx="792480" cy="532765"/>
                <wp:effectExtent l="4445" t="4445" r="22225" b="15240"/>
                <wp:wrapNone/>
                <wp:docPr id="136" name="文本框 136"/>
                <wp:cNvGraphicFramePr/>
                <a:graphic xmlns:a="http://schemas.openxmlformats.org/drawingml/2006/main">
                  <a:graphicData uri="http://schemas.microsoft.com/office/word/2010/wordprocessingShape">
                    <wps:wsp>
                      <wps:cNvSpPr txBox="true">
                        <a:spLocks noChangeArrowheads="true"/>
                      </wps:cNvSpPr>
                      <wps:spPr bwMode="auto">
                        <a:xfrm>
                          <a:off x="0" y="0"/>
                          <a:ext cx="79248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7.25pt;margin-top:13.85pt;height:41.95pt;width:62.4pt;z-index:251663360;mso-width-relative:page;mso-height-relative:page;" fillcolor="#FFFFFF" filled="t" stroked="t" coordsize="21600,21600" o:gfxdata="UEsFBgAAAAAAAAAAAAAAAAAAAAAAAFBLAwQKAAAAAACHTuJAAAAAAAAAAAAAAAAABAAAAGRycy9Q&#10;SwMEFAAAAAgAh07iQHj9o1zZAAAACQEAAA8AAABkcnMvZG93bnJldi54bWxNj81OwzAQhO9IvIO1&#10;SFwQddKfpAlxekACwa0tCK5uvE2i2uvUdtPy9rgnuM1qRjPfVquL0WxE53tLAtJJAgypsaqnVsDn&#10;x8vjEpgPkpTUllDAD3pY1bc3lSyVPdMGx21oWSwhX0oBXQhDyblvOjTST+yAFL29dUaGeLqWKyfP&#10;sdxoPk2SjBvZU1zo5IDPHTaH7ckIWM7fxm//Plt/NdleF+EhH1+PToj7uzR5AhbwEv7CcMWP6FBH&#10;pp09kfJMC8jni5gUMM1zYFe/KGbAdlGkaQa8rvj/D+pfUEsDBBQAAAAIAIdO4kAFyyHLNQIAAFcE&#10;AAAOAAAAZHJzL2Uyb0RvYy54bWytVM2O0zAQviPxDpbvNN1uu91Gm66WrhYhLT/SwgO4jtNYOB4z&#10;dpuUB4A34MSFO8/V52DsdEsEnBA5WB7P+PPn7xvn6rprDNsp9Bpswc9GY86UlVBquyn4+3d3zy45&#10;80HYUhiwquB75fn18umTq9blagI1mFIhIxDr89YVvA7B5VnmZa0a4UfglKVkBdiIQCFushJFS+iN&#10;ySbj8UXWApYOQSrvafW2T/Jlwq8qJcObqvIqMFNw4hbSiGlcxzFbXol8g8LVWh5piH9g0Qht6dAT&#10;1K0Igm1R/wHVaIngoQojCU0GVaWlSneg25yNf7vNQy2cSnchcbw7yeT/H6x8vXuLTJfk3fkFZ1Y0&#10;ZNLh65fDtx+H759ZXCSJWudzqnxwVBu659AVPOA2UhO5d/cgP3hmYVULu1E3iNDWSpTEMhXR/mwA&#10;0KP5CLVuX0FJ54ltgITVVdhETNKF0Rlk2P5kkuoCk7Q4X0yml5SRlJqdT+YXs8gwE/njZoc+vFDQ&#10;sDgpOFIPJHCxu/ehL30sSfzB6PJOG5MC3KxXBtlOUL/cpe+I7odlxrK24IvZZNZLMMz5IcQ4fX+D&#10;aHSgxje6KfjlsMjYyEOl1j3yjeJFvXrlQrfujpasodyTjAh9W9MzpEkN+Imzllq64P7jVqDizLy0&#10;5MbibDqNbyAF09l8QgEOM+thRlhJUOQhZ/10FSiqhPEEuHWoNzWddmoDCzfkYqWTwpFxT+7oPXVv&#10;8uj40uLzGMap6tf/Y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P2jXNkAAAAJAQAADwAAAAAA&#10;AAABACAAAAA4AAAAZHJzL2Rvd25yZXYueG1sUEsBAhQAFAAAAAgAh07iQAXLIcs1AgAAVwQAAA4A&#10;AAAAAAAAAQAgAAAAPgEAAGRycy9lMm9Eb2MueG1sUEsFBgAAAAAGAAYAWQEAAOU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v:textbox>
              </v:shape>
            </w:pict>
          </mc:Fallback>
        </mc:AlternateContent>
      </w:r>
      <w:r>
        <w:rPr>
          <w:rFonts w:ascii="Calibri" w:hAnsi="Calibri"/>
          <w:highlight w:val="none"/>
        </w:rPr>
        <mc:AlternateContent>
          <mc:Choice Requires="wps">
            <w:drawing>
              <wp:anchor distT="0" distB="0" distL="114300" distR="114300" simplePos="0" relativeHeight="251674624" behindDoc="0" locked="0" layoutInCell="1" allowOverlap="1">
                <wp:simplePos x="0" y="0"/>
                <wp:positionH relativeFrom="column">
                  <wp:posOffset>766445</wp:posOffset>
                </wp:positionH>
                <wp:positionV relativeFrom="paragraph">
                  <wp:posOffset>43180</wp:posOffset>
                </wp:positionV>
                <wp:extent cx="259715" cy="635"/>
                <wp:effectExtent l="38100" t="0" r="37465" b="6985"/>
                <wp:wrapNone/>
                <wp:docPr id="139" name="肘形连接符 139"/>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60.35pt;margin-top:3.4pt;height:0.05pt;width:20.45pt;rotation:5898240f;z-index:251674624;mso-width-relative:page;mso-height-relative:page;" filled="f" stroked="t" coordsize="21600,21600" o:gfxdata="UEsFBgAAAAAAAAAAAAAAAAAAAAAAAFBLAwQKAAAAAACHTuJAAAAAAAAAAAAAAAAABAAAAGRycy9Q&#10;SwMEFAAAAAgAh07iQFnK7KDUAAAABwEAAA8AAABkcnMvZG93bnJldi54bWxNj0FLw0AQhe+C/2EZ&#10;wYvYTUqb1phNKYLQk2Cs92l2TEKzsyG7Tau/3ulJj4/35s33is3F9WqiMXSeDaSzBBRx7W3HjYH9&#10;x+vjGlSIyBZ7z2TgmwJsytubAnPrz/xOUxUbJSUccjTQxjjkWoe6JYdh5gdi8b786DCKHBttRzxL&#10;uev1PEky7bBj+dDiQC8t1cfq5ATjAZfBbj/30/Gn2i2Wq/Xblmtj7u/S5BlUpEv8C8MVX26gFKaD&#10;P7ENqhc9T1YSNZDJgqufpRmog+gn0GWh//OXv1BLAwQUAAAACACHTuJAL2+Wgx0CAADyAwAADgAA&#10;AGRycy9lMm9Eb2MueG1srVPNbhMxEL4j8Q6W72Tzw5ZmlU0PKeVSoFLLAzi2N2uwPZbtZJMrD8CZ&#10;E4dKcOIVEE8D9DEYO5tA4YbwwbJnxt/MN994drY1mmykDwpsTUeDISXSchDKrmr66ubi0SklITIr&#10;mAYra7qTgZ7NHz6Yda6SY2hBC+kJgthQda6mbYyuKorAW2lYGICTFp0NeMMiXv2qEJ51iG50MR4O&#10;T4oOvHAeuAwBred7J51n/KaRPL5smiAj0TXF2mLefd6XaS/mM1atPHOt4n0Z7B+qMExZTHqEOmeR&#10;kbVXf0EZxT0EaOKAgymgaRSXmQOyGQ3/YHPdMiczF2xOcMc2hf8Hy19srjxRArWbTCmxzKBId2/f&#10;f/tye/f1w/d3H398/kSSCxvVuVBh/MJe+USVb+21uwT+JhALi5bZlcwF3+wcYkS/lulRce9VugSH&#10;GZfdcxAYxtYRcuO2jTfEAwpUPh6mla3YILLNau2OasltJByN43L6ZFRSwtF1MilzMlYlnFSd8yE+&#10;k2BIOtR0KW1cgLU4EOAnGZttLkPMmomeNxOvR5Q0RuMIbJgmZa4jkWBVH42nA3J6auFCaZ2HSFvS&#10;1XRajsuMHkArkZwpLPjVcqE9QVCkkVdf7r0woyJ+Bq1MTU+PQayKTOmnVpDYN1Zhq7WkKZ2RghIt&#10;8eul075SbVNKmYcfGR40SG3fa7gEsbvyBzsOVibYf4I0ub/fs4K/vur8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FnK7KDUAAAABwEAAA8AAAAAAAAAAQAgAAAAOAAAAGRycy9kb3ducmV2LnhtbFBL&#10;AQIUABQAAAAIAIdO4kAvb5aD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tabs>
          <w:tab w:val="left" w:pos="1260"/>
          <w:tab w:val="left" w:pos="6043"/>
        </w:tabs>
        <w:jc w:val="left"/>
        <w:rPr>
          <w:highlight w:val="none"/>
        </w:rPr>
      </w:pPr>
      <w:r>
        <w:rPr>
          <w:rFonts w:hint="eastAsia"/>
          <w:highlight w:val="none"/>
        </w:rPr>
        <w:t xml:space="preserve">                                      </w:t>
      </w:r>
      <w:r>
        <w:rPr>
          <w:rFonts w:hint="eastAsia"/>
          <w:highlight w:val="none"/>
        </w:rPr>
        <w:tab/>
      </w:r>
      <w:r>
        <w:rPr>
          <w:rFonts w:hint="eastAsia"/>
          <w:highlight w:val="none"/>
        </w:rPr>
        <w:t xml:space="preserve">   </w:t>
      </w:r>
    </w:p>
    <w:p>
      <w:pPr>
        <w:rPr>
          <w:highlight w:val="none"/>
        </w:rPr>
      </w:pPr>
      <w:r>
        <w:rPr>
          <w:rFonts w:hint="eastAsia"/>
          <w:highlight w:val="none"/>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43180</wp:posOffset>
                </wp:positionV>
                <wp:extent cx="337820" cy="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3.4pt;height:0pt;width:26.6pt;z-index:251666432;mso-width-relative:page;mso-height-relative:page;" filled="f" stroked="t" coordsize="21600,21600" o:gfxdata="UEsFBgAAAAAAAAAAAAAAAAAAAAAAAFBLAwQKAAAAAACHTuJAAAAAAAAAAAAAAAAABAAAAGRycy9Q&#10;SwMEFAAAAAgAh07iQD/B+UzSAAAABQEAAA8AAABkcnMvZG93bnJldi54bWxNj8tOwzAQRfdI/IM1&#10;SGyq1m5ALYQ4XQDZsaGA2E7jIYmIx2nsPuDrGbqB5dG9unOmWB19r/Y0xi6whfnMgCKug+u4sfD6&#10;Uk1vQMWE7LAPTBa+KMKqPD8rMHfhwM+0X6dGyQjHHC20KQ251rFuyWOchYFYso8wekyCY6PdiAcZ&#10;973OjFlojx3LhRYHum+p/lzvvIVYvdG2+p7UE/N+1QTKtg9Pj2jt5cXc3IFKdEx/ZfjVF3UoxWkT&#10;duyi6oVvM2laWMgDEi+za1CbE+qy0P/tyx9QSwMEFAAAAAgAh07iQP76cOPWAQAAiAMAAA4AAABk&#10;cnMvZTJvRG9jLnhtbK1TS44TMRDdI3EHy3vSSYbATCudWUw0bPhEAg5Qsd3dlvyTy6STS3ABJHaw&#10;Ysme2zAcg7I7yfDZIXpRtl9VPVc9Vy+v99awnYqovWv4bDLlTDnhpXZdw9++uX10yRkmcBKMd6rh&#10;B4X8evXwwXIItZr73hupIiMSh/UQGt6nFOqqQtErCzjxQTlytj5aSHSMXSUjDMRuTTWfTp9Ug48y&#10;RC8UIqHr0clXhb9tlUiv2hZVYqbhVFsqNha7zbZaLaHuIoRei2MZ8A9VWNCOLj1TrSEBexf1X1RW&#10;i+jRt2kivK1822qhSg/UzWz6Rzevewiq9ELiYDjLhP+PVrzcbSLTkt7uMenjwNIj3X34+v39px/f&#10;PpK9+/KZZRcJNQSsKf7GbeLxhGETc9f7Ntq8Uj9sX8Q9nMVV+8QEgRcXTy/ndIU4uar7vBAxPVPe&#10;srxpuNEutw017J5jorso9BSSYedvtTHl6YxjQ8OvFvMFMQMNUGsg0dYGagldxxmYjiZTpFgY0Rst&#10;c3bmwdhtb0xkO8jTUb4xqAepRvRqQfA4JQjphZcjPJuecCrtSFPK/I0/17wG7Mec4spUlGIcLVnP&#10;UcG823p5KMIWnJ67BB5HM8/Tr+eSff8D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8H5TNIA&#10;AAAFAQAADwAAAAAAAAABACAAAAA4AAAAZHJzL2Rvd25yZXYueG1sUEsBAhQAFAAAAAgAh07iQP76&#10;cOPWAQAAiAMAAA4AAAAAAAAAAQAgAAAANw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3832860</wp:posOffset>
                </wp:positionH>
                <wp:positionV relativeFrom="paragraph">
                  <wp:posOffset>111125</wp:posOffset>
                </wp:positionV>
                <wp:extent cx="0" cy="120650"/>
                <wp:effectExtent l="4445" t="0" r="14605" b="12700"/>
                <wp:wrapNone/>
                <wp:docPr id="141" name="直接连接符 141"/>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1.8pt;margin-top:8.75pt;height:9.5pt;width:0pt;z-index:251668480;mso-width-relative:page;mso-height-relative:page;" filled="f" stroked="t" coordsize="21600,21600" o:gfxdata="UEsFBgAAAAAAAAAAAAAAAAAAAAAAAFBLAwQKAAAAAACHTuJAAAAAAAAAAAAAAAAABAAAAGRycy9Q&#10;SwMEFAAAAAgAh07iQNbem8fVAAAACQEAAA8AAABkcnMvZG93bnJldi54bWxNj01PwzAMhu9I/IfI&#10;SFwmlmzVCipNdwB648IAcfUa01Y0TtdkH/DrMeIAR/t99PpxuT75QR1oin1gC4u5AUXcBNdza+Hl&#10;ub66ARUTssMhMFn4pAjr6vysxMKFIz/RYZNaJSUcC7TQpTQWWsemI49xHkZiyd7D5DHJOLXaTXiU&#10;cj/opTG59tizXOhwpLuOmo/N3luI9Svt6q9ZMzNvWRtoubt/fEBrLy8W5hZUolP6g+FHX9ShEqdt&#10;2LOLarCQmywXVILrFSgBfhdbC1m+Al2V+v8H1TdQSwMEFAAAAAgAh07iQKpeYl7WAQAAiAMAAA4A&#10;AABkcnMvZTJvRG9jLnhtbK1TS44TMRDdI3EHy3vSnYiMmFY6s5ho2PCJBBygYru7Lfknl0knl+AC&#10;SOxgxZI9t2HmGJTdmQyfHaIXZfu56rnqVfXq6mAN26uI2ruWz2c1Z8oJL7XrW/7u7c2TZ5xhAifB&#10;eKdaflTIr9aPH63G0KiFH7yRKjIicdiMoeVDSqGpKhSDsoAzH5Sjy85HC4mOsa9khJHYrakWdX1R&#10;jT7KEL1QiIRupku+Lvxdp0R63XWoEjMtp9xSsbHYXbbVegVNHyEMWpzSgH/IwoJ29OiZagMJ2Puo&#10;/6KyWkSPvksz4W3lu04LVWqgaub1H9W8GSCoUguJg+EsE/4/WvFqv41MS+rd0zlnDiw16fbjtx8f&#10;Pt99/0T29usXlq9IqDFgQ/7XbhtPJwzbmKs+dNHmlephhyLu8SyuOiQmJlAQOl/UF8uie/UQFyKm&#10;58pbljctN9rlsqGB/QtM9Ba53rtk2PkbbUxpnXFsbPnlcrHkTAANUGcg0dYGKgldzxmYniZTpFgY&#10;0Rstc3Tmwdjvrk1ke8jTUb7JaQCpJvRySfA0JQjppZcTPK/vcUrtRFPS/I0/57wBHKaYcpWpKMQ4&#10;WrKek4J5t/PyWIQtOLW7OJ5GM8/Tr+cS/fADr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t6b&#10;x9UAAAAJAQAADwAAAAAAAAABACAAAAA4AAAAZHJzL2Rvd25yZXYueG1sUEsBAhQAFAAAAAgAh07i&#10;QKpeYl7WAQAAiAMAAA4AAAAAAAAAAQAgAAAAOgEAAGRycy9lMm9Eb2MueG1sUEsFBgAAAAAGAAYA&#10;WQEAAIIFAAAAAA==&#10;">
                <v:fill on="f" focussize="0,0"/>
                <v:stroke color="#000000 [3200]" joinstyle="round"/>
                <v:imagedata o:title=""/>
                <o:lock v:ext="edit" aspectratio="f"/>
              </v:line>
            </w:pict>
          </mc:Fallback>
        </mc:AlternateContent>
      </w:r>
      <w:r>
        <w:rPr>
          <w:rFonts w:hint="eastAsia"/>
          <w:highlight w:val="none"/>
        </w:rPr>
        <w:t xml:space="preserve">      </w: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69504" behindDoc="0" locked="0" layoutInCell="1" allowOverlap="1">
                <wp:simplePos x="0" y="0"/>
                <wp:positionH relativeFrom="column">
                  <wp:posOffset>2590800</wp:posOffset>
                </wp:positionH>
                <wp:positionV relativeFrom="paragraph">
                  <wp:posOffset>34290</wp:posOffset>
                </wp:positionV>
                <wp:extent cx="1244600" cy="635"/>
                <wp:effectExtent l="0" t="0" r="0" b="0"/>
                <wp:wrapNone/>
                <wp:docPr id="142" name="直接连接符 142"/>
                <wp:cNvGraphicFramePr/>
                <a:graphic xmlns:a="http://schemas.openxmlformats.org/drawingml/2006/main">
                  <a:graphicData uri="http://schemas.microsoft.com/office/word/2010/wordprocessingShape">
                    <wps:wsp>
                      <wps:cNvCnPr/>
                      <wps:spPr>
                        <a:xfrm>
                          <a:off x="0" y="0"/>
                          <a:ext cx="12446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pt;margin-top:2.7pt;height:0.05pt;width:98pt;z-index:251669504;mso-width-relative:page;mso-height-relative:page;" filled="f" stroked="t" coordsize="21600,21600" o:gfxdata="UEsFBgAAAAAAAAAAAAAAAAAAAAAAAFBLAwQKAAAAAACHTuJAAAAAAAAAAAAAAAAABAAAAGRycy9Q&#10;SwMEFAAAAAgAh07iQAM65XjVAAAABwEAAA8AAABkcnMvZG93bnJldi54bWxNj8tOwzAQRfdI/IM1&#10;SGyq1m5JqyrE6QLIjg0FxHYaT5OIeJzG7gO+nmEFy6M7uvdMsbn4Xp1ojF1gC/OZAUVcB9dxY+Ht&#10;tZquQcWE7LAPTBa+KMKmvL4qMHfhzC902qZGSQnHHC20KQ251rFuyWOchYFYsn0YPSbBsdFuxLOU&#10;+14vjFlpjx3LQosDPbRUf26P3kKs3ulQfU/qifm4awItDo/PT2jt7c3c3INKdEl/x/CrL+pQitMu&#10;HNlF1VvIzFp+SRaWGSjJVyYT3gkvQZeF/u9f/gBQSwMEFAAAAAgAh07iQCjhRB/ZAQAAiwMAAA4A&#10;AABkcnMvZTJvRG9jLnhtbK1TS47bMAzdF+gdBO0bO2kSdIw4s5hguuknQDsHYGTZFqAfRDVOLtEL&#10;FOiuXXXZfW8z02MMJWcy/eyKekFLj+QzH0mvLg9Gs70MqJyt+XRSciatcI2yXc1v3l8/e8EZRrAN&#10;aGdlzY8S+eX66ZPV4Cs5c73TjQyMSCxWg695H6OvigJFLw3gxHlpydm6YCDSNXRFE2AgdqOLWVku&#10;i8GFxgcnJCKhm9HJ15m/baWIb9sWZWS65lRbzDZku0u2WK+g6gL4XolTGfAPVRhQlj56ptpABPYh&#10;qL+ojBLBoWvjRDhTuLZVQmYNpGZa/qHmXQ9eZi3UHPTnNuH/oxVv9tvAVEOzm884s2BoSHefvt9+&#10;/PLzx2eyd9++suSiRg0eK4q/sttwuqHfhqT60AaT3qSHHXJzj+fmykNkgsDpbD5fljQDQb7l80Vi&#10;LB5TfcD4UjrD0qHmWtmkHCrYv8I4hj6EJNi6a6U14VBpy4aaXyxmC+IG2qFWQ6Sj8aQKbccZ6I6W&#10;U8SQGdFp1aTslIyh213pwPaQFiQ/Y1APjRzRiwXB46IgxNeuGeFp+YCTihNNVvQbf6p5A9iPOdl1&#10;Eq4tRaeWjk1Mp51rjrm3GaeJZ77TdqaV+vWesx//of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AzrleNUAAAAHAQAADwAAAAAAAAABACAAAAA4AAAAZHJzL2Rvd25yZXYueG1sUEsBAhQAFAAAAAgA&#10;h07iQCjhRB/ZAQAAiwMAAA4AAAAAAAAAAQAgAAAAOgEAAGRycy9lMm9Eb2MueG1sUEsFBgAAAAAG&#10;AAYAWQEAAIU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70528" behindDoc="0" locked="0" layoutInCell="1" allowOverlap="1">
                <wp:simplePos x="0" y="0"/>
                <wp:positionH relativeFrom="column">
                  <wp:posOffset>2425700</wp:posOffset>
                </wp:positionH>
                <wp:positionV relativeFrom="paragraph">
                  <wp:posOffset>194945</wp:posOffset>
                </wp:positionV>
                <wp:extent cx="326390" cy="0"/>
                <wp:effectExtent l="38100" t="0" r="38100" b="16510"/>
                <wp:wrapNone/>
                <wp:docPr id="143" name="肘形连接符 14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pt;margin-top:15.35pt;height:0pt;width:25.7pt;rotation:5898240f;z-index:251670528;mso-width-relative:page;mso-height-relative:page;" filled="f" stroked="t" coordsize="21600,21600" o:gfxdata="UEsFBgAAAAAAAAAAAAAAAAAAAAAAAFBLAwQKAAAAAACHTuJAAAAAAAAAAAAAAAAABAAAAGRycy9Q&#10;SwMEFAAAAAgAh07iQOSe3sXXAAAACQEAAA8AAABkcnMvZG93bnJldi54bWxNj8FOwzAQRO9I/IO1&#10;SFwQtdtUEIU4PVTqkUot+QA33iZR43UUu0ng67sVB7jt7oxm3+Sb2XVixCG0njQsFwoEUuVtS7WG&#10;8mv3moII0ZA1nSfU8I0BNsXjQ24y6yc64HiMteAQCpnR0MTYZ1KGqkFnwsL3SKyd/eBM5HWopR3M&#10;xOGukyul3qQzLfGHxvS4bbC6HK9Ow6WOZZjLzzZU45leDul+cj97rZ+fluoDRMQ5/pnhjs/oUDDT&#10;yV/JBtFpSNIVd4k8qHcQbFgnyRrE6fcgi1z+b1DcAFBLAwQUAAAACACHTuJA/wXh1yMCAAD+AwAA&#10;DgAAAGRycy9lMm9Eb2MueG1srVPNbhMxEL4j8Q6W72TzQ6J2lU0PKYVDgUgtD+DY3qzB9li2k02u&#10;PABnThwqwYlXQH2aQh+DsbMJBW4IHyzbM/PNzPeNp2dbo8lG+qDAVnTQ61MiLQeh7Kqib64vnpxQ&#10;EiKzgmmwsqI7GejZ7PGjaetKOYQGtJCeIIgNZesq2sToyqIIvJGGhR44adFYgzcs4tWvCuFZi+hG&#10;F8N+f1K04IXzwGUI+Hq+N9JZxq9ryePrug4yEl1RrC3m3ed9mfZiNmXlyjPXKN6Vwf6hCsOUxaRH&#10;qHMWGVl79ReUUdxDgDr2OJgC6lpxmXvAbgb9P7q5apiTuRckJ7gjTeH/wfJXm4UnSqB2T0eUWGZQ&#10;pPv3H+++3dzffvr+4fOPr19IMiFRrQsl+s/twqdW+dZeuUvg7wKxMG+YXclc8PXOIUb0a5mCit+i&#10;0iU4zLhsX4JAN7aOkInb1t4QDyjQYILC4qKk1sq96KBSRqSLbLN2u6N2chsJx8fRcDI6xRh+MBWs&#10;TJgpzvkQn0swJB0qupQ2zsFaHA7wo5ydbS5DzPqJjgMm3g6wAqNxHDZMk3EuKTXEys4bTwfkFGrh&#10;QmmdB0pb0lb0dDwcZ/QAWolkTG7Br5Zz7QmCYhN5ZZ7Q8tDNqIgfQytT0ZOjEysjU/qZFSR2JCuk&#10;XUua0hkpKNESv2E67SvVNqWU+SNghwc9kgR7PZcgdgt/eMchyw12HyJN8cN7VvPXt5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Se3sXXAAAACQEAAA8AAAAAAAAAAQAgAAAAOAAAAGRycy9kb3du&#10;cmV2LnhtbFBLAQIUABQAAAAIAIdO4kD/BeHXIwIAAP4DAAAOAAAAAAAAAAEAIAAAADwBAABkcnMv&#10;ZTJvRG9jLnhtbFBLBQYAAAAABgAGAFkBAADRBQ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703296" behindDoc="0" locked="0" layoutInCell="1" allowOverlap="1">
                <wp:simplePos x="0" y="0"/>
                <wp:positionH relativeFrom="column">
                  <wp:posOffset>120650</wp:posOffset>
                </wp:positionH>
                <wp:positionV relativeFrom="paragraph">
                  <wp:posOffset>146050</wp:posOffset>
                </wp:positionV>
                <wp:extent cx="0" cy="3797300"/>
                <wp:effectExtent l="4445" t="0" r="14605" b="12700"/>
                <wp:wrapNone/>
                <wp:docPr id="144" name="直接连接符 144"/>
                <wp:cNvGraphicFramePr/>
                <a:graphic xmlns:a="http://schemas.openxmlformats.org/drawingml/2006/main">
                  <a:graphicData uri="http://schemas.microsoft.com/office/word/2010/wordprocessingShape">
                    <wps:wsp>
                      <wps:cNvCnPr/>
                      <wps:spPr>
                        <a:xfrm>
                          <a:off x="0" y="0"/>
                          <a:ext cx="0" cy="379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pt;margin-top:11.5pt;height:299pt;width:0pt;z-index:251703296;mso-width-relative:page;mso-height-relative:page;" filled="f" stroked="t" coordsize="21600,21600" o:gfxdata="UEsFBgAAAAAAAAAAAAAAAAAAAAAAAFBLAwQKAAAAAACHTuJAAAAAAAAAAAAAAAAABAAAAGRycy9Q&#10;SwMEFAAAAAgAh07iQCxFMePUAAAACAEAAA8AAABkcnMvZG93bnJldi54bWxNj81OwzAQhO9IvIO1&#10;SFwqaieVKghxegBy40IBcd3GSxIRr9PY/YGnZ3OC0+rTjGZnys3ZD+pIU+wDW8iWBhRxE1zPrYW3&#10;1/rmFlRMyA6HwGThmyJsqsuLEgsXTvxCx21qlYRwLNBCl9JYaB2bjjzGZRiJRfsMk8ckOLXaTXiS&#10;cD/o3Ji19tizfOhwpIeOmq/twVuI9Tvt659FszAfqzZQvn98fkJrr68ycw8q0Tn9mWGuL9Whkk67&#10;cGAX1SB8J1OShXwld9Zn3llY55kBXZX6/4DqF1BLAwQUAAAACACHTuJAkdLgWNgBAACJAwAADgAA&#10;AGRycy9lMm9Eb2MueG1srVNLbtswEN0X6B0I7mvJTtzEguUsYqSbfgy0PcCYoiQC/IHDWvYleoEC&#10;3bWrLrvPbZoeI0PKcfrZFdViSD7OPM68GS2v9kaznQyonK35dFJyJq1wjbJdzd+/u3l2yRlGsA1o&#10;Z2XNDxL51erpk+XgKzlzvdONDIxILFaDr3kfo6+KAkUvDeDEeWnpsnXBQKRj6IomwEDsRhezsnxe&#10;DC40PjghEQldj5d8lfnbVor4pm1RRqZrTrnFbEO222SL1RKqLoDvlTimAf+QhQFl6dET1RoisA9B&#10;/UVllAgOXRsnwpnCta0SMtdA1UzLP6p524OXuRYSB/1JJvx/tOL1bhOYaqh35+ecWTDUpLtP3398&#10;/PLz9jPZu29fWboioQaPFflf2004ntBvQqp63waTVqqH7bO4h5O4ch+ZGEFB6NnF4uKszMIXj4E+&#10;YHwhnWFpU3OtbKobKti9xEiPkeuDS4Ktu1Fa595py4aaL+azOWcCaIJaDZG2xlNNaDvOQHc0miKG&#10;zIhOqyZFJx4M3fZaB7aDNB75G516aOSILuYEj2OCEF+5ZoSn5QNOqR1pcpq/8aec14D9GJOvEhWF&#10;aEtLEnSUMO22rjlkZTNO/c6Ox9lMA/XrOUc//kGr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xF&#10;MePUAAAACAEAAA8AAAAAAAAAAQAgAAAAOAAAAGRycy9kb3ducmV2LnhtbFBLAQIUABQAAAAIAIdO&#10;4kCR0uBY2AEAAIkDAAAOAAAAAAAAAAEAIAAAADk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4320" behindDoc="0" locked="0" layoutInCell="1" allowOverlap="1">
                <wp:simplePos x="0" y="0"/>
                <wp:positionH relativeFrom="column">
                  <wp:posOffset>120650</wp:posOffset>
                </wp:positionH>
                <wp:positionV relativeFrom="paragraph">
                  <wp:posOffset>156845</wp:posOffset>
                </wp:positionV>
                <wp:extent cx="965200" cy="1905"/>
                <wp:effectExtent l="0" t="36195" r="6350" b="38100"/>
                <wp:wrapNone/>
                <wp:docPr id="145" name="直接箭头连接符 145"/>
                <wp:cNvGraphicFramePr/>
                <a:graphic xmlns:a="http://schemas.openxmlformats.org/drawingml/2006/main">
                  <a:graphicData uri="http://schemas.microsoft.com/office/word/2010/wordprocessingShape">
                    <wps:wsp>
                      <wps:cNvCnPr/>
                      <wps:spPr>
                        <a:xfrm>
                          <a:off x="0" y="0"/>
                          <a:ext cx="96520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5pt;margin-top:12.35pt;height:0.15pt;width:76pt;z-index:251704320;mso-width-relative:page;mso-height-relative:page;" filled="f" stroked="t" coordsize="21600,21600" o:gfxdata="UEsFBgAAAAAAAAAAAAAAAAAAAAAAAFBLAwQKAAAAAACHTuJAAAAAAAAAAAAAAAAABAAAAGRycy9Q&#10;SwMEFAAAAAgAh07iQMEy153XAAAACAEAAA8AAABkcnMvZG93bnJldi54bWxNj81OwzAQhO9IvIO1&#10;SNyonQpSGuJUggqRC5VoEeLoxktiEa+j2P3j6dme4Dgzq9lvysXR92KPY3SBNGQTBQKpCdZRq+F9&#10;83xzDyImQ9b0gVDDCSMsqsuL0hQ2HOgN9+vUCi6hWBgNXUpDIWVsOvQmTsKAxNlXGL1JLMdW2tEc&#10;uNz3cqpULr1xxB86M+BTh833euc1pOXnqcs/mse5W21eXnP3U9f1Uuvrq0w9gEh4TH/HcMZndKiY&#10;aRt2ZKPoWc95StIwvZ2BOOezjI0tG3cKZFXK/wOqX1BLAwQUAAAACACHTuJAJoTyVvoBAAC7AwAA&#10;DgAAAGRycy9lMm9Eb2MueG1srVNLjhMxEN0jcQfLe9KdiIxIlM4sEoYNn0jAASq2u9uS27bKJp1c&#10;ggsgsQJWMKvZcxpm5hiU3ZkMnx2iF/5UuV7Ve1W9ON93hu0UBu1sxcejkjNlhZPaNhV/++bi0RPO&#10;QgQrwTirKn5QgZ8vHz5Y9H6uJq51RipkBGLDvPcVb2P086IIolUdhJHzypKzdthBpCs2hUToCb0z&#10;xaQsz4reofTohAqBrOvByZcZv66ViK/qOqjITMWptphXzOs2rcVyAfMGwbdaHMuAf6iiA20p6Qlq&#10;DRHYO9R/QXVaoAuujiPhusLVtRYqcyA24/IPNq9b8CpzIXGCP8kU/h+seLnbINOSevd4ypmFjpp0&#10;8+Hq+v3nm8tvPz5d3X7/mM5fv7D0gOTqfZhT1Mpu8HgLfoOJ+77GLu3Eiu2zxIeTxGofmSDj7GxK&#10;beNMkGs8KzNicR/qMcRnynUsHSoeIoJu2rhy1lIrHY6zyLB7HiIlp8C7gJTXugttTO6osaynZNMJ&#10;cRJAc1UbiHTsPDENtuEMTEMDKyJmxOCMlik64QRstiuDbAdpaPI3PGpBqsE6m5J5GJ4A8YWTg3lc&#10;3tmptCNMLvM3/FTzGkI7xGTXABVBm6dWsnjw1IWIGmxjVPIRnLG0JfEHudNp6+QhdyHbaULyw+M0&#10;pxH89Z6j7/+5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BMted1wAAAAgBAAAPAAAAAAAAAAEA&#10;IAAAADgAAABkcnMvZG93bnJldi54bWxQSwECFAAUAAAACACHTuJAJoTyVvoBAAC7AwAADgAAAAAA&#10;AAABACAAAAA8AQAAZHJzL2Uyb0RvYy54bWxQSwUGAAAAAAYABgBZAQAAqAU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71552" behindDoc="0" locked="0" layoutInCell="1" allowOverlap="1">
                <wp:simplePos x="0" y="0"/>
                <wp:positionH relativeFrom="column">
                  <wp:posOffset>1088390</wp:posOffset>
                </wp:positionH>
                <wp:positionV relativeFrom="paragraph">
                  <wp:posOffset>147320</wp:posOffset>
                </wp:positionV>
                <wp:extent cx="2936240" cy="306705"/>
                <wp:effectExtent l="4445" t="4445" r="12065" b="12700"/>
                <wp:wrapNone/>
                <wp:docPr id="146" name="文本框 146"/>
                <wp:cNvGraphicFramePr/>
                <a:graphic xmlns:a="http://schemas.openxmlformats.org/drawingml/2006/main">
                  <a:graphicData uri="http://schemas.microsoft.com/office/word/2010/wordprocessingShape">
                    <wps:wsp>
                      <wps:cNvSpPr txBox="true">
                        <a:spLocks noChangeArrowheads="true"/>
                      </wps:cNvSpPr>
                      <wps:spPr bwMode="auto">
                        <a:xfrm>
                          <a:off x="0" y="0"/>
                          <a:ext cx="2936240" cy="306705"/>
                        </a:xfrm>
                        <a:prstGeom prst="rect">
                          <a:avLst/>
                        </a:prstGeom>
                        <a:solidFill>
                          <a:srgbClr val="FFFFFF"/>
                        </a:solidFill>
                        <a:ln w="9525">
                          <a:solidFill>
                            <a:srgbClr val="000000"/>
                          </a:solidFill>
                          <a:miter lim="800000"/>
                        </a:ln>
                        <a:effectLst/>
                      </wps:spPr>
                      <wps:txbx>
                        <w:txbxContent>
                          <w:p>
                            <w:pPr>
                              <w:jc w:val="center"/>
                              <w:rPr>
                                <w:szCs w:val="21"/>
                              </w:rPr>
                            </w:pPr>
                            <w:r>
                              <w:rPr>
                                <w:rFonts w:hint="eastAsia"/>
                                <w:szCs w:val="21"/>
                              </w:rPr>
                              <w:t>技术审评机构做出技术审评决定</w:t>
                            </w:r>
                          </w:p>
                          <w:p>
                            <w:pPr>
                              <w:jc w:val="center"/>
                              <w:rPr>
                                <w:rFonts w:ascii="宋体" w:hAnsi="宋体"/>
                                <w:szCs w:val="21"/>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5.7pt;margin-top:11.6pt;height:24.15pt;width:231.2pt;z-index:251671552;mso-width-relative:page;mso-height-relative:page;" fillcolor="#FFFFFF" filled="t" stroked="t" coordsize="21600,21600" o:gfxdata="UEsFBgAAAAAAAAAAAAAAAAAAAAAAAFBLAwQKAAAAAACHTuJAAAAAAAAAAAAAAAAABAAAAGRycy9Q&#10;SwMEFAAAAAgAh07iQG5R5FnYAAAACQEAAA8AAABkcnMvZG93bnJldi54bWxNj8tOwzAQRfdI/IM1&#10;SGwQdR4lKSFOF0gg2JWCYOsm0yTCHgfbTcvfM6xgeTVHd86t1ydrxIw+jI4UpIsEBFLrupF6BW+v&#10;D9crECFq6rRxhAq+McC6OT+rddW5I73gvI294BIKlVYwxDhVUoZ2QKvDwk1IfNs7b3Xk6HvZeX3k&#10;cmtkliSFtHok/jDoCe8HbD+3B6tgtXyaP8Jzvnlvi725jVfl/Pjllbq8SJM7EBFP8Q+GX31Wh4ad&#10;du5AXRCGc5kuGVWQ5RkIBoo85y07BWV6A7Kp5f8FzQ9QSwMEFAAAAAgAh07iQEovlhk1AgAAWAQA&#10;AA4AAABkcnMvZTJvRG9jLnhtbK1US27bMBDdF+gdCO4bKY7tJILlIHWQokD6AdIegKYoiyjFYYe0&#10;pfQA7Q266qb7nsvn6JByXKHtqqgWBIczfHx8b6jFVd8atlPoNdiSn57knCkrodJ2U/L3726fXXDm&#10;g7CVMGBVyR+U51fLp08WnSvUBBowlUJGINYXnSt5E4IrsszLRrXCn4BTlpI1YCsChbjJKhQdobcm&#10;m+T5POsAK4cglfe0ejMk+TLh17WS4U1dexWYKTlxC2nENK7jmC0XotigcI2WBxriH1i0Qls69Ah1&#10;I4JgW9R/QLVaIniow4mENoO61lKlO9BtTvPfbnPfCKfSXUgc744y+f8HK1/v3iLTFXk3nXNmRUsm&#10;7b9+2X/7sf/+mcVFkqhzvqDKe0e1oX8OfckDbiM1UXh3B/KDZxZWjbAbdY0IXaNERSxTEe3PRgAD&#10;mo9Q6+4VVHSe2AZIWH2NbcQkXRidQYY9HE1SfWCSFieXZ/PJlFKScmf5/DyfRYqZKB53O/ThhYKW&#10;xUnJkZogoYvdnQ9D6WNJugAYXd1qY1KAm/XKINsJapjb9B3Q/bjMWNaV/HI2mQ0ajHN+DJGn728Q&#10;rQ7U+Ua3Jb8YFxkbeajUuwe+Ub0o2CBd6Nf9wZM1VA+kI8LQ1/QOadIAfuKso54uuf+4Fag4My8t&#10;2XF5Oo3ChRRMZ+cTCnCcWY8zwkqCIhM5G6arQFEtjCfArUO9aei0Yx9YuCYba50UjowHcgfzqX2T&#10;R4enFt/HOE5Vv34I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uUeRZ2AAAAAkBAAAPAAAAAAAA&#10;AAEAIAAAADgAAABkcnMvZG93bnJldi54bWxQSwECFAAUAAAACACHTuJASi+WGTUCAABYBAAADgAA&#10;AAAAAAABACAAAAA9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技术审评机构做出技术审评决定</w:t>
                      </w:r>
                    </w:p>
                    <w:p>
                      <w:pPr>
                        <w:jc w:val="center"/>
                        <w:rPr>
                          <w:rFonts w:ascii="宋体" w:hAnsi="宋体"/>
                          <w:szCs w:val="21"/>
                        </w:rPr>
                      </w:pPr>
                    </w:p>
                  </w:txbxContent>
                </v:textbox>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9200" behindDoc="0" locked="0" layoutInCell="1" allowOverlap="1">
                <wp:simplePos x="0" y="0"/>
                <wp:positionH relativeFrom="column">
                  <wp:posOffset>273050</wp:posOffset>
                </wp:positionH>
                <wp:positionV relativeFrom="paragraph">
                  <wp:posOffset>106680</wp:posOffset>
                </wp:positionV>
                <wp:extent cx="0" cy="2901950"/>
                <wp:effectExtent l="4445" t="0" r="14605" b="12700"/>
                <wp:wrapNone/>
                <wp:docPr id="147" name="直接连接符 147"/>
                <wp:cNvGraphicFramePr/>
                <a:graphic xmlns:a="http://schemas.openxmlformats.org/drawingml/2006/main">
                  <a:graphicData uri="http://schemas.microsoft.com/office/word/2010/wordprocessingShape">
                    <wps:wsp>
                      <wps:cNvCnPr/>
                      <wps:spPr>
                        <a:xfrm>
                          <a:off x="0" y="0"/>
                          <a:ext cx="0" cy="290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8.4pt;height:228.5pt;width:0pt;z-index:251699200;mso-width-relative:page;mso-height-relative:page;" filled="f" stroked="t" coordsize="21600,21600" o:gfxdata="UEsFBgAAAAAAAAAAAAAAAAAAAAAAAFBLAwQKAAAAAACHTuJAAAAAAAAAAAAAAAAABAAAAGRycy9Q&#10;SwMEFAAAAAgAh07iQEt80y7VAAAACAEAAA8AAABkcnMvZG93bnJldi54bWxNj09PwzAMxe9IfIfI&#10;SFwmlmxF21Sa7gD0xoUB2tVrTFvROF2T/YFPj+ECJ+v5Wc/vV6zPvldHGmMX2MJsakAR18F13Fh4&#10;faluVqBiQnbYByYLnxRhXV5eFJi7cOJnOm5SoySEY44W2pSGXOtYt+QxTsNALN57GD0mkWOj3Ygn&#10;Cfe9nhuz0B47lg8tDnTfUv2xOXgLsXqjffU1qSdmmzWB5vuHp0e09vpqZu5AJTqnv2P4qS/VoZRO&#10;u3BgF1Vv4TYTlCT7hRCI/6t3MpfZCnRZ6P8A5TdQSwMEFAAAAAgAh07iQNP2vTfXAQAAiQMAAA4A&#10;AABkcnMvZTJvRG9jLnhtbK1TzY7TMBC+I/EOlu80aUWBRk33sNVy4acS8ABTx0ks+U8e07QvwQsg&#10;cYMTR+68zS6PwdjJdnfhhshhbH+e+TzzzWR9cTSaHWRA5WzN57OSM2mFa5Ttav7h/dWTF5xhBNuA&#10;dlbW/CSRX2weP1oPvpIL1zvdyMCIxGI1+Jr3MfqqKFD00gDOnJeWLlsXDEQ6hq5oAgzEbnSxKMtn&#10;xeBC44MTEpHQ7XjJN5m/baWIb9sWZWS65pRbzDZku0+22Kyh6gL4XokpDfiHLAwoS4+eqbYQgX0M&#10;6i8qo0Rw6No4E84Urm2VkLkGqmZe/lHNux68zLWQOOjPMuH/oxVvDrvAVEO9e/qcMwuGmnTz+cf1&#10;p6+/fn4he/P9G0tXJNTgsSL/S7sL0wn9LqSqj20waaV62DGLezqLK4+RiREUhC5W5Xy1zMIXd4E+&#10;YHwpnWFpU3OtbKobKji8wkiPkeutS4Ktu1Ja595py4aar5aLJWcCaIJaDZG2xlNNaDvOQHc0miKG&#10;zIhOqyZFJx4M3f5SB3aANB75G516aOSIUq7lNCYI8bVrRnhe3uKU2kST03zAn3LeAvZjTL5KQlKI&#10;trQkQUcJ027vmlNWNuPU7+w4zWYaqPvnHH33B2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t8&#10;0y7VAAAACAEAAA8AAAAAAAAAAQAgAAAAOAAAAGRycy9kb3ducmV2LnhtbFBLAQIUABQAAAAIAIdO&#10;4kDT9r031wEAAIkDAAAOAAAAAAAAAAEAIAAAADo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0224" behindDoc="0" locked="0" layoutInCell="1" allowOverlap="1">
                <wp:simplePos x="0" y="0"/>
                <wp:positionH relativeFrom="column">
                  <wp:posOffset>273050</wp:posOffset>
                </wp:positionH>
                <wp:positionV relativeFrom="paragraph">
                  <wp:posOffset>106680</wp:posOffset>
                </wp:positionV>
                <wp:extent cx="812800" cy="0"/>
                <wp:effectExtent l="0" t="38100" r="6350" b="38100"/>
                <wp:wrapNone/>
                <wp:docPr id="148" name="直接箭头连接符 148"/>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8.4pt;height:0pt;width:64pt;z-index:251700224;mso-width-relative:page;mso-height-relative:page;" filled="f" stroked="t" coordsize="21600,21600" o:gfxdata="UEsFBgAAAAAAAAAAAAAAAAAAAAAAAFBLAwQKAAAAAACHTuJAAAAAAAAAAAAAAAAABAAAAGRycy9Q&#10;SwMEFAAAAAgAh07iQNKujSDWAAAACAEAAA8AAABkcnMvZG93bnJldi54bWxNj81OwzAQhO9IvIO1&#10;SNyoE0ABQpxKUCFyoRJtVXF04yW2iNdR7P7x9GzFAY77zWh2ppoefC92OEYXSEE+yUAgtcE46hSs&#10;li9X9yBi0mR0HwgVHDHCtD4/q3Rpwp7ecbdIneAQiqVWYFMaSilja9HrOAkDEmufYfQ68Tl20ox6&#10;z+G+l9dZVkivHfEHqwd8tth+LbZeQZp9HG2xbp8e3Hz5+la476ZpZkpdXuTZI4iEh/RnhlN9rg41&#10;d9qELZkoegW3NzwlMS94wUm/yxlsfoGsK/l/QP0DUEsDBBQAAAAIAIdO4kDqB31P9wEAALgDAAAO&#10;AAAAZHJzL2Uyb0RvYy54bWytU0uOEzEQ3SNxB8t70p2IoEyUziwShg2fSMABKra725LbtlwmnVyC&#10;CyCxAlYwq9lzGhiOQdmdZPjsEL3wp8r1quq96sXlvjNspwJqZys+HpWcKSuc1Lap+OtXVw9mnGEE&#10;K8E4qyp+UMgvl/fvLXo/VxPXOiNVYARicd77ircx+nlRoGhVBzhyXlly1i50EOkamkIG6Am9M8Wk&#10;LB8VvQvSBycUIlnXg5MvM35dKxFf1DWqyEzFqbaY15DXbVqL5QLmTQDfanEsA/6hig60paRnqDVE&#10;YG+C/guq0yI4dHUcCdcVrq61ULkH6mZc/tHNyxa8yr0QOejPNOH/gxXPd5vAtCTtHpJUFjoS6fbd&#10;zfe3H2+vv3z7cPPj6/t0/vyJpQdEV+9xTlEruwnHG/pNSL3v69Clnbpi+0zx4Uyx2kcmyDgbT2Yl&#10;CSFOruIuzgeMT5TrWDpUHGMA3bRx5awlHV0YZ4Zh9xQjZabAU0BKat2VNibLaSzrK34xnUwpD9BQ&#10;1QYiHTtPbaJtOAPT0LSKGDIiOqNlik44GJrtygS2gzQx+RsetSDVYL2YknmYHIT4zMnBPC5Pdirt&#10;CJPL/A0/1bwGbIeY7BqgImjz2EoWD54kiEGDbYxKPoIzlrbE/MB1Om2dPGQJsp3GIz88jnKav1/v&#10;Ofruh1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KujSDWAAAACAEAAA8AAAAAAAAAAQAgAAAA&#10;OAAAAGRycy9kb3ducmV2LnhtbFBLAQIUABQAAAAIAIdO4kDqB31P9wEAALgDAAAOAAAAAAAAAAEA&#10;IAAAADsBAABkcnMvZTJvRG9jLnhtbFBLBQYAAAAABgAGAFkBAACkBQAAAAA=&#10;">
                <v:fill on="f" focussize="0,0"/>
                <v:stroke color="#000000 [3200]" joinstyle="round"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6128" behindDoc="0" locked="0" layoutInCell="1" allowOverlap="1">
                <wp:simplePos x="0" y="0"/>
                <wp:positionH relativeFrom="column">
                  <wp:posOffset>406400</wp:posOffset>
                </wp:positionH>
                <wp:positionV relativeFrom="paragraph">
                  <wp:posOffset>41910</wp:posOffset>
                </wp:positionV>
                <wp:extent cx="0" cy="2654300"/>
                <wp:effectExtent l="4445" t="0" r="14605" b="12700"/>
                <wp:wrapNone/>
                <wp:docPr id="149" name="直接连接符 149"/>
                <wp:cNvGraphicFramePr/>
                <a:graphic xmlns:a="http://schemas.openxmlformats.org/drawingml/2006/main">
                  <a:graphicData uri="http://schemas.microsoft.com/office/word/2010/wordprocessingShape">
                    <wps:wsp>
                      <wps:cNvCnPr/>
                      <wps:spPr>
                        <a:xfrm>
                          <a:off x="0" y="0"/>
                          <a:ext cx="0" cy="265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3.3pt;height:209pt;width:0pt;z-index:251696128;mso-width-relative:page;mso-height-relative:page;" filled="f" stroked="t" coordsize="21600,21600" o:gfxdata="UEsFBgAAAAAAAAAAAAAAAAAAAAAAAFBLAwQKAAAAAACHTuJAAAAAAAAAAAAAAAAABAAAAGRycy9Q&#10;SwMEFAAAAAgAh07iQEJfMtvUAAAABwEAAA8AAABkcnMvZG93bnJldi54bWxNj71OxDAQhHsk3sFa&#10;JJoTZ1+IIhTiXAGko+EA0e7FSxIRr3Ox7weenoUGqtFoVjPfVuuTH9WB5jgEtrBaGlDEbXADdxZe&#10;npurG1AxITscA5OFT4qwrs/PKixdOPITHTapU1LCsUQLfUpTqXVse/IYl2Eiluw9zB6T2LnTbsaj&#10;lPtRZ8YU2uPAstDjRHc9tR+bvbcQm1faNV+LdmHerrtA2e7+8QGtvbxYmVtQiU7p7xh+8AUdamHa&#10;hj27qEYLRS6vJNEClMS/dmshz/ICdF3p//z1N1BLAwQUAAAACACHTuJAPgHNFdgBAACJAwAADgAA&#10;AGRycy9lMm9Eb2MueG1srVNLbtswEN0XyB0I7mvJbhzUguUsYqSbfgw0PcCYoiQC/IHDWPYleoEC&#10;3bWrLrvvbZIco0PKcfrZFdViSD7OPM68GS0v90aznQyonK35dFJyJq1wjbJdzT/cXD9/yRlGsA1o&#10;Z2XNDxL55ers2XLwlZy53ulGBkYkFqvB17yP0VdFgaKXBnDivLR02bpgINIxdEUTYCB2o4tZWV4U&#10;gwuND05IRELX4yVfZf62lSK+a1uUkemaU24x25DtNtlitYSqC+B7JY5pwD9kYUBZevREtYYI7Dao&#10;v6iMEsGha+NEOFO4tlVC5hqommn5RzXve/Ay10LioD/JhP+PVrzdbQJTDfXufMGZBUNNuv/0/e7j&#10;l4cfn8nef/vK0hUJNXisyP/KbsLxhH4TUtX7Npi0Uj1sn8U9nMSV+8jECApCZxfz8xdlFr54CvQB&#10;4yvpDEubmmtlU91Qwe41RnqMXB9dEmzdtdI6905bNtR8MZ/NORNAE9RqiLQ1nmpC23EGuqPRFDFk&#10;RnRaNSk68WDotlc6sB2k8cjf6NRDI0d0MSd4HBOE+MY1IzwtH3FK7UiT0/yNP+W8BuzHmHyVqChE&#10;W1qSoKOEabd1zSErm3Hqd3Y8zmYaqF/POfrpD1r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Jf&#10;MtvUAAAABwEAAA8AAAAAAAAAAQAgAAAAOAAAAGRycy9kb3ducmV2LnhtbFBLAQIUABQAAAAIAIdO&#10;4kA+Ac0V2AEAAIkDAAAOAAAAAAAAAAEAIAAAADk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7152" behindDoc="0" locked="0" layoutInCell="1" allowOverlap="1">
                <wp:simplePos x="0" y="0"/>
                <wp:positionH relativeFrom="column">
                  <wp:posOffset>406400</wp:posOffset>
                </wp:positionH>
                <wp:positionV relativeFrom="paragraph">
                  <wp:posOffset>41910</wp:posOffset>
                </wp:positionV>
                <wp:extent cx="679450" cy="0"/>
                <wp:effectExtent l="0" t="38100" r="6350" b="38100"/>
                <wp:wrapNone/>
                <wp:docPr id="150" name="直接箭头连接符 150"/>
                <wp:cNvGraphicFramePr/>
                <a:graphic xmlns:a="http://schemas.openxmlformats.org/drawingml/2006/main">
                  <a:graphicData uri="http://schemas.microsoft.com/office/word/2010/wordprocessingShape">
                    <wps:wsp>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pt;margin-top:3.3pt;height:0pt;width:53.5pt;z-index:251697152;mso-width-relative:page;mso-height-relative:page;" filled="f" stroked="t" coordsize="21600,21600" o:gfxdata="UEsFBgAAAAAAAAAAAAAAAAAAAAAAAFBLAwQKAAAAAACHTuJAAAAAAAAAAAAAAAAABAAAAGRycy9Q&#10;SwMEFAAAAAgAh07iQCiHBUPUAAAABgEAAA8AAABkcnMvZG93bnJldi54bWxNj01LxDAQhu+C/yGM&#10;4M1NKxK1Nl3QRexFwV0Rj9lmbILNpDTZL3+9s170NDy8wzvP1PN9GMQWp+QjaShnBQikLlpPvYa3&#10;1ePFDYiUDVkzREINB0wwb05PalPZuKNX3C5zL7iEUmU0uJzHSsrUOQwmzeKIxNlnnILJjFMv7WR2&#10;XB4GeVkUSgbjiS84M+KDw+5ruQka8uLj4NR7d3/rX1ZPz8p/t2270Pr8rCzuQGTc579lOOqzOjTs&#10;tI4bskkMGtQVv5J5KhDH+LpkXv+ybGr5X7/5AVBLAwQUAAAACACHTuJAwjIjCPUBAAC4AwAADgAA&#10;AGRycy9lMm9Eb2MueG1srVNLjhMxEN0jcQfLe9KdiAwkSmcWCcOGTyTgABW3u9uSf3KZdHIJLoDE&#10;ClgBq9lzGhiOQdmdZPjsEL2wy/V5VfWqenG5N5rtZEDlbMXHo5IzaYWrlW0r/url1b2HnGEEW4N2&#10;Vlb8IJFfLu/eWfR+Lieuc7qWgRGIxXnvK97F6OdFgaKTBnDkvLRkbFwwEOkZ2qIO0BO60cWkLC+K&#10;3oXaByckImnXg5EvM37TSBGfNw3KyHTFqbaYz5DPbTqL5QLmbQDfKXEsA/6hCgPKUtIz1BoisNdB&#10;/QVllAgOXRNHwpnCNY0SMvdA3YzLP7p50YGXuRciB/2ZJvx/sOLZbhOYqml2U+LHgqEh3by9/v7m&#10;w82Xz9/eX//4+i7Jnz6y5EB09R7nFLWym3B8od+E1Pu+CSbd1BXbZ4oPZ4rlPjJByosHs/spkTiZ&#10;its4HzA+ls6wJFQcYwDVdnHlrKU5ujDODMPuCUbKTIGngJTUuiuldR6ntqyv+Gw6mVIeoKVqNEQS&#10;jac20bacgW5pW0UMGRGdVnWKTjgY2u1KB7aDtDH5G5w6qOWgnU1JPWwOQnzq6kE9Lk96Ku0Ik8v8&#10;DT/VvAbshphsGqAiKP3I1iwePI0gBgW21TLZCE5buhLzA9dJ2rr6kEeQ9bQe2fG4ymn/fn3n6Nsf&#10;bv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KIcFQ9QAAAAGAQAADwAAAAAAAAABACAAAAA4AAAA&#10;ZHJzL2Rvd25yZXYueG1sUEsBAhQAFAAAAAgAh07iQMIyIwj1AQAAuAMAAA4AAAAAAAAAAQAgAAAA&#10;OQEAAGRycy9lMm9Eb2MueG1sUEsFBgAAAAAGAAYAWQEAAKAFAAAAAA==&#10;">
                <v:fill on="f" focussize="0,0"/>
                <v:stroke color="#000000 [32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2580640</wp:posOffset>
                </wp:positionH>
                <wp:positionV relativeFrom="paragraph">
                  <wp:posOffset>42545</wp:posOffset>
                </wp:positionV>
                <wp:extent cx="0" cy="327025"/>
                <wp:effectExtent l="4445" t="0" r="14605" b="15875"/>
                <wp:wrapNone/>
                <wp:docPr id="151" name="直接连接符 151"/>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3.2pt;margin-top:3.35pt;height:25.75pt;width:0pt;z-index:251673600;mso-width-relative:page;mso-height-relative:page;" filled="f" stroked="t" coordsize="21600,21600" o:gfxdata="UEsFBgAAAAAAAAAAAAAAAAAAAAAAAFBLAwQKAAAAAACHTuJAAAAAAAAAAAAAAAAABAAAAGRycy9Q&#10;SwMEFAAAAAgAh07iQB/cX9bVAAAACAEAAA8AAABkcnMvZG93bnJldi54bWxNj71Ow0AQhHsk3uG0&#10;SDRRchcTTGS8TgG4oyGA0m7sxbbw7Tm+yw88PYdSQDma0cw3+epke3Xg0XdOEOYzA4qlcnUnDcLb&#10;azldgvKBpKbeCSN8sYdVcXmRU1a7o7zwYR0aFUvEZ4TQhjBkWvuqZUt+5gaW6H240VKIcmx0PdIx&#10;ltteJ8ak2lIncaGlgR9arj7Xe4vgy3feld+TamI2N43jZPf4/ESI11dzcw8q8Cn8heEXP6JDEZm2&#10;bi+1Vz3CwqSLGEVI70BF/6y3CLfLBHSR6/8Hih9QSwMEFAAAAAgAh07iQGtxYebTAQAAiAMAAA4A&#10;AABkcnMvZTJvRG9jLnhtbK1TS44TMRDdI3EHy3vSnaAA00pnFhMNGz6RgANUbHe3Jf/kMunkElwA&#10;iR2sWLLnNjMcg7I7k+GzQ/Si2n6uel3vuXp1ebCG7VVE7V3L57OaM+WEl9r1LX/39vrRM84wgZNg&#10;vFMtPyrkl+uHD1ZjaNTCD95IFRmROGzG0PIhpdBUFYpBWcCZD8rRYeejhUTb2Fcywkjs1lSLun5S&#10;jT7KEL1QiIRupkO+Lvxdp0R63XWoEjMtp95SibHEXY7VegVNHyEMWpzagH/owoJ29NEz1QYSsPdR&#10;/0VltYgefZdmwtvKd50WqmggNfP6DzVvBgiqaCFzMJxtwv9HK17tt5FpSXe3nHPmwNIl3X78dvPh&#10;84/vnyjefv3C8hEZNQZsKP/KbeNph2Ebs+pDF21+kx52KOYez+aqQ2JiAgWhjxdP68Uy01X3dSFi&#10;eq68ZXnRcqNdlg0N7F9gmlLvUjLs/LU2hnBojGNjyy+WRMkE0AB1BhItbSBJ6HrOwPQ0mSLFwoje&#10;aJmrczHGfndlIttDno7yTEkDSDWhF0uCpylBSC+9nOB5fYeTihNNUfQbf+55AzhMNeXoJNw4ys5+&#10;Tg7m1c7LYzG24HTdhe80mnmeft2X6vsfaP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9xf1tUA&#10;AAAIAQAADwAAAAAAAAABACAAAAA4AAAAZHJzL2Rvd25yZXYueG1sUEsBAhQAFAAAAAgAh07iQGtx&#10;YebTAQAAiAMAAA4AAAAAAAAAAQAgAAAAOg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80768" behindDoc="0" locked="0" layoutInCell="1" allowOverlap="1">
                <wp:simplePos x="0" y="0"/>
                <wp:positionH relativeFrom="column">
                  <wp:posOffset>901700</wp:posOffset>
                </wp:positionH>
                <wp:positionV relativeFrom="paragraph">
                  <wp:posOffset>165735</wp:posOffset>
                </wp:positionV>
                <wp:extent cx="3662045" cy="16510"/>
                <wp:effectExtent l="0" t="4445" r="14605" b="7620"/>
                <wp:wrapNone/>
                <wp:docPr id="152" name="直接连接符 152"/>
                <wp:cNvGraphicFramePr/>
                <a:graphic xmlns:a="http://schemas.openxmlformats.org/drawingml/2006/main">
                  <a:graphicData uri="http://schemas.microsoft.com/office/word/2010/wordprocessingShape">
                    <wps:wsp>
                      <wps:cNvCnPr/>
                      <wps:spPr>
                        <a:xfrm>
                          <a:off x="0" y="0"/>
                          <a:ext cx="3662046" cy="16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pt;margin-top:13.05pt;height:1.3pt;width:288.35pt;z-index:251680768;mso-width-relative:page;mso-height-relative:page;" filled="f" stroked="t" coordsize="21600,21600" o:gfxdata="UEsFBgAAAAAAAAAAAAAAAAAAAAAAAFBLAwQKAAAAAACHTuJAAAAAAAAAAAAAAAAABAAAAGRycy9Q&#10;SwMEFAAAAAgAh07iQOR28EDXAAAACQEAAA8AAABkcnMvZG93bnJldi54bWxNj09PwzAMxe9IfIfI&#10;SFwmlrSgbSpNdwB648IG4uo1pq1onK7J/sCnx5zgZD376fn3yvXZD+pIU+wDW8jmBhRxE1zPrYXX&#10;bX2zAhUTssMhMFn4ogjr6vKixMKFE7/QcZNaJSEcC7TQpTQWWsemI49xHkZiuX2EyWMSObXaTXiS&#10;cD/o3JiF9tizfOhwpIeOms/NwVuI9Rvt6+9ZMzPvt22gfP/4/ITWXl9l5h5UonP6M8MvvqBDJUy7&#10;cGAX1SD6LpcuyUK+yECJYZmtlqB2spCpq1L/b1D9AFBLAwQUAAAACACHTuJArq56U9oBAACNAwAA&#10;DgAAAGRycy9lMm9Eb2MueG1srVPLrtMwEN0j8Q+W9zRpoRWNmt7FrS4bHpWAD5g6TmLJL3lM0/4E&#10;P4DEDlYs2fM3XD6DsZPby2OHyGJin5k58TmebK5ORrOjDKicrfl8VnImrXCNsl3N3765efSUM4xg&#10;G9DOypqfJfKr7cMHm8FXcuF6pxsZGJFYrAZf8z5GXxUFil4awJnz0lKydcFApG3oiibAQOxGF4uy&#10;XBWDC40PTkhEQndjkm8zf9tKEV+1LcrIdM3pbDHHkOMhxWK7gaoL4HslpmPAP5zCgLL00QvVDiKw&#10;d0H9RWWUCA5dG2fCmcK1rRIyayA18/IPNa978DJrIXPQX2zC/0crXh73gamG7m654MyCoUu6/fD1&#10;+/tPP759pHj75TNLKTJq8FhR/bXdh2mHfh+S6lMbTHqTHnbK5p4v5spTZILAx6vVonyy4kxQbr5a&#10;luvEWdw3+4DxmXSGpUXNtbJJO1RwfI5xLL0rSbB1N0prwqHSlg01Xy8XS2IHmqJWQ6Sl8aQLbccZ&#10;6I7GU8SQGdFp1aTu1IyhO1zrwI6QRiQ/Y1EPjRzR9ZLgcVQQ4gvXjPC8vMNJxUSTFf3Gn868A+zH&#10;npyahGtL1cnU0ca0OrjmnN3NON155pvmMw3Vr/vcff8Xb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5HbwQNcAAAAJAQAADwAAAAAAAAABACAAAAA4AAAAZHJzL2Rvd25yZXYueG1sUEsBAhQAFAAA&#10;AAgAh07iQK6uelPaAQAAjQMAAA4AAAAAAAAAAQAgAAAAPAEAAGRycy9lMm9Eb2MueG1sUEsFBgAA&#10;AAAGAAYAWQEAAIg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06368" behindDoc="0" locked="0" layoutInCell="1" allowOverlap="1">
                <wp:simplePos x="0" y="0"/>
                <wp:positionH relativeFrom="column">
                  <wp:posOffset>3462020</wp:posOffset>
                </wp:positionH>
                <wp:positionV relativeFrom="paragraph">
                  <wp:posOffset>144780</wp:posOffset>
                </wp:positionV>
                <wp:extent cx="326390" cy="0"/>
                <wp:effectExtent l="38100" t="0" r="38100" b="16510"/>
                <wp:wrapNone/>
                <wp:docPr id="153" name="肘形连接符 15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2.6pt;margin-top:11.4pt;height:0pt;width:25.7pt;rotation:5898240f;z-index:251706368;mso-width-relative:page;mso-height-relative:page;" filled="f" stroked="t" coordsize="21600,21600" o:gfxdata="UEsFBgAAAAAAAAAAAAAAAAAAAAAAAFBLAwQKAAAAAACHTuJAAAAAAAAAAAAAAAAABAAAAGRycy9Q&#10;SwMEFAAAAAgAh07iQEExW27WAAAACQEAAA8AAABkcnMvZG93bnJldi54bWxNj8FugzAMhu+T9g6R&#10;K+0yraFooI4SepjU4yq15QFS4gIqcRBJge7p52mH9Wj70+/vz7ez7cSIg28dKVgtIxBIlTMt1QrK&#10;0+5tDcIHTUZ3jlDBHT1si+enXGfGTXTA8RhqwSHkM62gCaHPpPRVg1b7peuR+HZxg9WBx6GWZtAT&#10;h9tOxlGUSqtb4g+N7vGzwep6vFkF1zqUfi6/Wl+NF3o9rPeT/d4r9bJYRRsQAefwD8OvPqtDwU5n&#10;dyPjRacgeU9iRhXEMVdgIPlIUxDnv4UscvnYoPgBUEsDBBQAAAAIAIdO4kAN/F4RIgIAAP4DAAAO&#10;AAAAZHJzL2Uyb0RvYy54bWytU72OEzEQ7pF4B8s92fwo0d0qmytyHBQHRLrjAby2N2uwPZbtZJOW&#10;B6CmokCCildAPA1wj8HY2YQDOoQLy/bMfDPzfeP5xc5ospU+KLAVHQ2GlEjLQSi7rujL26tHZ5SE&#10;yKxgGqys6F4GerF4+GDeuVKOoQUtpCcIYkPZuYq2MbqyKAJvpWFhAE5aNDbgDYt49etCeNYhutHF&#10;eDicFR144TxwGQK+Xh6MdJHxm0by+KJpgoxEVxRri3n3ea/TXizmrFx75lrF+zLYP1RhmLKY9AR1&#10;ySIjG6/+gjKKewjQxAEHU0DTKC5zD9jNaPhHNzctczL3guQEd6Ip/D9Y/ny78kQJ1G46ocQygyLd&#10;vXn37cuHu6/vv7/9+OPzJ5JMSFTnQon+S7vyqVW+szfuGvjrQCwsW2bXMhd8u3eIEf1GpqDit6h0&#10;CQ4z1t0zEOjGNhEycbvGG+IBBRrNUFhclDRauac9VMqIdJFd1m5/0k7uIuH4OBnPJucYw4+mgpUJ&#10;M8U5H+ITCYakQ0VraeMSrMXhAD/J2dn2OsSsn+g5YOLVCCswGsdhyzSZ5pJSQ6zsvfF0RE6hFq6U&#10;1nmgtCVdRc+n42lGD6CVSMbkFvy6XmpPEBSbyCvzhJb7bkZF/BhamYqenZxYGZnSj60gsSdZIe1a&#10;0pTOSEGJlvgN0+lQqbYppcwfATs86pEkOOhZg9iv/PEdhyw32H+INMX371nNX992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BMVtu1gAAAAkBAAAPAAAAAAAAAAEAIAAAADgAAABkcnMvZG93bnJl&#10;di54bWxQSwECFAAUAAAACACHTuJADfxeESICAAD+AwAADgAAAAAAAAABACAAAAA7AQAAZHJzL2Uy&#10;b0RvYy54bWxQSwUGAAAAAAYABgBZAQAAzw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5344" behindDoc="0" locked="0" layoutInCell="1" allowOverlap="1">
                <wp:simplePos x="0" y="0"/>
                <wp:positionH relativeFrom="column">
                  <wp:posOffset>1953260</wp:posOffset>
                </wp:positionH>
                <wp:positionV relativeFrom="paragraph">
                  <wp:posOffset>149225</wp:posOffset>
                </wp:positionV>
                <wp:extent cx="326390" cy="0"/>
                <wp:effectExtent l="38100" t="0" r="38100" b="16510"/>
                <wp:wrapNone/>
                <wp:docPr id="154" name="肘形连接符 15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3.8pt;margin-top:11.75pt;height:0pt;width:25.7pt;rotation:5898240f;z-index:251705344;mso-width-relative:page;mso-height-relative:page;" filled="f" stroked="t" coordsize="21600,21600" o:gfxdata="UEsFBgAAAAAAAAAAAAAAAAAAAAAAAFBLAwQKAAAAAACHTuJAAAAAAAAAAAAAAAAABAAAAGRycy9Q&#10;SwMEFAAAAAgAh07iQHf5pRjWAAAACQEAAA8AAABkcnMvZG93bnJldi54bWxNj8FuwjAMhu+TeIfI&#10;k3aZRgIVjHVNOSDtOCRYHyA0pq1onKoJbeHp52mH7Wj70+/vz7aTa8WAfWg8aVjMFQik0tuGKg3F&#10;18fLBkSIhqxpPaGGGwbY5rOHzKTWj3TA4RgrwSEUUqOhjrFLpQxljc6Eue+Q+Hb2vTORx76Stjcj&#10;h7tWLpVaS2ca4g+16XBXY3k5Xp2GSxWLMBWfTSiHMz0fNvvR3fdaPz0u1DuIiFP8g+FHn9UhZ6eT&#10;v5INotWQqNc1oxqWyQoEA8nqjcudfhcyz+T/Bvk3UEsDBBQAAAAIAIdO4kApMF2+IwIAAP4DAAAO&#10;AAAAZHJzL2Uyb0RvYy54bWytU81uEzEQviPxDpbvZPNDonaVTQ8phUOBSC0P4NjerMH2WLaTTa48&#10;AGdOHCrBiVdAfZpCH4OxswkFbggfLNsz883M942nZ1ujyUb6oMBWdNDrUyItB6HsqqJvri+enFAS&#10;IrOCabCyojsZ6Nns8aNp60o5hAa0kJ4giA1l6yraxOjKogi8kYaFHjhp0ViDNyzi1a8K4VmL6EYX&#10;w35/UrTghfPAZQj4er430lnGr2vJ4+u6DjISXVGsLebd532Z9mI2ZeXKM9co3pXB/qEKw5TFpEeo&#10;cxYZWXv1F5RR3EOAOvY4mALqWnGZe8BuBv0/urlqmJO5FyQnuCNN4f/B8lebhSdKoHbjp5RYZlCk&#10;+/cf777d3N9++v7h84+vX0gyIVGtCyX6z+3Cp1b51l65S+DvArEwb5hdyVzw9c4hRvRrmYKK36LS&#10;JTjMuGxfgkA3to6QidvW3hAPKNBggsLioqTWyr3ooFJGpItss3a7o3ZyGwnHx9FwMjrFGH4wFaxM&#10;mCnO+RCfSzAkHSq6lDbOwVocDvCjnJ1tLkPM+omOAybeDrACo3EcNkyTcS4pNcTKzhtPB+QUauFC&#10;aZ0HSlvSVvR0PBxn9ABaiWRMbsGvlnPtCYJiE3llntDy0M2oiB9DK1PRk6MTKyNT+pkVJHYkK6Rd&#10;S5rSGSko0RK/YTrtK9U2pZT5I2CHBz2SBHs9lyB2C394xyHLDXYfIk3xw3tW89e3n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d/mlGNYAAAAJAQAADwAAAAAAAAABACAAAAA4AAAAZHJzL2Rvd25y&#10;ZXYueG1sUEsBAhQAFAAAAAgAh07iQCkwXb4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7392" behindDoc="0" locked="0" layoutInCell="1" allowOverlap="1">
                <wp:simplePos x="0" y="0"/>
                <wp:positionH relativeFrom="column">
                  <wp:posOffset>4401820</wp:posOffset>
                </wp:positionH>
                <wp:positionV relativeFrom="paragraph">
                  <wp:posOffset>147955</wp:posOffset>
                </wp:positionV>
                <wp:extent cx="326390" cy="0"/>
                <wp:effectExtent l="38100" t="0" r="38100" b="16510"/>
                <wp:wrapNone/>
                <wp:docPr id="155" name="肘形连接符 15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6.6pt;margin-top:11.65pt;height:0pt;width:25.7pt;rotation:5898240f;z-index:251707392;mso-width-relative:page;mso-height-relative:page;" filled="f" stroked="t" coordsize="21600,21600" o:gfxdata="UEsFBgAAAAAAAAAAAAAAAAAAAAAAAFBLAwQKAAAAAACHTuJAAAAAAAAAAAAAAAAABAAAAGRycy9Q&#10;SwMEFAAAAAgAh07iQJjNSQPXAAAACQEAAA8AAABkcnMvZG93bnJldi54bWxNj8FugzAMhu+T+g6R&#10;J+0yraFQsY5heqi04yq14wFS4gIqcRBJgfbpl2mH7Wj70+/vz7ez6cRIg2stI6yWEQjiyuqWa4Ty&#10;6+NlA8J5xVp1lgnhRg62xeIhV5m2Ex9oPPpahBB2mUJovO8zKV3VkFFuaXvicDvbwSgfxqGWelBT&#10;CDedjKMolUa1HD40qqddQ9XleDUIl9qXbi4/W1eNZ34+bPaTue8Rnx5X0TsIT7P/g+FHP6hDEZxO&#10;9sraiQ4hfUvigCLESQIiAK/rdQri9LuQRS7/Nyi+AVBLAwQUAAAACACHTuJAE3B9DSICAAD+AwAA&#10;DgAAAGRycy9lMm9Eb2MueG1srVO9jhMxEO6ReAfLPdn8KNHdKpsrchwUB0S64wG8tjdrsD2W7WST&#10;lgegpqJAgopXQDwNcI/B2NmEAzqEC8v2zHwz833j+cXOaLKVPiiwFR0NhpRIy0Eou67oy9urR2eU&#10;hMisYBqsrOheBnqxePhg3rlSjqEFLaQnCGJD2bmKtjG6sigCb6VhYQBOWjQ24A2LePXrQnjWIbrR&#10;xXg4nBUdeOE8cBkCvl4ejHSR8ZtG8viiaYKMRFcUa4t593mv014s5qxce+Zaxfsy2D9UYZiymPQE&#10;dckiIxuv/oIyinsI0MQBB1NA0ygucw/YzWj4Rzc3LXMy94LkBHeiKfw/WP58u/JECdRuOqXEMoMi&#10;3b159+3Lh7uv77+//fjj8yeSTEhU50KJ/ku78qlVvrM37hr460AsLFtm1zIXfLt3iBH9Rqag4reo&#10;dAkOM9bdMxDoxjYRMnG7xhviAQUazVBYXJQ0WrmnPVTKiHSRXdZuf9JO7iLh+DgZzybnGMOPpoKV&#10;CTPFOR/iEwmGpENFa2njEqzF4QA/ydnZ9jrErJ/oOWDi1QgrMBrHYcs0meaSUkOs7L3xdEROoRau&#10;lNZ5oLQlXUXPp+NpRg+glUjG5Bb8ul5qTxAUm8gr84SW+25GRfwYWpmKnp2cWBmZ0o+tILEnWSHt&#10;WtKUzkhBiZb4DdPpUKm2KaXMHwE7POqRJDjoWYPYr/zxHYcsN9h/iDTF9+9ZzV/fdv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mM1JA9cAAAAJAQAADwAAAAAAAAABACAAAAA4AAAAZHJzL2Rvd25y&#10;ZXYueG1sUEsBAhQAFAAAAAgAh07iQBNwfQ0iAgAA/gMAAA4AAAAAAAAAAQAgAAAAPA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1792" behindDoc="0" locked="0" layoutInCell="1" allowOverlap="1">
                <wp:simplePos x="0" y="0"/>
                <wp:positionH relativeFrom="column">
                  <wp:posOffset>737870</wp:posOffset>
                </wp:positionH>
                <wp:positionV relativeFrom="paragraph">
                  <wp:posOffset>127000</wp:posOffset>
                </wp:positionV>
                <wp:extent cx="326390" cy="0"/>
                <wp:effectExtent l="38100" t="0" r="38100" b="16510"/>
                <wp:wrapNone/>
                <wp:docPr id="156" name="肘形连接符 15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8.1pt;margin-top:10pt;height:0pt;width:25.7pt;rotation:5898240f;z-index:251681792;mso-width-relative:page;mso-height-relative:page;" filled="f" stroked="t" coordsize="21600,21600" o:gfxdata="UEsFBgAAAAAAAAAAAAAAAAAAAAAAAFBLAwQKAAAAAACHTuJAAAAAAAAAAAAAAAAABAAAAGRycy9Q&#10;SwMEFAAAAAgAh07iQOXYSbHTAAAACQEAAA8AAABkcnMvZG93bnJldi54bWxNj89Og0AQxu8mvsNm&#10;mngxdqEHbJClhyYebdLKA0zZKZCys4TdAvr0TuNBj9/ML9+fYre4Xk00hs6zgXSdgCKuve24MVB9&#10;vr9sQYWIbLH3TAa+KMCufHwoMLd+5iNNp9goMeGQo4E2xiHXOtQtOQxrPxDL7+JHh1Hk2Gg74izm&#10;rtebJMm0w44locWB9i3V19PNGbg2sQpL9dGFerrw83F7mN33wZinVZq8gYq0xD8Y7vWlOpTS6exv&#10;bIPqRafZRlADEgPqDmSvGajz70GXhf6/oPwBUEsDBBQAAAAIAIdO4kActmwDIgIAAP4DAAAOAAAA&#10;ZHJzL2Uyb0RvYy54bWytU72OEzEQ7pF4B8s92fwo0d0qmytyHBQHRLrjAby2N2uwPZbtZJOWB6Cm&#10;okCCildAPA1wj8HY2YQDOoQLy/bMfDPzfeP5xc5ospU+KLAVHQ2GlEjLQSi7rujL26tHZ5SEyKxg&#10;Gqys6F4GerF4+GDeuVKOoQUtpCcIYkPZuYq2MbqyKAJvpWFhAE5aNDbgDYt49etCeNYhutHFeDic&#10;FR144TxwGQK+Xh6MdJHxm0by+KJpgoxEVxRri3n3ea/TXizmrFx75lrF+zLYP1RhmLKY9AR1ySIj&#10;G6/+gjKKewjQxAEHU0DTKC5zD9jNaPhHNzctczL3guQEd6Ip/D9Y/ny78kQJ1G46o8QygyLdvXn3&#10;7cuHu6/vv7/9+OPzJ5JMSFTnQon+S7vyqVW+szfuGvjrQCwsW2bXMhd8u3eIEf1GpqDit6h0CQ4z&#10;1t0zEOjGNhEycbvGG+IBBRrNUFhclDRauac9VMqIdJFd1m5/0k7uIuH4OBnPJucYw4+mgpUJM8U5&#10;H+ITCYakQ0VraeMSrMXhAD/J2dn2OsSsn+g5YOLVCCswGsdhyzSZ5pJSQ6zsvfF0RE6hFq6U1nmg&#10;tCVdRc+n42lGD6CVSMbkFvy6XmpPEBSbyCvzhJb7bkZF/BhamYqenZxYGZnSj60gsSdZIe1a0pTO&#10;SEGJlvgN0+lQqbYppcwfATs86pEkOOhZg9iv/PEdhyw32H+INMX371nNX992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l2Emx0wAAAAkBAAAPAAAAAAAAAAEAIAAAADgAAABkcnMvZG93bnJldi54&#10;bWxQSwECFAAUAAAACACHTuJAHLZsAyICAAD+AwAADgAAAAAAAAABACAAAAA4AQAAZHJzL2Uyb0Rv&#10;Yy54bWxQSwUGAAAAAAYABgBZAQAAzAU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78720" behindDoc="0" locked="0" layoutInCell="1" allowOverlap="1">
                <wp:simplePos x="0" y="0"/>
                <wp:positionH relativeFrom="column">
                  <wp:posOffset>3321685</wp:posOffset>
                </wp:positionH>
                <wp:positionV relativeFrom="paragraph">
                  <wp:posOffset>97790</wp:posOffset>
                </wp:positionV>
                <wp:extent cx="558800" cy="467360"/>
                <wp:effectExtent l="4445" t="4445" r="8255" b="23495"/>
                <wp:wrapNone/>
                <wp:docPr id="157" name="文本框 157"/>
                <wp:cNvGraphicFramePr/>
                <a:graphic xmlns:a="http://schemas.openxmlformats.org/drawingml/2006/main">
                  <a:graphicData uri="http://schemas.microsoft.com/office/word/2010/wordprocessingShape">
                    <wps:wsp>
                      <wps:cNvSpPr txBox="true"/>
                      <wps:spPr>
                        <a:xfrm>
                          <a:off x="0" y="0"/>
                          <a:ext cx="558800" cy="4673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1.55pt;margin-top:7.7pt;height:36.8pt;width:44pt;z-index:251678720;mso-width-relative:page;mso-height-relative:page;" fillcolor="#FFFFFF [3201]" filled="t" stroked="t" coordsize="21600,21600" o:gfxdata="UEsFBgAAAAAAAAAAAAAAAAAAAAAAAFBLAwQKAAAAAACHTuJAAAAAAAAAAAAAAAAABAAAAGRycy9Q&#10;SwMEFAAAAAgAh07iQNLe/tTYAAAACQEAAA8AAABkcnMvZG93bnJldi54bWxNj8tOwzAQRfdI/IM1&#10;SGwQtd1H2oY4XSCBYAcFla0bu0mEPQ62m5a/Z1jBcuZenTlTbc7esdHG1AdUICcCmMUmmB5bBe9v&#10;D7crYClrNNoFtAq+bYJNfXlR6dKEE77acZtbRhBMpVbQ5TyUnKems16nSRgsUnYI0etMY2y5ifpE&#10;cO/4VIiCe90jXej0YO8723xuj17Bav40fqTn2cuuKQ5unW+W4+NXVOr6Soo7YNme818ZfvVJHWpy&#10;2ocjmsScgsV0JqlKwWIOjAqFlLTYE30tgNcV//9B/QNQSwMEFAAAAAgAh07iQAHwPVlOAgAAjAQA&#10;AA4AAABkcnMvZTJvRG9jLnhtbK1UzW4TMRC+I/EOlu9kk5CkbdRNFVIFIUW0UkGcHa+drPDaxnay&#10;Gx6AvgEnLtx5rj4Hn51NmlJOiD14Zzyz8/PNN3t51VSKbIXzpdE57XW6lAjNTVHqVU4/fpi/OqfE&#10;B6YLpowWOd0JT68mL19c1nYs+mZtVCEcQRDtx7XN6ToEO84yz9eiYr5jrNAwSuMqFqC6VVY4ViN6&#10;pbJ+tzvKauMK6wwX3uP2em+kkxRfSsHDjZReBKJyitpCOl06l/HMJpdsvHLMrkvelsH+oYqKlRpJ&#10;j6GuWWBk48pnoaqSO+ONDB1uqsxIWXKRekA3ve4f3dytmRWpF4Dj7REm///C8vfbW0fKArMbnlGi&#10;WYUhPXy/f/jx6+HnNxIvAVFt/Riedxa+oXljmpwGtxEHk8d9bL6RropvtEXgArx3R4xFEwjH5XB4&#10;ft6FhcM0GJ29HqUZZI8fW+fDW2EqEoWcOowwIcu2Cx9QC1wPLjGXN6os5qVSSXGr5Uw5smUY9zw9&#10;sUZ88sRNaVLn9GLYH6bIT2wx9jHEUjH++XkExFM65hOJYW1dEaQ9ElEKzbJpkVuaYgfgnNmzz1s+&#10;L5FlwXy4ZQ50AxxYoXCDQyqD0kwrUbI27uvf7qM/WAArJTXom1P/ZcOcoES90+DHRW8wiHxPymB4&#10;1ofiTi3LU4veVDMDyHpYVsuTGP2DOojSmeoTNm0as0qmPBIxzZEfTDiIswCtNWJjuZhOjzrYbllY&#10;6DvLW+5E/LSZboKRZZprRG0PFSYWFVA+za5dz7hTp3ryevyJT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0t7+1NgAAAAJAQAADwAAAAAAAAABACAAAAA4AAAAZHJzL2Rvd25yZXYueG1sUEsBAhQA&#10;FAAAAAgAh07iQAHwPVl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7696" behindDoc="0" locked="0" layoutInCell="1" allowOverlap="1">
                <wp:simplePos x="0" y="0"/>
                <wp:positionH relativeFrom="column">
                  <wp:posOffset>1718310</wp:posOffset>
                </wp:positionH>
                <wp:positionV relativeFrom="paragraph">
                  <wp:posOffset>127000</wp:posOffset>
                </wp:positionV>
                <wp:extent cx="787400" cy="447040"/>
                <wp:effectExtent l="4445" t="4445" r="8255" b="5715"/>
                <wp:wrapNone/>
                <wp:docPr id="158" name="文本框 158"/>
                <wp:cNvGraphicFramePr/>
                <a:graphic xmlns:a="http://schemas.openxmlformats.org/drawingml/2006/main">
                  <a:graphicData uri="http://schemas.microsoft.com/office/word/2010/wordprocessingShape">
                    <wps:wsp>
                      <wps:cNvSpPr txBox="true"/>
                      <wps:spPr>
                        <a:xfrm>
                          <a:off x="0" y="0"/>
                          <a:ext cx="787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补充资料，延期再审</w:t>
                            </w:r>
                          </w:p>
                          <w:p>
                            <w:pPr>
                              <w:jc w:val="left"/>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5.3pt;margin-top:10pt;height:35.2pt;width:62pt;z-index:251677696;mso-width-relative:page;mso-height-relative:page;" fillcolor="#FFFFFF [3201]" filled="t" stroked="t" coordsize="21600,21600" o:gfxdata="UEsFBgAAAAAAAAAAAAAAAAAAAAAAAFBLAwQKAAAAAACHTuJAAAAAAAAAAAAAAAAABAAAAGRycy9Q&#10;SwMEFAAAAAgAh07iQDBT8ADYAAAACQEAAA8AAABkcnMvZG93bnJldi54bWxNj0FPwzAMhe9I/IfI&#10;SFwQS7ZV3Vqa7oAEghsbCK5Z47UViVOarBv/HnOCm+339Py9anP2Tkw4xj6QhvlMgUBqgu2p1fD2&#10;+nC7BhGTIWtcINTwjRE29eVFZUobTrTFaZdawSEUS6OhS2kopYxNh97EWRiQWDuE0ZvE69hKO5oT&#10;h3snF0rl0pue+ENnBrzvsPncHb2GdfY0fcTn5ct7kx9ckW5W0+PXqPX11VzdgUh4Tn9m+MVndKiZ&#10;aR+OZKNwGhYrlbOVB8Wd2LAsMj7sNRQqA1lX8n+D+gdQSwMEFAAAAAgAh07iQEkuXINMAgAAjAQA&#10;AA4AAABkcnMvZTJvRG9jLnhtbK1UwY7TMBC9I/EPlu80bdXS3arpqnRVhFSxKy2Is+vYbYRjG9tt&#10;Uj4A/mBPXLjzXfsdPLtpt8tyQuTgzHgmb2bezGRy1VSK7ITzpdE57XW6lAjNTVHqdU4/fli8uqDE&#10;B6YLpowWOd0LT6+mL19MajsWfbMxqhCOAET7cW1zugnBjrPM842omO8YKzSM0riKBahunRWO1UCv&#10;VNbvdl9ntXGFdYYL73F7fTDSacKXUvBwI6UXgaicIreQTpfOVTyz6YSN147ZTcnbNNg/ZFGxUiPo&#10;CeqaBUa2rnwGVZXcGW9k6HBTZUbKkotUA6rpdf+o5m7DrEi1gBxvTzT5/wfL3+9uHSkL9G6IVmlW&#10;oUkP998ffvx6+PmNxEtQVFs/huedhW9o3pgmp8FtxdHkcR+Lb6Sr4htlEbiA7/2JY9EEwnE5uhgN&#10;urBwmAaDUXeQepA9fmydD2+FqUgUcurQwsQs2y19QC5wPbrEWN6osliUSiXFrVdz5ciOod2L9MQc&#10;8ckTN6VJndPLYX+YkJ/YIvYJYqUY//wcAXhKx3giTVibVyTpwESUQrNqWuZWptiDOGcO0+ctX5SI&#10;smQ+3DKHcQMdWKFwg0Mqg9RMK1GyMe7r3+6jP6YAVkpqjG9O/Zctc4IS9U5jPi57AzBLQlIGw1Ef&#10;iju3rM4telvNDSjrYVktT2L0D+ooSmeqT9i0WYwqmfIIxDRHfEzCUZwHaK0RG8vFbHbSMe2WhaW+&#10;s7ydncifNrNtMLJMfY2sHahCx6KCkU+9a9cz7tS5nrwefyL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BT8ADYAAAACQEAAA8AAAAAAAAAAQAgAAAAOAAAAGRycy9kb3ducmV2LnhtbFBLAQIUABQA&#10;AAAIAIdO4kBJLlyDTAIAAIw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补充资料，延期再审</w:t>
                      </w:r>
                    </w:p>
                    <w:p>
                      <w:pPr>
                        <w:jc w:val="left"/>
                        <w:rPr>
                          <w:sz w:val="18"/>
                          <w:szCs w:val="18"/>
                        </w:rPr>
                      </w:pP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9744" behindDoc="0" locked="0" layoutInCell="1" allowOverlap="1">
                <wp:simplePos x="0" y="0"/>
                <wp:positionH relativeFrom="column">
                  <wp:posOffset>4343400</wp:posOffset>
                </wp:positionH>
                <wp:positionV relativeFrom="paragraph">
                  <wp:posOffset>105410</wp:posOffset>
                </wp:positionV>
                <wp:extent cx="467360" cy="452120"/>
                <wp:effectExtent l="4445" t="4445" r="23495" b="19685"/>
                <wp:wrapNone/>
                <wp:docPr id="159" name="文本框 159"/>
                <wp:cNvGraphicFramePr/>
                <a:graphic xmlns:a="http://schemas.openxmlformats.org/drawingml/2006/main">
                  <a:graphicData uri="http://schemas.microsoft.com/office/word/2010/wordprocessingShape">
                    <wps:wsp>
                      <wps:cNvSpPr txBox="true"/>
                      <wps:spPr>
                        <a:xfrm>
                          <a:off x="0" y="0"/>
                          <a:ext cx="46736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8.3pt;height:35.6pt;width:36.8pt;z-index:251679744;mso-width-relative:page;mso-height-relative:page;" fillcolor="#FFFFFF [3201]" filled="t" stroked="t" coordsize="21600,21600" o:gfxdata="UEsFBgAAAAAAAAAAAAAAAAAAAAAAAFBLAwQKAAAAAACHTuJAAAAAAAAAAAAAAAAABAAAAGRycy9Q&#10;SwMEFAAAAAgAh07iQL3GrynYAAAACQEAAA8AAABkcnMvZG93bnJldi54bWxNj8FOwzAQRO9I/IO1&#10;SFwQdQolCSFOD0gguJVSlasbb5MIex1sNy1/z3KC245m9HamXp6cFROGOHhSMJ9lIJBabwbqFGze&#10;n65LEDFpMtp6QgXfGGHZnJ/VujL+SG84rVMnGEKx0gr6lMZKytj26HSc+RGJvb0PTieWoZMm6CPD&#10;nZU3WZZLpwfiD70e8bHH9nN9cArKxcv0EV9vV9s239v7dFVMz19BqcuLefYAIuEp/YXhtz5Xh4Y7&#10;7fyBTBRWQV4ueEtiI89BcKC4K/jYMb0oQTa1/L+g+QFQSwMEFAAAAAgAh07iQJ1T/G9NAgAAjAQA&#10;AA4AAABkcnMvZTJvRG9jLnhtbK1UzY7TMBC+I/EOlu9s2tJ2adV0VboqQlqxKy2Is+vYbYRjG9tt&#10;Uh4A3oATF+48V5+Dz27a7bKcEDk4M57J/HzzTSZXTaXIVjhfGp3T7kWHEqG5KUq9yumH94sXryjx&#10;gemCKaNFTnfC06vp82eT2o5Fz6yNKoQjCKL9uLY5XYdgx1nm+VpUzF8YKzSM0riKBahulRWO1Yhe&#10;qazX6Qyz2rjCOsOF97i9PhjpNMWXUvBwK6UXgaicoraQTpfOZTyz6YSNV47ZdcnbMtg/VFGxUiPp&#10;KdQ1C4xsXPkkVFVyZ7yR4YKbKjNSllykHtBNt/NHN/drZkXqBeB4e4LJ/7+w/N32zpGywOwGI0o0&#10;qzCk/fdv+x+/9j+/kngJiGrrx/C8t/ANzWvT5DS4jTiaPO5j8410VXyjLQIX4L07YSyaQDgu+8PL&#10;l0NYOEz9Qa/bSzPIHj62zoc3wlQkCjl1GGFClm1vfEAtcD26xFzeqLJYlEolxa2Wc+XIlmHci/TE&#10;GvHJIzelSZ3T0aA3SJEf2WLsU4ilYvzT0wiIp3TMJxLD2roiSAckohSaZdMitzTFDsA5c2Cft3xR&#10;IssN8+GOOdANcGCFwi0OqQxKM61Eydq4L3+7j/5gAayU1KBvTv3nDXOCEvVWgx+jbr8f+Z6U/uAS&#10;MBN3blmeW/SmmhtA1sWyWp7E6B/UUZTOVB+xabOYVTLlkYhpjvxgwlGcB2itERvLxWx20sF2y8KN&#10;vre85U7ET5vZJhhZprlG1A5QYWJRAeXT7Nr1jDt1rievh5/I9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9xq8p2AAAAAkBAAAPAAAAAAAAAAEAIAAAADgAAABkcnMvZG93bnJldi54bWxQSwECFAAU&#10;AAAACACHTuJAnVP8b0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6672" behindDoc="0" locked="0" layoutInCell="1" allowOverlap="1">
                <wp:simplePos x="0" y="0"/>
                <wp:positionH relativeFrom="column">
                  <wp:posOffset>614680</wp:posOffset>
                </wp:positionH>
                <wp:positionV relativeFrom="paragraph">
                  <wp:posOffset>92710</wp:posOffset>
                </wp:positionV>
                <wp:extent cx="502920" cy="452120"/>
                <wp:effectExtent l="4445" t="4445" r="6985" b="19685"/>
                <wp:wrapNone/>
                <wp:docPr id="160" name="文本框 160"/>
                <wp:cNvGraphicFramePr/>
                <a:graphic xmlns:a="http://schemas.openxmlformats.org/drawingml/2006/main">
                  <a:graphicData uri="http://schemas.microsoft.com/office/word/2010/wordprocessingShape">
                    <wps:wsp>
                      <wps:cNvSpPr txBox="true"/>
                      <wps:spPr>
                        <a:xfrm>
                          <a:off x="0" y="0"/>
                          <a:ext cx="50292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4pt;margin-top:7.3pt;height:35.6pt;width:39.6pt;z-index:251676672;mso-width-relative:page;mso-height-relative:page;" fillcolor="#FFFFFF [3201]" filled="t" stroked="t" coordsize="21600,21600" o:gfxdata="UEsFBgAAAAAAAAAAAAAAAAAAAAAAAFBLAwQKAAAAAACHTuJAAAAAAAAAAAAAAAAABAAAAGRycy9Q&#10;SwMEFAAAAAgAh07iQAfEIdzXAAAACAEAAA8AAABkcnMvZG93bnJldi54bWxNj8FOwzAMhu9IvENk&#10;JC6IpYPRdaXpDkgguI0xjWvWeG1F4pQk68bb453gaP/W5++vlidnxYgh9p4UTCcZCKTGm55aBZuP&#10;59sCREyajLaeUMEPRljWlxeVLo0/0juO69QKhlAstYIupaGUMjYdOh0nfkDibO+D04nH0EoT9JHh&#10;zsq7LMul0z3xh04P+NRh87U+OAXF7HX8jG/3q22T7+0i3czHl++g1PXVNHsEkfCU/o7hrM/qULPT&#10;zh/IRGEVLHI2T7yf5SDO+TznbjuGPxQg60r+L1D/AlBLAwQUAAAACACHTuJAIYGdMEgCAACMBAAA&#10;DgAAAGRycy9lMm9Eb2MueG1srVTBbhMxEL0j8Q+W73STKCk06qYKrYKQKlqpIM6O105WeD3GdrJb&#10;PgD+gBMX7nxXv4NnZ5O2lBMiB2fGM3kz8/wmp2ddY9hW+VCTLfnwaMCZspKq2q5K/uH94sUrzkIU&#10;thKGrCr5rQr8bPb82WnrpmpEazKV8gwgNkxbV/J1jG5aFEGuVSPCETllEdTkGxHh+lVRedECvTHF&#10;aDA4LlrylfMkVQi4vdgF+Szja61kvNI6qMhMydFbzKfP5zKdxexUTFdeuHUt+zbEP3TRiNqi6AHq&#10;QkTBNr5+AtXU0lMgHY8kNQVpXUuVZ8A0w8Ef09yshVN5FpAT3IGm8P9g5bvttWd1hbc7Bj9WNHik&#10;u+/f7n78uvv5laVLUNS6MEXmjUNu7F5TV/LoN2ofCrhPw3faN+kbYzGkAO/2wLHqIpO4nAxGJyNE&#10;JELjyWgIGwWK+x87H+IbRQ1LRsk9njAzK7aXIe5S9ympViBTV4vamOz41fLceLYVeO5F/vToj9KM&#10;ZW3JTyajSUZ+FEvYB4ilEfLTUwR0a2yqp7LC+r4SSTsmkhW7Zdczt6TqFsR52qkvOLmoUeVShHgt&#10;POQGOrBC8QqHNoTWqLc4W5P/8rf7lA8VIMpZC/mWPHzeCK84M28t9HEyHI8BG7MznrxMlPuHkeXD&#10;iN005wTKhlhWJ7OZ8qPZm9pT8xGbNk9VtTABhYSVqA8l7M3zCK8PYmOlms8PPtTuRLy0N0722kn8&#10;WZpvIuk6v2tibUcV9JAcSD4ro1/PtFMP/Zx1/yc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H&#10;xCHc1wAAAAgBAAAPAAAAAAAAAAEAIAAAADgAAABkcnMvZG93bnJldi54bWxQSwECFAAUAAAACACH&#10;TuJAIYGdMEgCAACMBAAADgAAAAAAAAABACAAAAA8AQAAZHJzL2Uyb0RvYy54bWxQSwUGAAAAAAYA&#10;BgBZAQAA9g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v:textbox>
              </v:shape>
            </w:pict>
          </mc:Fallback>
        </mc:AlternateContent>
      </w:r>
    </w:p>
    <w:p>
      <w:pPr>
        <w:tabs>
          <w:tab w:val="left" w:pos="5027"/>
          <w:tab w:val="left" w:pos="7081"/>
        </w:tabs>
        <w:rPr>
          <w:highlight w:val="none"/>
        </w:rPr>
      </w:pPr>
    </w:p>
    <w:p>
      <w:pPr>
        <w:tabs>
          <w:tab w:val="left" w:pos="5027"/>
          <w:tab w:val="left" w:pos="7081"/>
        </w:tabs>
        <w:rPr>
          <w:highlight w:val="none"/>
        </w:rPr>
      </w:pP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11488" behindDoc="0" locked="0" layoutInCell="1" allowOverlap="1">
                <wp:simplePos x="0" y="0"/>
                <wp:positionH relativeFrom="column">
                  <wp:posOffset>755015</wp:posOffset>
                </wp:positionH>
                <wp:positionV relativeFrom="paragraph">
                  <wp:posOffset>78740</wp:posOffset>
                </wp:positionV>
                <wp:extent cx="278765" cy="0"/>
                <wp:effectExtent l="38100" t="0" r="38100" b="6985"/>
                <wp:wrapNone/>
                <wp:docPr id="161" name="肘形连接符 161"/>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450"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5pt;margin-top:6.2pt;height:0pt;width:21.95pt;rotation:5898240f;z-index:251711488;mso-width-relative:page;mso-height-relative:page;" filled="f" stroked="t" coordsize="21600,21600" o:gfxdata="UEsFBgAAAAAAAAAAAAAAAAAAAAAAAFBLAwQKAAAAAACHTuJAAAAAAAAAAAAAAAAABAAAAGRycy9Q&#10;SwMEFAAAAAgAh07iQLnyWajUAAAACQEAAA8AAABkcnMvZG93bnJldi54bWxNj0FvgkAQhe9N/A+b&#10;Meml0QXSGEQWDyYea6LlB6zsCER2lrAr0P76jumhvc2beXnzvXw/206MOPjWkYJ4HYFAqpxpqVZQ&#10;fh5XKQgfNBndOUIFX+hhXyxecp0ZN9EZx0uoBYeQz7SCJoQ+k9JXDVrt165H4tvNDVYHlkMtzaAn&#10;DredTKJoI61uiT80usdDg9X98rAK7nUo/Vx+tL4ab/R2Tk+T/T4p9bqMox2IgHP4M8MTn9GhYKar&#10;e5DxomMdp1u28pC8g3gaNgl3uf4uZJHL/w2KH1BLAwQUAAAACACHTuJAjl8fxyMCAAD+AwAADgAA&#10;AGRycy9lMm9Eb2MueG1srVOxjhMxEO2R+AfLPdkkkBBW2VyR46A4INIdH+C1vVmD7bFsJ5u0fAA1&#10;FQUSVPwC4muA+wzGziYc0CFcWLZn5s3Me+P52c5ospU+KLAVHQ2GlEjLQSi7rujL64t7M0pCZFYw&#10;DVZWdC8DPVvcvTPvXCnH0IIW0hMEsaHsXEXbGF1ZFIG30rAwACctGhvwhkW8+nUhPOsQ3ehiPBxO&#10;iw68cB64DAFfzw9Gusj4TSN5fNE0QUaiK4q1xbz7vNdpLxZzVq49c63ifRnsH6owTFlMeoI6Z5GR&#10;jVd/QRnFPQRo4oCDKaBpFJe5B+xmNPyjm6uWOZl7QXKCO9EU/h8sf75deaIEajcdUWKZQZFu3rz7&#10;9uXDzdf3399+/PH5E0kmJKpzoUT/pV351Crf2St3Cfx1IBaWLbNrmQu+3jvEiH4jU1DxW1S6BIcZ&#10;6+4ZCHRjmwiZuF3jDfGAAo2mKCwuShqt3NMeKmVEusgua7c/aSd3kXB8HD+cPZhgDEdTrrZgZcJM&#10;cc6H+ESCIelQ0VrauARrcTjA38/Z2fYyxKyf6Dlg4hXy0RiN47BlmkxySakhVvbeeDoip1ALF0rr&#10;PFDakq6ijybjSUYPoJVIxuQW/Lpeak8QFJvIK/OElttuRkX8GFqZis5OTqyMTOnHVpDYk6yQdi1p&#10;SmekoERL/IbpdKhU25RS5o+AHR71SBIc9KxB7Ff++I5DlhvsP0Sa4tv3rOavb7v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nyWajUAAAACQEAAA8AAAAAAAAAAQAgAAAAOAAAAGRycy9kb3ducmV2&#10;LnhtbFBLAQIUABQAAAAIAIdO4kCOXx/HIwIAAP4DAAAOAAAAAAAAAAEAIAAAADkBAABkcnMvZTJv&#10;RG9jLnhtbFBLBQYAAAAABgAGAFkBAADO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8416" behindDoc="0" locked="0" layoutInCell="1" allowOverlap="1">
                <wp:simplePos x="0" y="0"/>
                <wp:positionH relativeFrom="column">
                  <wp:posOffset>4366895</wp:posOffset>
                </wp:positionH>
                <wp:positionV relativeFrom="paragraph">
                  <wp:posOffset>163195</wp:posOffset>
                </wp:positionV>
                <wp:extent cx="391795" cy="0"/>
                <wp:effectExtent l="38100" t="0" r="38100" b="8255"/>
                <wp:wrapNone/>
                <wp:docPr id="162" name="肘形连接符 162"/>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3.85pt;margin-top:12.85pt;height:0pt;width:30.85pt;rotation:5898240f;z-index:251708416;mso-width-relative:page;mso-height-relative:page;" filled="f" stroked="t" coordsize="21600,21600" o:gfxdata="UEsFBgAAAAAAAAAAAAAAAAAAAAAAAFBLAwQKAAAAAACHTuJAAAAAAAAAAAAAAAAABAAAAGRycy9Q&#10;SwMEFAAAAAgAh07iQHFFzyvWAAAACQEAAA8AAABkcnMvZG93bnJldi54bWxNj8FuwjAMhu+TeIfI&#10;SFymkYIY7bqmHCbtOCRYHyA0pq1onKoJbdnTzxMHdrJsf/r9OdtNthUD9r5xpGC1jEAglc40VCko&#10;vj9fEhA+aDK6dYQKbuhhl8+eMp0aN9IBh2OoBIeQT7WCOoQuldKXNVrtl65D4t3Z9VYHbvtKml6P&#10;HG5buY6irbS6Ib5Q6w4/aiwvx6tVcKlC4afiq/HlcKbnQ7If7c9eqcV8Fb2DCDiFBwx/+qwOOTud&#10;3JWMF62CbRLHjCpYv3JlIN68bUCc7gOZZ/L/B/kvUEsDBBQAAAAIAIdO4kD2U2pxIgIAAP4DAAAO&#10;AAAAZHJzL2Uyb0RvYy54bWytU8FuEzEQvSPxD5bvZLOpUppVNj2kFA4FIrV8gGN7swbbY9lONrny&#10;AZw5cagEJ34B8TVAP4OxswkUbggfLNszfjNv3sz0fGs02UgfFNialoMhJdJyEMquavrq5vLRGSUh&#10;MiuYBitrupOBns8ePph2rpIjaEEL6QmC2FB1rqZtjK4qisBbaVgYgJMWjQ14wyJe/aoQnnWIbnQx&#10;Gg5Piw68cB64DAFfL/ZGOsv4TSN5fNk0QUaia4q5xbz7vC/TXsymrFp55lrF+zTYP2RhmLIY9Ah1&#10;wSIja6/+gjKKewjQxAEHU0DTKC4zB2RTDv9gc90yJzMXLE5wxzKF/wfLX2wWniiB2p2OKLHMoEh3&#10;b99/+3J79/XD93cff3z+RJIJC9W5UKH/3C58osq39tpdAX8TiIV5y+xK5oRvdg4xol/L9Km49ytd&#10;gsOIy+45CHRj6wi5cNvGG+IBBcJow7QoabRyz3qoFBHLRbZZu91RO7mNhOPjyaR8PBlTwtFU5sCs&#10;Spjpn/MhPpVgSDrUdCltnIO12BzgT3J0trkKMesn+how8brEDIzGdtgwTcY5pUSIVb03ng7I6auF&#10;S6V1bihtSVfTyXg0zugBtBLJmNyCXy3n2hMERRJ59eneczMq4mBoZWp6dnRiVWRKP7GCxL7ICsuu&#10;JU3hjBSUaIljmE77TLVNIWUeBGR40CNJsNdzCWK38Id3bLJMsB+I1MW/37Oav8Z29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xRc8r1gAAAAkBAAAPAAAAAAAAAAEAIAAAADgAAABkcnMvZG93bnJl&#10;di54bWxQSwECFAAUAAAACACHTuJA9lNqcSICAAD+AwAADgAAAAAAAAABACAAAAA7AQAAZHJzL2Uy&#10;b0RvYy54bWxQSwUGAAAAAAYABgBZAQAAzw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2816" behindDoc="0" locked="0" layoutInCell="1" allowOverlap="1">
                <wp:simplePos x="0" y="0"/>
                <wp:positionH relativeFrom="column">
                  <wp:posOffset>1911985</wp:posOffset>
                </wp:positionH>
                <wp:positionV relativeFrom="paragraph">
                  <wp:posOffset>175260</wp:posOffset>
                </wp:positionV>
                <wp:extent cx="391795" cy="0"/>
                <wp:effectExtent l="38100" t="0" r="38100" b="8255"/>
                <wp:wrapNone/>
                <wp:docPr id="163" name="肘形连接符 16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0.55pt;margin-top:13.8pt;height:0pt;width:30.85pt;rotation:5898240f;z-index:251682816;mso-width-relative:page;mso-height-relative:page;" filled="f" stroked="t" coordsize="21600,21600" o:gfxdata="UEsFBgAAAAAAAAAAAAAAAAAAAAAAAFBLAwQKAAAAAACHTuJAAAAAAAAAAAAAAAAABAAAAGRycy9Q&#10;SwMEFAAAAAgAh07iQOu/GD7VAAAACQEAAA8AAABkcnMvZG93bnJldi54bWxNj8FqwzAMhu+DvoNR&#10;YZex2kkhLVmcHgY7rtAuD+DGahIayyF2k2xPP40dtqOkj1/fXxwW14sJx9B50pBsFAik2tuOGg3V&#10;x9vzHkSIhqzpPaGGTwxwKFcPhcmtn+mE0zk2gkMo5EZDG+OQSxnqFp0JGz8g8e3qR2cij2Mj7Whm&#10;Dne9TJXKpDMd8YfWDPjaYn07352GWxOrsFTvXainKz2d9sfZfR21flwn6gVExCX+wfCjz+pQstPF&#10;38kG0WvYqiRhVEO6y0AwsM1S7nL5XciykP8blN9QSwMEFAAAAAgAh07iQMwTSsIjAgAA/gMAAA4A&#10;AABkcnMvZTJvRG9jLnhtbK1TsY4TMRDtkfgHyz3ZbKKEyyqbK3IcFAdEuuMDHNubGGyPZTvZpOUD&#10;qKkoToKKX0B8DXCfwdjZBA46hAvL9ozfzJs3Mz3fGU220gcFtqZlr0+JtByEsquavrq5fHRGSYjM&#10;CqbBypruZaDns4cPpq2r5ADWoIX0BEFsqFpX03WMriqKwNfSsNADJy0aG/CGRbz6VSE8axHd6GLQ&#10;74+LFrxwHrgMAV8vDkY6y/hNI3l82TRBRqJrirnFvPu8L9NezKasWnnm1op3abB/yMIwZTHoCeqC&#10;RUY2Xv0FZRT3EKCJPQ6mgKZRXGYOyKbs/8Hmes2czFywOMGdyhT+Hyx/sV14ogRqNx5SYplBke7e&#10;vv/25fbu64fv7z7++PyJJBMWqnWhQv+5XfhEle/stbsC/iYQC/M1syuZE77ZO8SIfiPTp+Ler3QJ&#10;DiMu2+cg0I1tIuTC7RpviAcUqByjsLgoabRyzzqoFBHLRXZZu/1JO7mLhOPjcFI+nowo4Wgqc2BW&#10;Jcz0z/kQn0owJB1qupQ2zsFabA7wwxydba9CzPqJrgZMvC4xA6OxHbZMk1FOKRFiVeeNpyNy+mrh&#10;UmmdG0pb0tZ0MhqMMnoArUQyJrfgV8u59gRBkUReXbr33IyKOBhamZqenZxYFZnST6wgsSuywrJr&#10;SVM4IwUlWuIYptMhU21TSJkHARke9UgSHPRcgtgv/PEdmywT7AYidfHv96zmr7G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rvxg+1QAAAAkBAAAPAAAAAAAAAAEAIAAAADgAAABkcnMvZG93bnJl&#10;di54bWxQSwECFAAUAAAACACHTuJAzBNKwiMCAAD+AwAADgAAAAAAAAABACAAAAA6AQAAZHJzL2Uy&#10;b0RvYy54bWxQSwUGAAAAAAYABgBZAQAAz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688960" behindDoc="0" locked="0" layoutInCell="1" allowOverlap="1">
                <wp:simplePos x="0" y="0"/>
                <wp:positionH relativeFrom="column">
                  <wp:posOffset>2639060</wp:posOffset>
                </wp:positionH>
                <wp:positionV relativeFrom="paragraph">
                  <wp:posOffset>160020</wp:posOffset>
                </wp:positionV>
                <wp:extent cx="421640" cy="487680"/>
                <wp:effectExtent l="4445" t="4445" r="12065" b="22225"/>
                <wp:wrapNone/>
                <wp:docPr id="164" name="文本框 164"/>
                <wp:cNvGraphicFramePr/>
                <a:graphic xmlns:a="http://schemas.openxmlformats.org/drawingml/2006/main">
                  <a:graphicData uri="http://schemas.microsoft.com/office/word/2010/wordprocessingShape">
                    <wps:wsp>
                      <wps:cNvSpPr txBox="true"/>
                      <wps:spPr>
                        <a:xfrm>
                          <a:off x="0" y="0"/>
                          <a:ext cx="421640" cy="4876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申请</w:t>
                            </w:r>
                          </w:p>
                          <w:p>
                            <w:pPr>
                              <w:rPr>
                                <w:sz w:val="18"/>
                                <w:szCs w:val="18"/>
                              </w:rPr>
                            </w:pPr>
                            <w:r>
                              <w:rPr>
                                <w:rFonts w:hint="eastAsia"/>
                                <w:sz w:val="18"/>
                                <w:szCs w:val="18"/>
                              </w:rPr>
                              <w:t>复核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7.8pt;margin-top:12.6pt;height:38.4pt;width:33.2pt;z-index:251688960;mso-width-relative:page;mso-height-relative:page;" fillcolor="#FFFFFF [3201]" filled="t" stroked="t" coordsize="21600,21600" o:gfxdata="UEsFBgAAAAAAAAAAAAAAAAAAAAAAAFBLAwQKAAAAAACHTuJAAAAAAAAAAAAAAAAABAAAAGRycy9Q&#10;SwMEFAAAAAgAh07iQN+iGPXYAAAACgEAAA8AAABkcnMvZG93bnJldi54bWxNj8FOwzAMhu9IvENk&#10;JC6IJS1dV0rTHZBAcIOBxjVrsrYicUqSdePtMSe42fKn39/frE/OstmEOHqUkC0EMIOd1yP2Et7f&#10;Hq4rYDEp1Mp6NBK+TYR1e37WqFr7I76aeZN6RiEYayVhSGmqOY/dYJyKCz8ZpNveB6cSraHnOqgj&#10;hTvLcyFK7tSI9GFQk7kfTPe5OTgJVfE0f8Tnm5dtV+7tbbpazY9fQcrLi0zcAUvmlP5g+NUndWjJ&#10;aecPqCOzEopsWRIqIV/mwAgoqpzK7YgUNPC24f8rtD9QSwMEFAAAAAgAh07iQKIe01NLAgAAjAQA&#10;AA4AAABkcnMvZTJvRG9jLnhtbK1UzW4TMRC+I/EOlu90kyj9i7qpQqsgpIpWKoiz47WTFV6PsZ3s&#10;lgeAN+DEhTvP1efgs7NJW8oJsQfvjGf2m5lvZvbsvGsM2ygfarIlHx4MOFNWUlXbZck/vJ+/OuEs&#10;RGErYciqkt+pwM+nL1+ctW6iRrQiUynPAGLDpHUlX8XoJkUR5Eo1IhyQUxZGTb4REapfFpUXLdAb&#10;U4wGg6OiJV85T1KFgNvLrZFPM77WSsZrrYOKzJQcucV8+nwu0llMz8Rk6YVb1bJPQ/xDFo2oLYLu&#10;oS5FFGzt62dQTS09BdLxQFJTkNa1VLkGVDMc/FHN7Uo4lWsBOcHtaQr/D1a+29x4Vlfo3dGYMysa&#10;NOn++7f7H7/uf35l6RIUtS5M4Hnr4Bu719SVPPq12pkC7lPxnfZNeqMsBhfwfbfnWHWRSVyOR8CE&#10;RcI0Pjk+Osk9KB4+dj7EN4oaloSSe7QwMys2VyEiF7juXFKsQKau5rUxWfHLxYXxbCPQ7nl+Uo74&#10;5Imbsawt+enh6DAjP7El7D3Ewgj56TkC8IxN8VSesD6vRNKWiSTFbtH1zC2ougNxnrbTF5yc14hy&#10;JUK8ER7jBjqwQvEahzaE1KiXOFuR//K3++SPKYCVsxbjW/LweS284sy8tZiP0+E4sRyzMj48HkHx&#10;jy2Lxxa7bi4IlA2xrE5mMflHsxO1p+YjNm2WomphAgIJKxEfk7ATLyK03oiNlWo22+uYdifilb11&#10;sp+dxJ+l2TqSrnNfE2tbqtCxpGDkc+/69Uw79VjPXg8/ke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36IY9dgAAAAKAQAADwAAAAAAAAABACAAAAA4AAAAZHJzL2Rvd25yZXYueG1sUEsBAhQAFAAA&#10;AAgAh07iQKIe01NLAgAAjAQAAA4AAAAAAAAAAQAgAAAAPQEAAGRycy9lMm9Eb2MueG1sUEsFBgAA&#10;AAAGAAYAWQEAAPoFAAAAAA==&#10;">
                <v:fill on="t" focussize="0,0"/>
                <v:stroke color="#000000 [3204]" joinstyle="round"/>
                <v:imagedata o:title=""/>
                <o:lock v:ext="edit" aspectratio="f"/>
                <v:textbox>
                  <w:txbxContent>
                    <w:p>
                      <w:pPr>
                        <w:rPr>
                          <w:sz w:val="18"/>
                          <w:szCs w:val="18"/>
                        </w:rPr>
                      </w:pPr>
                      <w:r>
                        <w:rPr>
                          <w:rFonts w:hint="eastAsia"/>
                          <w:sz w:val="18"/>
                          <w:szCs w:val="18"/>
                        </w:rPr>
                        <w:t>申请</w:t>
                      </w:r>
                    </w:p>
                    <w:p>
                      <w:pPr>
                        <w:rPr>
                          <w:sz w:val="18"/>
                          <w:szCs w:val="18"/>
                        </w:rPr>
                      </w:pPr>
                      <w:r>
                        <w:rPr>
                          <w:rFonts w:hint="eastAsia"/>
                          <w:sz w:val="18"/>
                          <w:szCs w:val="18"/>
                        </w:rPr>
                        <w:t>复核</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09440" behindDoc="0" locked="0" layoutInCell="1" allowOverlap="1">
                <wp:simplePos x="0" y="0"/>
                <wp:positionH relativeFrom="column">
                  <wp:posOffset>527050</wp:posOffset>
                </wp:positionH>
                <wp:positionV relativeFrom="paragraph">
                  <wp:posOffset>20320</wp:posOffset>
                </wp:positionV>
                <wp:extent cx="914400" cy="447040"/>
                <wp:effectExtent l="4445" t="4445" r="14605" b="5715"/>
                <wp:wrapNone/>
                <wp:docPr id="165" name="文本框 165"/>
                <wp:cNvGraphicFramePr/>
                <a:graphic xmlns:a="http://schemas.openxmlformats.org/drawingml/2006/main">
                  <a:graphicData uri="http://schemas.microsoft.com/office/word/2010/wordprocessingShape">
                    <wps:wsp>
                      <wps:cNvSpPr txBox="true"/>
                      <wps:spPr>
                        <a:xfrm>
                          <a:off x="0" y="0"/>
                          <a:ext cx="914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sz w:val="18"/>
                                <w:szCs w:val="18"/>
                              </w:rPr>
                              <w:t>国家药监局决定准予注册</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5pt;margin-top:1.6pt;height:35.2pt;width:72pt;z-index:251709440;mso-width-relative:page;mso-height-relative:page;" fillcolor="#FFFFFF [3201]" filled="t" stroked="t" coordsize="21600,21600" o:gfxdata="UEsFBgAAAAAAAAAAAAAAAAAAAAAAAFBLAwQKAAAAAACHTuJAAAAAAAAAAAAAAAAABAAAAGRycy9Q&#10;SwMEFAAAAAgAh07iQC7N6vLWAAAABwEAAA8AAABkcnMvZG93bnJldi54bWxNj8FOwzAQRO9I/IO1&#10;SFwQdZqgpIQ4PSCB4EYLgqsbb5MIex1sNy1/z3KC42hWb94265OzYsYQR08KlosMBFLnzUi9grfX&#10;h+sViJg0GW09oYJvjLBuz88aXRt/pA3O29QLhlCstYIhpamWMnYDOh0XfkLibu+D04lj6KUJ+shw&#10;Z2WeZaV0eiReGPSE9wN2n9uDU7C6eZo/4nPx8t6Ve3ubrqr58SsodXmxzO5AJDylv2P41Wd1aNlp&#10;5w9korDMKPiVpKDIQXCd5xXnnYKqKEG2jfzv3/4AUEsDBBQAAAAIAIdO4kDemzvqSgIAAIwEAAAO&#10;AAAAZHJzL2Uyb0RvYy54bWytVM1uEzEQviPxDpbvdJMoaSHqpgqtgpAqWqkgzo7XTlZ4PcZ2slse&#10;AN6AExfuPFefg8/OJm0pJ8QevDOe2fn55ps9Pesaw7bKh5psyYdHA86UlVTVdlXyD+8XL15yFqKw&#10;lTBkVclvVeBns+fPTls3VSNak6mUZwhiw7R1JV/H6KZFEeRaNSIckVMWRk2+ERGqXxWVFy2iN6YY&#10;DQbHRUu+cp6kCgG3Fzsjn+X4WisZr7QOKjJTctQW8+nzuUxnMTsV05UXbl3LvgzxD1U0orZIegh1&#10;IaJgG18/CdXU0lMgHY8kNQVpXUuVe0A3w8Ef3dyshVO5F4AT3AGm8P/Cynfba8/qCrM7nnBmRYMh&#10;3X3/dvfj193PryxdAqLWhSk8bxx8Y/eaupJHv1F7U8B9ar7TvklvtMXgArxvDxirLjKJy1fD8XgA&#10;i4RpPD4ZjPMMivuPnQ/xjaKGJaHkHiPMyIrtZYioBa57l5QrkKmrRW1MVvxqeW482wqMe5GfVCM+&#10;eeRmLGtRyWQ0yZEf2VLsQ4ilEfLT0wiIZ2zKpzLD+roSSDskkhS7Zdcjt6TqFsB52rEvOLmokeVS&#10;hHgtPOgGOLBC8QqHNoTSqJc4W5P/8rf75A8WwMpZC/qWPHzeCK84M28t+JFhBt+zMp6cjJDDP7Qs&#10;H1rspjknQDbEsjqZxeQfzV7UnpqP2LR5yqqFCUgkrER+MGEvnkdovREbK9V8ftDBdifipb1xsudO&#10;ws/SfBNJ13muCbUdVJhYUkD5PLt+PdNOPdSz1/1PZ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Ls3q8tYAAAAHAQAADwAAAAAAAAABACAAAAA4AAAAZHJzL2Rvd25yZXYueG1sUEsBAhQAFAAAAAgA&#10;h07iQN6bO+pKAgAAjAQAAA4AAAAAAAAAAQAgAAAAOwEAAGRycy9lMm9Eb2MueG1sUEsFBgAAAAAG&#10;AAYAWQEAAPcFAAAAAA==&#10;">
                <v:fill on="t" focussize="0,0"/>
                <v:stroke color="#000000 [3204]" joinstyle="round"/>
                <v:imagedata o:title=""/>
                <o:lock v:ext="edit" aspectratio="f"/>
                <v:textbox>
                  <w:txbxContent>
                    <w:p>
                      <w:pPr>
                        <w:jc w:val="left"/>
                        <w:rPr>
                          <w:sz w:val="18"/>
                          <w:szCs w:val="18"/>
                        </w:rPr>
                      </w:pPr>
                      <w:r>
                        <w:rPr>
                          <w:sz w:val="18"/>
                          <w:szCs w:val="18"/>
                        </w:rPr>
                        <w:t>国家药监局决定准予注册</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92032" behindDoc="0" locked="0" layoutInCell="1" allowOverlap="1">
                <wp:simplePos x="0" y="0"/>
                <wp:positionH relativeFrom="column">
                  <wp:posOffset>4343400</wp:posOffset>
                </wp:positionH>
                <wp:positionV relativeFrom="paragraph">
                  <wp:posOffset>166370</wp:posOffset>
                </wp:positionV>
                <wp:extent cx="467360" cy="492760"/>
                <wp:effectExtent l="4445" t="4445" r="23495" b="17145"/>
                <wp:wrapNone/>
                <wp:docPr id="166" name="文本框 166"/>
                <wp:cNvGraphicFramePr/>
                <a:graphic xmlns:a="http://schemas.openxmlformats.org/drawingml/2006/main">
                  <a:graphicData uri="http://schemas.microsoft.com/office/word/2010/wordprocessingShape">
                    <wps:wsp>
                      <wps:cNvSpPr txBox="true"/>
                      <wps:spPr>
                        <a:xfrm>
                          <a:off x="0" y="0"/>
                          <a:ext cx="46736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线下</w:t>
                            </w:r>
                          </w:p>
                          <w:p>
                            <w:pPr>
                              <w:rPr>
                                <w:sz w:val="18"/>
                                <w:szCs w:val="18"/>
                              </w:rPr>
                            </w:pPr>
                            <w:r>
                              <w:rPr>
                                <w:rFonts w:hint="eastAsia"/>
                                <w:sz w:val="18"/>
                                <w:szCs w:val="18"/>
                              </w:rPr>
                              <w:t>开展</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13.1pt;height:38.8pt;width:36.8pt;z-index:251692032;mso-width-relative:page;mso-height-relative:page;" fillcolor="#FFFFFF [3201]" filled="t" stroked="t" coordsize="21600,21600" o:gfxdata="UEsFBgAAAAAAAAAAAAAAAAAAAAAAAFBLAwQKAAAAAACHTuJAAAAAAAAAAAAAAAAABAAAAGRycy9Q&#10;SwMEFAAAAAgAh07iQFSaMezaAAAACgEAAA8AAABkcnMvZG93bnJldi54bWxNj8tOwzAQRfdI/IM1&#10;SGwQtZsWJ4Q4XSCBYFdKVbZuMk0i/Ai2m5a/Z1jBcjRH955brc7WsAlDHLxTMJ8JYOga3w6uU7B9&#10;f7otgMWkXauNd6jgGyOs6suLSpetP7k3nDapYxTiYqkV9CmNJeex6dHqOPMjOvodfLA60Rk63gZ9&#10;onBreCaE5FYPjhp6PeJjj83n5mgVFMuX6SO+Lta7Rh7MfbrJp+evoNT11Vw8AEt4Tn8w/OqTOtTk&#10;tPdH10ZmFMhiSVuSgkxmwAjI73IJbE+kWBTA64r/n1D/AFBLAwQUAAAACACHTuJAaldDlEoCAACM&#10;BAAADgAAAGRycy9lMm9Eb2MueG1srVTNkhIxEL5b5TukcpcB5Ecohi1kC8sqyt0qtDxnMgkzZSYd&#10;k8AMPoC+gScv3n0unsNOGFjW9WTJIXSnm6+7v3zN7KapFNkL60rQKe11upQIzSEv9TalH96vXryi&#10;xHmmc6ZAi5QehKM38+fPZrWZij4UoHJhCYJoN61NSgvvzTRJHC9ExVwHjNAYlGAr5tG12yS3rEb0&#10;SiX9bneU1GBzY4EL5/D29hSk84gvpeD+TkonPFEpxd58PG08s3Am8xmbbi0zRcnbNtg/dFGxUmPR&#10;C9Qt84zsbPkEqiq5BQfSdzhUCUhZchFnwGl63T+m2RTMiDgLkuPMhSb3/2D5u/29JWWObzcaUaJZ&#10;hY90/P7t+OPX8edXEi6Rotq4KWZuDOb65jU0KfV2J84hh/dh+EbaKnzjWARTkO/DhWPReMLxcjAa&#10;vxxhhGNoMOmP0cYCycOPjXX+jYCKBCOlFp8wMsv2a+dPqeeUUMuBKvNVqVR07DZbKkv2DJ97FT8t&#10;+qM0pUmd0smwP4zIj2IB+wKRKcY/PUXAbpUO9URUWNtXIOnERLB8kzUtcxnkByTOwkl9zvBViVXW&#10;zPl7ZlFuSAeukL/DQyrA1qC1KCnAfvnbfchHFWCUkhrlm1L3ecesoES91aiPSW8wCHqPzmA47qNj&#10;ryPZdUTvqiUgZT1cVsOjGfK9OpvSQvURN20RqkqmHBZimmN9VMLZXHr02iBuLBeLxcVHtRvm13pj&#10;eKudwJ+Gxc6DLOO7BtZOVKEegoOSj8po1zPs1LUfsx7+RO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SaMezaAAAACgEAAA8AAAAAAAAAAQAgAAAAOAAAAGRycy9kb3ducmV2LnhtbFBLAQIUABQA&#10;AAAIAIdO4kBqV0OUSgIAAIwEAAAOAAAAAAAAAAEAIAAAAD8BAABkcnMvZTJvRG9jLnhtbFBLBQYA&#10;AAAABgAGAFkBAAD7BQAAAAA=&#10;">
                <v:fill on="t" focussize="0,0"/>
                <v:stroke color="#000000 [3204]" joinstyle="round"/>
                <v:imagedata o:title=""/>
                <o:lock v:ext="edit" aspectratio="f"/>
                <v:textbox>
                  <w:txbxContent>
                    <w:p>
                      <w:pPr>
                        <w:rPr>
                          <w:sz w:val="18"/>
                          <w:szCs w:val="18"/>
                        </w:rPr>
                      </w:pPr>
                      <w:r>
                        <w:rPr>
                          <w:rFonts w:hint="eastAsia"/>
                          <w:sz w:val="18"/>
                          <w:szCs w:val="18"/>
                        </w:rPr>
                        <w:t>线下</w:t>
                      </w:r>
                    </w:p>
                    <w:p>
                      <w:pPr>
                        <w:rPr>
                          <w:sz w:val="18"/>
                          <w:szCs w:val="18"/>
                        </w:rPr>
                      </w:pPr>
                      <w:r>
                        <w:rPr>
                          <w:rFonts w:hint="eastAsia"/>
                          <w:sz w:val="18"/>
                          <w:szCs w:val="18"/>
                        </w:rPr>
                        <w:t>开展</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7936" behindDoc="0" locked="0" layoutInCell="1" allowOverlap="1">
                <wp:simplePos x="0" y="0"/>
                <wp:positionH relativeFrom="column">
                  <wp:posOffset>1807845</wp:posOffset>
                </wp:positionH>
                <wp:positionV relativeFrom="paragraph">
                  <wp:posOffset>175260</wp:posOffset>
                </wp:positionV>
                <wp:extent cx="558165" cy="497840"/>
                <wp:effectExtent l="4445" t="4445" r="8890" b="12065"/>
                <wp:wrapNone/>
                <wp:docPr id="167" name="文本框 167"/>
                <wp:cNvGraphicFramePr/>
                <a:graphic xmlns:a="http://schemas.openxmlformats.org/drawingml/2006/main">
                  <a:graphicData uri="http://schemas.microsoft.com/office/word/2010/wordprocessingShape">
                    <wps:wsp>
                      <wps:cNvSpPr txBox="true"/>
                      <wps:spPr>
                        <a:xfrm>
                          <a:off x="0" y="0"/>
                          <a:ext cx="558165" cy="4978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提供补充资料</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35pt;margin-top:13.8pt;height:39.2pt;width:43.95pt;z-index:251687936;mso-width-relative:page;mso-height-relative:page;" fillcolor="#FFFFFF [3201]" filled="t" stroked="t" coordsize="21600,21600" o:gfxdata="UEsFBgAAAAAAAAAAAAAAAAAAAAAAAFBLAwQKAAAAAACHTuJAAAAAAAAAAAAAAAAABAAAAGRycy9Q&#10;SwMEFAAAAAgAh07iQCREMXDYAAAACgEAAA8AAABkcnMvZG93bnJldi54bWxNj8FOwzAMhu9IvENk&#10;JC6IJeumtpSmOyCB4AYDwTVrvbYicUqSdePtMSe4/ZY//f5cb07OihlDHD1pWC4UCKTWdyP1Gt5e&#10;769LEDEZ6oz1hBq+McKmOT+rTdX5I73gvE294BKKldEwpDRVUsZ2QGfiwk9IvNv74EziMfSyC+bI&#10;5c7KTKlcOjMSXxjMhHcDtp/bg9NQrh/nj/i0en5v8729SVfF/PAVtL68WKpbEAlP6Q+GX31Wh4ad&#10;dv5AXRRWQ1auC0Y5FDkIBlZFxmHHpMoVyKaW/19ofgBQSwMEFAAAAAgAh07iQHLsRa9OAgAAjAQA&#10;AA4AAABkcnMvZTJvRG9jLnhtbK1UzY7TMBC+I/EOlu9s2qo/22rTVdlVEVLFrlQQZ9ex2wjHNrbb&#10;pDwAvAEnLtx5rn0OPrtpt8tyQuTgzHgm38x8M5Or66ZSZCecL43OafeiQ4nQ3BSlXuf0w/v5q0tK&#10;fGC6YMpokdO98PR6+vLFVW0nomc2RhXCEYBoP6ltTjch2EmWeb4RFfMXxgoNozSuYgGqW2eFYzXQ&#10;K5X1Op1hVhtXWGe48B63twcjnSZ8KQUPd1J6EYjKKXIL6XTpXMUzm16xydoxuyl5mwb7hywqVmoE&#10;PUHdssDI1pXPoKqSO+ONDBfcVJmRsuQi1YBqup0/qllumBWpFpDj7Ykm//9g+bvdvSNlgd4NR5Ro&#10;VqFJD9+/Pfz49fDzK4mXoKi2fgLPpYVvaF6bJqfBbcXR5HEfi2+kq+IbZRG4gO/9iWPRBMJxORhc&#10;docDSjhM/fHosp96kD1+bJ0Pb4SpSBRy6tDCxCzbLXxALnA9usRY3qiymJdKJcWtVzfKkR1Du+fp&#10;iTnikyduSpM6p+NBb5CQn9gi9glipRj/9BwBeErHeCJNWJtXJOnARJRCs2pa5lam2IM4Zw7T5y2f&#10;l4iyYD7cM4dxA1FYoXCHQyqD1EwrUbIx7svf7qM/pgBWSmqMb0795y1zghL1VmM+xt0+mCUhKf3B&#10;qAfFnVtW5xa9rW4MKOtiWS1PYvQP6ihKZ6qP2LRZjCqZ8gjENEd8TMJRvAnQWiM2lovZ7KRj2i0L&#10;C720vJ2dyJ82s20wskx9jawdqELHooKRT71r1zPu1LmevB5/It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EQxcNgAAAAKAQAADwAAAAAAAAABACAAAAA4AAAAZHJzL2Rvd25yZXYueG1sUEsBAhQA&#10;FAAAAAgAh07iQHLsRa9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提供补充资料</w:t>
                      </w:r>
                    </w:p>
                  </w:txbxContent>
                </v:textbox>
              </v:shape>
            </w:pict>
          </mc:Fallback>
        </mc:AlternateContent>
      </w:r>
      <w:r>
        <w:rPr>
          <w:rFonts w:hint="eastAsia"/>
          <w:highlight w:val="none"/>
        </w:rPr>
        <w:tab/>
      </w:r>
    </w:p>
    <w:p>
      <w:pPr>
        <w:tabs>
          <w:tab w:val="left" w:pos="4957"/>
        </w:tabs>
        <w:jc w:val="left"/>
        <w:rPr>
          <w:highlight w:val="none"/>
        </w:rPr>
      </w:pPr>
      <w:r>
        <w:rPr>
          <w:rFonts w:ascii="Calibri" w:hAnsi="Calibri"/>
          <w:highlight w:val="none"/>
        </w:rPr>
        <mc:AlternateContent>
          <mc:Choice Requires="wps">
            <w:drawing>
              <wp:anchor distT="0" distB="0" distL="114300" distR="114300" simplePos="0" relativeHeight="251713536" behindDoc="0" locked="0" layoutInCell="1" allowOverlap="1">
                <wp:simplePos x="0" y="0"/>
                <wp:positionH relativeFrom="column">
                  <wp:posOffset>3060700</wp:posOffset>
                </wp:positionH>
                <wp:positionV relativeFrom="paragraph">
                  <wp:posOffset>107950</wp:posOffset>
                </wp:positionV>
                <wp:extent cx="563880" cy="0"/>
                <wp:effectExtent l="0" t="38100" r="7620" b="38100"/>
                <wp:wrapNone/>
                <wp:docPr id="168" name="直接箭头连接符 168"/>
                <wp:cNvGraphicFramePr/>
                <a:graphic xmlns:a="http://schemas.openxmlformats.org/drawingml/2006/main">
                  <a:graphicData uri="http://schemas.microsoft.com/office/word/2010/wordprocessingShape">
                    <wps:wsp>
                      <wps:cNvCnPr/>
                      <wps:spPr>
                        <a:xfrm flipH="true">
                          <a:off x="0" y="0"/>
                          <a:ext cx="563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1pt;margin-top:8.5pt;height:0pt;width:44.4pt;z-index:251713536;mso-width-relative:page;mso-height-relative:page;" filled="f" stroked="t" coordsize="21600,21600" o:gfxdata="UEsFBgAAAAAAAAAAAAAAAAAAAAAAAFBLAwQKAAAAAACHTuJAAAAAAAAAAAAAAAAABAAAAGRycy9Q&#10;SwMEFAAAAAgAh07iQIalQIDXAAAACQEAAA8AAABkcnMvZG93bnJldi54bWxNj0FPwzAMhe9I/IfI&#10;SFzQlqxirCpNdwAGJzRRtnvWmLZa41RNtrX/HiMOcLLs9/T8vnw9uk6ccQitJw2LuQKBVHnbUq1h&#10;97mZpSBCNGRN5wk1TBhgXVxf5Saz/kIfeC5jLTiEQmY0NDH2mZShatCZMPc9EmtffnAm8jrU0g7m&#10;wuGuk4lSD9KZlvhDY3p8arA6lien4bncLjf7u92YTNXbe/maHrc0vWh9e7NQjyAijvHPDD/1uToU&#10;3OngT2SD6DTcpwmzRBZWPNmwXClmOfweZJHL/wTFN1BLAwQUAAAACACHTuJASHB/iAICAADFAwAA&#10;DgAAAGRycy9lMm9Eb2MueG1srVPNjtMwEL4j8Q6W7zRpUatu1HQPLQsHfioBDzB1nMSSY1tjb9O+&#10;BC+AxAk4sZz2ztPA8hiMnbb83RA5OPaMvy/fzDdZXO47zXYSvbKm5ONRzpk0wlbKNCV//erqwZwz&#10;H8BUoK2RJT9Izy+X9+8telfIiW2triQyIjG+6F3J2xBckWVetLIDP7JOGkrWFjsIdMQmqxB6Yu90&#10;NsnzWdZbrBxaIb2n6HpI8mXir2spwou69jIwXXLSFtKKad3GNVsuoGgQXKvEUQb8g4oOlKGPnqnW&#10;EIBdo/qLqlMCrbd1GAnbZbaulZCpBqpmnP9RzcsWnEy1UHO8O7fJ/z9a8Xy3QaYq8m5GVhnoyKS7&#10;t7ff3ny4+3zz9f3t9y/v4v7TRxYvULt65wtCrcwGjyfvNhhr39fYsVor96TkAa+jciioRLZP/T6c&#10;+y33gQkKTmcP53NyRZxS2UAScQ59eCxtx+Km5D4gqKYNK2sMmWpxnNhh99QHkkHAEyCCjb1SWidv&#10;tWF9yS+mkyl9B2jCag2Btp2jmr1pOAPd0OiKgInRW62qiI48HpvtSiPbQRyf9AyXWqjkEL2YUngY&#10;Iw/hma2G8Dg/xUnakSbJ/I0/al6DbwdMSg1UAZR+ZCoWDo78CKjANFrGHNFpQ69ow9D4uNva6pD8&#10;SHGalXTxONdxGH89J/TPv2/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IalQIDXAAAACQEAAA8A&#10;AAAAAAAAAQAgAAAAOAAAAGRycy9kb3ducmV2LnhtbFBLAQIUABQAAAAIAIdO4kBIcH+IAgIAAMUD&#10;AAAOAAAAAAAAAAEAIAAAADwBAABkcnMvZTJvRG9jLnhtbFBLBQYAAAAABgAGAFkBAACwBQ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91008" behindDoc="0" locked="0" layoutInCell="1" allowOverlap="1">
                <wp:simplePos x="0" y="0"/>
                <wp:positionH relativeFrom="column">
                  <wp:posOffset>3141980</wp:posOffset>
                </wp:positionH>
                <wp:positionV relativeFrom="paragraph">
                  <wp:posOffset>51435</wp:posOffset>
                </wp:positionV>
                <wp:extent cx="962660" cy="0"/>
                <wp:effectExtent l="38100" t="0" r="38100" b="8890"/>
                <wp:wrapNone/>
                <wp:docPr id="169" name="肘形连接符 169"/>
                <wp:cNvGraphicFramePr/>
                <a:graphic xmlns:a="http://schemas.openxmlformats.org/drawingml/2006/main">
                  <a:graphicData uri="http://schemas.microsoft.com/office/word/2010/wordprocessingShape">
                    <wps:wsp>
                      <wps:cNvCnPr>
                        <a:cxnSpLocks noChangeShapeType="true"/>
                      </wps:cNvCnPr>
                      <wps:spPr bwMode="auto">
                        <a:xfrm rot="5400000">
                          <a:off x="0" y="0"/>
                          <a:ext cx="96266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47.4pt;margin-top:4.05pt;height:0pt;width:75.8pt;rotation:5898240f;z-index:251691008;mso-width-relative:page;mso-height-relative:page;" filled="f" stroked="t" coordsize="21600,21600" o:gfxdata="UEsFBgAAAAAAAAAAAAAAAAAAAAAAAFBLAwQKAAAAAACHTuJAAAAAAAAAAAAAAAAABAAAAGRycy9Q&#10;SwMEFAAAAAgAh07iQJDnYpHUAAAABwEAAA8AAABkcnMvZG93bnJldi54bWxNjs1Kw0AUhfeC7zBc&#10;wY3YSWQa05hJKYLgSjDW/W3mNgnN3AmZaVp9ekc3dnk4f1+5PttBzDT53rGGdJGAIG6c6bnVsP14&#10;uc9B+IBscHBMGr7Iw7q6viqxMO7E7zTXoRVxhH2BGroQxkJK33Rk0S/cSBy9vZsshiinVpoJT3Hc&#10;DvIhSTJpsef40OFIzx01h/poI8YdLr3ZfG7nw3f9qpaP+duGG61vb9LkCUSgc/gPwy9+7EAVmXbu&#10;yMaLQYNaqYgeNOQpiOhnKlMgdn9aVqW85K9+AFBLAwQUAAAACACHTuJACkpW/hkCAADwAwAADgAA&#10;AGRycy9lMm9Eb2MueG1srVNNblMxEN4jcQfLe/KSQKL2KS9dpJRNgUotB5jYfonB9li2k5dsOQBr&#10;ViyQyoorIE4D9BiMnR8K7BBeWLZn/Hm+7xtPzjbWsLUKUaNr+KDX50w5gVK7RcNf3Vw8OuEsJnAS&#10;DDrV8K2K/Gz68MGk87Ua4hKNVIERiIt15xu+TMnXVRXFUlmIPfTKUbDFYCHRNiwqGaAjdGuqYb8/&#10;rjoM0gcUKkY6Pd8F+bTgt60S6WXbRpWYaTjVlsocyjzPczWdQL0I4Jda7MuAf6jCgnb06BHqHBKw&#10;VdB/QVktAkZsU0+grbBttVCFA7EZ9P9gc70ErwoXEif6o0zx/8GKF+urwLQk78annDmwZNLd2/ff&#10;vny8+/rh+7vbH58/sRwioTofa8qfuauQqYqNu/aXKN5E5nC2BLdQpeCbrSeMFFYqX6p+u5U30dOL&#10;8+45SkqDVcIi3KYNlgUkg0ZP+nmUUxKIbYpb26NbapOYoMPT8XA8Jk/FIVRBnVFybT7E9EyhZXnR&#10;8LlyaYbOUTtgeFyQYX0ZU3FM7lmDfD3grLWGGmANho1KFZkC1PtsWh2Q81WHF9qY0kLGsY5KGg1H&#10;BT2i0TIHc1oMi/nMBEagRKKMogxF7qdZnegrGG0bfnJMgjqBNk+dZGkvqyahjeL5OaskZ0bRx8ur&#10;XaXG5SdVaX1ieHAgi75zcI5yexUO59RWheD+C+S+vb8v/v36qN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OdikdQAAAAHAQAADwAAAAAAAAABACAAAAA4AAAAZHJzL2Rvd25yZXYueG1sUEsBAhQA&#10;FAAAAAgAh07iQApKVv4ZAgAA8AMAAA4AAAAAAAAAAQAgAAAAOQEAAGRycy9lMm9Eb2MueG1sUEsF&#10;BgAAAAAGAAYAWQEAAMQ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0464" behindDoc="0" locked="0" layoutInCell="1" allowOverlap="1">
                <wp:simplePos x="0" y="0"/>
                <wp:positionH relativeFrom="column">
                  <wp:posOffset>615950</wp:posOffset>
                </wp:positionH>
                <wp:positionV relativeFrom="paragraph">
                  <wp:posOffset>146050</wp:posOffset>
                </wp:positionV>
                <wp:extent cx="789940" cy="447040"/>
                <wp:effectExtent l="4445" t="4445" r="5715" b="5715"/>
                <wp:wrapNone/>
                <wp:docPr id="170" name="文本框 170"/>
                <wp:cNvGraphicFramePr/>
                <a:graphic xmlns:a="http://schemas.openxmlformats.org/drawingml/2006/main">
                  <a:graphicData uri="http://schemas.microsoft.com/office/word/2010/wordprocessingShape">
                    <wps:wsp>
                      <wps:cNvSpPr txBox="true"/>
                      <wps:spPr>
                        <a:xfrm>
                          <a:off x="0" y="0"/>
                          <a:ext cx="789709"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5pt;margin-top:11.5pt;height:35.2pt;width:62.2pt;z-index:251710464;mso-width-relative:page;mso-height-relative:page;" fillcolor="#FFFFFF [3201]" filled="t" stroked="t" coordsize="21600,21600" o:gfxdata="UEsFBgAAAAAAAAAAAAAAAAAAAAAAAFBLAwQKAAAAAACHTuJAAAAAAAAAAAAAAAAABAAAAGRycy9Q&#10;SwMEFAAAAAgAh07iQIm/LavYAAAACAEAAA8AAABkcnMvZG93bnJldi54bWxNj8tOwzAQRfdI/IM1&#10;SGwQdV7qI8TpAgkEO1pQu3XjaRIRj4PtpuXvGVawGo3O6M651fpiBzGhD70jBeksAYHUONNTq+Dj&#10;/el+CSJETUYPjlDBNwZY19dXlS6NO9MGp21sBYdQKLWCLsaxlDI0HVodZm5EYnZ03urIq2+l8frM&#10;4XaQWZLMpdU98YdOj/jYYfO5PVkFy+Jl2ofX/G3XzI/DKt4tpucvr9TtTZo8gIh4iX/H8KvP6lCz&#10;08GdyAQxKFgtuEpUkOU8mWdZWoA4MMgLkHUl/xeofwBQSwMEFAAAAAgAh07iQK697OxNAgAAjAQA&#10;AA4AAABkcnMvZTJvRG9jLnhtbK1UwY7TMBC9I/EPlu80bdXSbdV0VboqQqrYlRbE2XXsNsKxje02&#10;WT4A/mBPXLjzXfsdPLtpt8tyQuTgzHgmb2bezGR62VSK7IXzpdE57XW6lAjNTVHqTU4/fli+uqDE&#10;B6YLpowWOb0Tnl7OXr6Y1nYi+mZrVCEcAYj2k9rmdBuCnWSZ51tRMd8xVmgYpXEVC1DdJiscq4Fe&#10;qazf7b7OauMK6wwX3uP26mCks4QvpeDhWkovAlE5RW4hnS6d63hmsymbbByz25K3abB/yKJipUbQ&#10;E9QVC4zsXPkMqiq5M97I0OGmyoyUJRepBlTT6/5Rze2WWZFqATnenmjy/w+Wv9/fOFIW6N0I/GhW&#10;oUkP998ffvx6+PmNxEtQVFs/geethW9o3pgmp8HtxNHkcR+Lb6Sr4htlEbgA7+7EsWgC4bgcXYxH&#10;3TElHKbBYNQdpADZ48fW+fBWmIpEIacOLUzMsv3KB+QC16NLjOWNKotlqVRS3Ga9UI7sGdq9TE/M&#10;EZ88cVOa1DkdD/vDhPzEFrFPEGvF+OfnCMBTOsYTacLavCJJByaiFJp10zK3NsUdiHPmMH3e8mWJ&#10;KCvmww1zGDcQhRUK1zikMkjNtBIlW+O+/u0++mMKYKWkxvjm1H/ZMScoUe805mPcG4BZEpIyGI76&#10;UNy5ZX1u0btqYUBZD8tqeRKjf1BHUTpTfcKmzWNUyZRHIKY54mMSjuIiQGuN2Fgu5vOTjmm3LKz0&#10;reXt7ET+tJnvgpFl6mtk7UAVOhYVjHzqXbuecafO9eT1+BO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Jvy2r2AAAAAgBAAAPAAAAAAAAAAEAIAAAADgAAABkcnMvZG93bnJldi54bWxQSwECFAAU&#10;AAAACACHTuJArr3s7E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v:textbox>
              </v:shape>
            </w:pict>
          </mc:Fallback>
        </mc:AlternateContent>
      </w:r>
      <w:r>
        <w:rPr>
          <w:highlight w:val="none"/>
        </w:rPr>
        <mc:AlternateContent>
          <mc:Choice Requires="wps">
            <w:drawing>
              <wp:anchor distT="0" distB="0" distL="114300" distR="114300" simplePos="0" relativeHeight="251714560" behindDoc="0" locked="0" layoutInCell="1" allowOverlap="1">
                <wp:simplePos x="0" y="0"/>
                <wp:positionH relativeFrom="column">
                  <wp:posOffset>2863850</wp:posOffset>
                </wp:positionH>
                <wp:positionV relativeFrom="paragraph">
                  <wp:posOffset>48260</wp:posOffset>
                </wp:positionV>
                <wp:extent cx="0" cy="781050"/>
                <wp:effectExtent l="4445" t="0" r="14605" b="0"/>
                <wp:wrapNone/>
                <wp:docPr id="171" name="直接连接符 171"/>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5pt;margin-top:3.8pt;height:61.5pt;width:0pt;z-index:251714560;mso-width-relative:page;mso-height-relative:page;" filled="f" stroked="t" coordsize="21600,21600" o:gfxdata="UEsFBgAAAAAAAAAAAAAAAAAAAAAAAFBLAwQKAAAAAACHTuJAAAAAAAAAAAAAAAAABAAAAGRycy9Q&#10;SwMEFAAAAAgAh07iQM16ytvVAAAACQEAAA8AAABkcnMvZG93bnJldi54bWxNj81OwzAQhO9IvIO1&#10;SFwqaqeFgEKcHoDcuFBAXLfxkkTE6zR2f+DpWcQBjqMZzXxTro5+UHuaYh/YQjY3oIib4HpuLbw8&#10;1xc3oGJCdjgEJgufFGFVnZ6UWLhw4Cfar1OrpIRjgRa6lMZC69h05DHOw0gs3nuYPCaRU6vdhAcp&#10;94NeGJNrjz3LQocj3XXUfKx33kKsX2lbf82amXlbtoEW2/vHB7T2/Cwzt6ASHdNfGH7wBR0qYdqE&#10;HbuoBguXV5l8SRauc1Di/+qNBJcmB12V+v+D6htQSwMEFAAAAAgAh07iQJxjX2DVAQAAiAMAAA4A&#10;AABkcnMvZTJvRG9jLnhtbK1TS44TMRDdI3EHy3vSnUhhZlrpzGKiYcMnEnCAiu3utuSfXCadXIIL&#10;ILGDFUv23IaZY1B2hwyfHaIX/jxXPdd7rl5dH6xhexVRe9fy+azmTDnhpXZ9y9++uX1yyRkmcBKM&#10;d6rlR4X8ev340WoMjVr4wRupIiMSh80YWj6kFJqqQjEoCzjzQTk67Hy0kGgb+0pGGIndmmpR10+r&#10;0UcZohcKkdDNdMjXhb/rlEivug5VYqblVFsqYyzjLo/VegVNHyEMWpzKgH+owoJ2dOmZagMJ2Luo&#10;/6KyWkSPvksz4W3lu04LVTSQmnn9h5rXAwRVtJA5GM424f+jFS/328i0pLe7mHPmwNIj3X34+v39&#10;p/tvH2m8+/KZ5SMyagzYUPyN28bTDsM2ZtWHLto8kx52KOYez+aqQ2JiAgWhF5fzell8rx7yQsT0&#10;THnL8qLlRrssGxrYP8dEd1Hoz5AMO3+rjSlPZxwbW361XCw5E0AN1BlItLSBJKHrOQPTU2eKFAsj&#10;eqNlzs48GPvdjYlsD7k7yjcFDSDVhF4tCZ66BCG98HKCs4YJp9JONKXM3/hzzRvAYcopR5mKUoyj&#10;Kfs5OZhXOy+PxdiC03OXwFNr5n76dV+yH36g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Nesrb&#10;1QAAAAkBAAAPAAAAAAAAAAEAIAAAADgAAABkcnMvZG93bnJldi54bWxQSwECFAAUAAAACACHTuJA&#10;nGNfYNUBAACIAwAADgAAAAAAAAABACAAAAA6AQAAZHJzL2Uyb0RvYy54bWxQSwUGAAAAAAYABgBZ&#10;AQAAgQ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694080" behindDoc="0" locked="0" layoutInCell="1" allowOverlap="1">
                <wp:simplePos x="0" y="0"/>
                <wp:positionH relativeFrom="column">
                  <wp:posOffset>2108200</wp:posOffset>
                </wp:positionH>
                <wp:positionV relativeFrom="paragraph">
                  <wp:posOffset>80010</wp:posOffset>
                </wp:positionV>
                <wp:extent cx="10160" cy="635000"/>
                <wp:effectExtent l="4445" t="0" r="23495" b="12700"/>
                <wp:wrapNone/>
                <wp:docPr id="172" name="直接连接符 172"/>
                <wp:cNvGraphicFramePr/>
                <a:graphic xmlns:a="http://schemas.openxmlformats.org/drawingml/2006/main">
                  <a:graphicData uri="http://schemas.microsoft.com/office/word/2010/wordprocessingShape">
                    <wps:wsp>
                      <wps:cNvCnPr/>
                      <wps:spPr>
                        <a:xfrm>
                          <a:off x="0" y="0"/>
                          <a:ext cx="1016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pt;margin-top:6.3pt;height:50pt;width:0.8pt;z-index:251694080;mso-width-relative:page;mso-height-relative:page;" filled="f" stroked="t" coordsize="21600,21600" o:gfxdata="UEsFBgAAAAAAAAAAAAAAAAAAAAAAAFBLAwQKAAAAAACHTuJAAAAAAAAAAAAAAAAABAAAAGRycy9Q&#10;SwMEFAAAAAgAh07iQBuJJcHUAAAACgEAAA8AAABkcnMvZG93bnJldi54bWxNT8tOwzAQvCPxD9Yi&#10;camo01iqUIjTA5AbFwoV1228TaLG6zR2H/D1bE9w23lodqZcXfygTjTFPrCFxTwDRdwE13Nr4fOj&#10;fngEFROywyEwWfimCKvq9qbEwoUzv9NpnVolIRwLtNClNBZax6Yjj3EeRmLRdmHymAROrXYTniXc&#10;DzrPsqX22LN86HCk546a/froLcR6Q4f6Z9bMsi/TBsoPL2+vaO393SJ7ApXokv7McK0v1aGSTttw&#10;ZBfVYMGYXLYkEfIlKDEYY+TYCnFldFXq/xOqX1BLAwQUAAAACACHTuJAL3C2K9gBAACMAwAADgAA&#10;AGRycy9lMm9Eb2MueG1srVNJjhMxFN0jcQfLe1JVQQl0KZVedNRsGCIBB/jxUGXJk2yTSi7BBZDY&#10;wYole25Dcwy+XUmaYYeohYc/PP/3/q/V9cFoshchKmc72sxqSoRljivbd/Ttm9tHTymJCSwH7azo&#10;6FFEer1++GA1+lbM3eA0F4EgiI3t6Ds6pOTbqopsEAbizHlh0SldMJDwGvqKBxgR3ehqXtfLanSB&#10;++CYiBGtm8lJ1wVfSsHSKymjSER3FGtLZQ1l3eW1Wq+g7QP4QbFTGfAPVRhQFh+9QG0gAXkX1F9Q&#10;RrHgopNpxpypnJSKicIB2TT1H2xeD+BF4YLiRH+RKf4/WPZyvw1EcezdkzklFgw26e7D1+/vP/34&#10;9hHXuy+fSXahUKOPLcbf2G043aLfhsz6IIPJO/IhhyLu8SKuOCTC0NjUzRI7wNCzfLyo66J9dZ/r&#10;Q0zPhDMkHzqqlc3UoYX985jwPQw9h2SzdbdK69I+bcnY0avFfIHwgEMkNSQ8Go+0ou0pAd3jdLIU&#10;CmJ0WvGcnXFi6Hc3OpA95Akp3xQ0ABeT9epcLUZDeuH4ZG7qsx1LO8GUMn/DzzVvIA5TTnFlLTFF&#10;W9yyppOK+bRz/FjELXZseQk8jWeeqV/vJfv+J1r/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uJ&#10;JcHUAAAACgEAAA8AAAAAAAAAAQAgAAAAOAAAAGRycy9kb3ducmV2LnhtbFBLAQIUABQAAAAIAIdO&#10;4kAvcLYr2AEAAIwDAAAOAAAAAAAAAAEAIAAAADkBAABkcnMvZTJvRG9jLnhtbFBLBQYAAAAABgAG&#10;AFkBAACDBQ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701248" behindDoc="0" locked="0" layoutInCell="1" allowOverlap="1">
                <wp:simplePos x="0" y="0"/>
                <wp:positionH relativeFrom="column">
                  <wp:posOffset>4565650</wp:posOffset>
                </wp:positionH>
                <wp:positionV relativeFrom="paragraph">
                  <wp:posOffset>67310</wp:posOffset>
                </wp:positionV>
                <wp:extent cx="0" cy="1492250"/>
                <wp:effectExtent l="4445" t="0" r="14605" b="12700"/>
                <wp:wrapNone/>
                <wp:docPr id="173" name="直接连接符 173"/>
                <wp:cNvGraphicFramePr/>
                <a:graphic xmlns:a="http://schemas.openxmlformats.org/drawingml/2006/main">
                  <a:graphicData uri="http://schemas.microsoft.com/office/word/2010/wordprocessingShape">
                    <wps:wsp>
                      <wps:cNvCnPr/>
                      <wps:spPr>
                        <a:xfrm>
                          <a:off x="0" y="0"/>
                          <a:ext cx="0" cy="149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5pt;margin-top:5.3pt;height:117.5pt;width:0pt;z-index:251701248;mso-width-relative:page;mso-height-relative:page;" filled="f" stroked="t" coordsize="21600,21600" o:gfxdata="UEsFBgAAAAAAAAAAAAAAAAAAAAAAAFBLAwQKAAAAAACHTuJAAAAAAAAAAAAAAAAABAAAAGRycy9Q&#10;SwMEFAAAAAgAh07iQI09qpbXAAAACgEAAA8AAABkcnMvZG93bnJldi54bWxNj71Ow0AQhHsk3uG0&#10;SDQRubMBA8bnFIA7GgJR2o292Ba+Pcd3+YGnZxEFlDszmv2mWBzdoPY0hd6zhWRuQBHXvum5tfD2&#10;Wl3cggoRucHBM1n4pACL8vSkwLzxB36h/TK2Sko45Gihi3HMtQ51Rw7D3I/E4r37yWGUc2p1M+FB&#10;yt2gU2My7bBn+dDhSA8d1R/LnbMQqhVtq69ZPTPry9ZTun18fkJrz88Scw8q0jH+heEHX9ChFKaN&#10;33ET1GDhJrmTLVEMk4GSwK+wsZBeXWegy0L/n1B+A1BLAwQUAAAACACHTuJAKoH/69cBAACJAwAA&#10;DgAAAGRycy9lMm9Eb2MueG1srVPNjtMwEL4j8Q6W7zRpoECjpnvYarnwUwn2AaaOk1jynzymaV+C&#10;F0DiBieO3HkblsfYsdPt8nND5DC2P898nvlmsro4GM32MqBytuHzWcmZtMK1yvYNv3539eg5ZxjB&#10;tqCdlQ0/SuQX64cPVqOvZeUGp1sZGJFYrEff8CFGXxcFikEawJnz0tJl54KBSMfQF22AkdiNLqqy&#10;fFqMLrQ+OCERCd1Ml3yd+btOivim61BGphtOucVsQ7a7ZIv1Cuo+gB+UOKUB/5CFAWXp0TPVBiKw&#10;90H9RWWUCA5dF2fCmcJ1nRIy10DVzMs/qnk7gJe5FhIH/Vkm/H+04vV+G5hqqXfPHnNmwVCTbj5+&#10;+/Hh88/vn8jefP3C0hUJNXqsyf/SbsPphH4bUtWHLpi0Uj3skMU9nsWVh8jEBApC50+WVbXIwhf3&#10;gT5gfCGdYWnTcK1sqhtq2L/ESI+R651Lgq27Ulrn3mnLxoYvF9WCMwE0QZ2GSFvjqSa0PWegexpN&#10;EUNmRKdVm6ITD4Z+d6kD20Maj/xNTgO0ckKXC4KnMUGIr1w7wfPyDqfUTjQ5zd/4U84bwGGKyVeJ&#10;ikK0pSUJOkmYdjvXHrOyGad+Z8fTbKaB+vWco+//oP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T2qltcAAAAKAQAADwAAAAAAAAABACAAAAA4AAAAZHJzL2Rvd25yZXYueG1sUEsBAhQAFAAAAAgA&#10;h07iQCqB/+vXAQAAiQMAAA4AAAAAAAAAAQAgAAAAPAEAAGRycy9lMm9Eb2MueG1sUEsFBgAAAAAG&#10;AAYAWQEAAIUFAAAAAA==&#10;">
                <v:fill on="f" focussize="0,0"/>
                <v:stroke color="#000000 [3200]" joinstyle="round"/>
                <v:imagedata o:title=""/>
                <o:lock v:ext="edit" aspectratio="f"/>
              </v:lin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9984" behindDoc="0" locked="0" layoutInCell="1" allowOverlap="1">
                <wp:simplePos x="0" y="0"/>
                <wp:positionH relativeFrom="column">
                  <wp:posOffset>3227705</wp:posOffset>
                </wp:positionH>
                <wp:positionV relativeFrom="paragraph">
                  <wp:posOffset>133985</wp:posOffset>
                </wp:positionV>
                <wp:extent cx="914400" cy="492760"/>
                <wp:effectExtent l="4445" t="4445" r="14605" b="17145"/>
                <wp:wrapNone/>
                <wp:docPr id="174" name="文本框 174"/>
                <wp:cNvGraphicFramePr/>
                <a:graphic xmlns:a="http://schemas.openxmlformats.org/drawingml/2006/main">
                  <a:graphicData uri="http://schemas.microsoft.com/office/word/2010/wordprocessingShape">
                    <wps:wsp>
                      <wps:cNvSpPr txBox="true"/>
                      <wps:spPr>
                        <a:xfrm>
                          <a:off x="0" y="0"/>
                          <a:ext cx="91440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15pt;margin-top:10.55pt;height:38.8pt;width:72pt;z-index:251689984;mso-width-relative:page;mso-height-relative:page;" fillcolor="#FFFFFF [3201]" filled="t" stroked="t" coordsize="21600,21600" o:gfxdata="UEsFBgAAAAAAAAAAAAAAAAAAAAAAAFBLAwQKAAAAAACHTuJAAAAAAAAAAAAAAAAABAAAAGRycy9Q&#10;SwMEFAAAAAgAh07iQD8MoOrZAAAACQEAAA8AAABkcnMvZG93bnJldi54bWxNj8tOwzAQRfdI/IM1&#10;SGwQtZPSNA2ZdIEEgh0U1G7deJpE+BFsNy1/j1nBcmaO7pxbr89Gs4l8GJxFyGYCGNnWqcF2CB/v&#10;j7clsBClVVI7SwjfFGDdXF7UslLuZN9o2sSOpRAbKonQxzhWnIe2JyPDzI1k0+3gvJExjb7jystT&#10;Cjea50IU3MjBpg+9HOmhp/ZzczQI5d3ztAsv89dtWxz0Kt4sp6cvj3h9lYl7YJHO8Q+GX/2kDk1y&#10;2rujVYFphIUo5wlFyLMMWAKKRZ4We4RVuQTe1Px/g+YHUEsDBBQAAAAIAIdO4kCQfa57SwIAAIwE&#10;AAAOAAAAZHJzL2Uyb0RvYy54bWytVM1uEzEQviPxDpbvdJMobWnUTRVaBSFVtFJBnB2vnazweozt&#10;ZLc8ALxBT1y481x9Dj47m7SlnBB78M54Zufnm2/29KxrDNsoH2qyJR8eDDhTVlJV22XJP36Yv3rN&#10;WYjCVsKQVSW/VYGfTV++OG3dRI1oRaZSniGIDZPWlXwVo5sURZAr1YhwQE5ZGDX5RkSofllUXrSI&#10;3phiNBgcFS35ynmSKgTcXmyNfJrja61kvNI6qMhMyVFbzKfP5yKdxfRUTJZeuFUt+zLEP1TRiNoi&#10;6T7UhYiCrX39LFRTS0+BdDyQ1BSkdS1V7gHdDAd/dHOzEk7lXgBOcHuYwv8LK99vrj2rK8zueMyZ&#10;FQ2GdH/3/f7Hr/uf31i6BEStCxN43jj4xu4NdSWPfq12poD71HynfZPeaIvBBXjf7jFWXWQSlyfD&#10;8XgAi4RpfDI6PsozKB4+dj7Et4oaloSSe4wwIys2lyGiFrjuXFKuQKau5rUxWfHLxbnxbCMw7nl+&#10;Uo345ImbsaxFJYejwxz5iS3F3odYGCE/P4+AeMamfCozrK8rgbRFIkmxW3Q9cguqbgGcpy37gpPz&#10;GlkuRYjXwoNugAMrFK9waEMojXqJsxX5r3+7T/5gAayctaBvycOXtfCKM/POgh8ZZvA9K+PD4xFy&#10;+MeWxWOLXTfnBMiGWFYns5j8o9mJ2lPzCZs2S1m1MAGJhJXIDybsxPMIrTdiY6WazfY62O5EvLQ3&#10;TvbcSfhZmq0j6TrPNaG2hQoTSwoon2fXr2faqcd69nr4iU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8MoOrZAAAACQEAAA8AAAAAAAAAAQAgAAAAOAAAAGRycy9kb3ducmV2LnhtbFBLAQIUABQA&#10;AAAIAIdO4kCQfa57SwIAAIwEAAAOAAAAAAAAAAEAIAAAAD4BAABkcnMvZTJvRG9jLnhtbFBLBQYA&#10;AAAABgAGAFkBAAD7BQAAAAA=&#10;">
                <v:fill on="t" focussize="0,0"/>
                <v:stroke color="#000000 [3204]" joinstyle="round"/>
                <v:imagedata o:title=""/>
                <o:lock v:ext="edit" aspectratio="f"/>
                <v:textbo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v:textbox>
              </v:shape>
            </w:pict>
          </mc:Fallback>
        </mc:AlternateContent>
      </w:r>
      <w:r>
        <w:rPr>
          <w:rFonts w:ascii="Calibri" w:hAnsi="Calibri"/>
          <w:highlight w:val="none"/>
        </w:rPr>
        <mc:AlternateContent>
          <mc:Choice Requires="wps">
            <w:drawing>
              <wp:anchor distT="0" distB="0" distL="114300" distR="114300" simplePos="0" relativeHeight="251712512" behindDoc="0" locked="0" layoutInCell="1" allowOverlap="1">
                <wp:simplePos x="0" y="0"/>
                <wp:positionH relativeFrom="column">
                  <wp:posOffset>754380</wp:posOffset>
                </wp:positionH>
                <wp:positionV relativeFrom="paragraph">
                  <wp:posOffset>11430</wp:posOffset>
                </wp:positionV>
                <wp:extent cx="278130" cy="0"/>
                <wp:effectExtent l="38100" t="0" r="38100" b="7620"/>
                <wp:wrapNone/>
                <wp:docPr id="175" name="肘形连接符 17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pt;margin-top:0.9pt;height:0pt;width:21.9pt;rotation:5898240f;z-index:251712512;mso-width-relative:page;mso-height-relative:page;" filled="f" stroked="t" coordsize="21600,21600" o:gfxdata="UEsFBgAAAAAAAAAAAAAAAAAAAAAAAFBLAwQKAAAAAACHTuJAAAAAAAAAAAAAAAAABAAAAGRycy9Q&#10;SwMEFAAAAAgAh07iQCulkgHRAAAABwEAAA8AAABkcnMvZG93bnJldi54bWxNjsFugzAMhu+T9g6R&#10;J+0yrYEeEKKEHibtuErteACXuIBKHERSYHv6ubtsJ/vTb/3+yv3qBjXTFHrPBtJNAoq48bbn1kD9&#10;+f6agwoR2eLgmQx8UYB99fhQYmH9wkeaT7FVUsKhQANdjGOhdWg6chg2fiSW7OInh1FwarWdcJFy&#10;N+htkmTaYc/yocOR3jpqrqebM3BtYx3W+qMPzXzhl2N+WNz3wZjnpzTZgYq0xr9juOuLOlTidPY3&#10;tkENwmku6lEWGfc822agzr+sq1L/969+AFBLAwQUAAAACACHTuJAacg50CICAAD+AwAADgAAAGRy&#10;cy9lMm9Eb2MueG1srVPBbhMxEL0j8Q+W72SzqdKGVTY9pBQOBSK1fIBje7MG22PZTja58gGcOXGo&#10;BCd+AfE1QD+DsbMJBW4IHyzbM/Nm5r3x9HxrNNlIHxTYmpaDISXSchDKrmr66uby0YSSEJkVTIOV&#10;Nd3JQM9nDx9MO1fJEbSghfQEQWyoOlfTNkZXFUXgrTQsDMBJi8YGvGERr35VCM86RDe6GA2Hp0UH&#10;XjgPXIaArxd7I51l/KaRPL5smiAj0TXF2mLefd6XaS9mU1atPHOt4n0Z7B+qMExZTHqEumCRkbVX&#10;f0EZxT0EaOKAgymgaRSXuQfsphz+0c11y5zMvSA5wR1pCv8Plr/YLDxRArU7G1NimUGR7t6+//bl&#10;9u7rh+/vPv74/IkkExLVuVCh/9wufGqVb+21uwL+JhAL85bZlcwF3+wcYkS/limo+C0qXYLDjMvu&#10;OQh0Y+sImbht4w3xgAKVpygsLkoardyzHiplRLrINmu3O2ont5FwfBydTcoTjOEHU8GqhJninA/x&#10;qQRD0qGmS2njHKzF4QB/krOzzVWIWT/Rc8DE6xIrMBrHYcM0GeeSUkOs6r3xdEBOoRYuldZ5oLQl&#10;XU0fj0fjjB5AK5GMyS341XKuPUFQbCKvzBNa7rsZFfFjaGVqOjk6sSoypZ9YQWJPskLataQpnZGC&#10;Ei3xG6bTvlJtU0qZPwJ2eNAjSbDXcwlit/CHdxyy3GD/IdIU379nNX9929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K6WSAdEAAAAHAQAADwAAAAAAAAABACAAAAA4AAAAZHJzL2Rvd25yZXYueG1s&#10;UEsBAhQAFAAAAAgAh07iQGnIOdAiAgAA/gMAAA4AAAAAAAAAAQAgAAAANgEAAGRycy9lMm9Eb2Mu&#10;eG1sUEsFBgAAAAAGAAYAWQEAAMo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column">
                  <wp:posOffset>406400</wp:posOffset>
                </wp:positionH>
                <wp:positionV relativeFrom="paragraph">
                  <wp:posOffset>120650</wp:posOffset>
                </wp:positionV>
                <wp:extent cx="1714500" cy="0"/>
                <wp:effectExtent l="0" t="0" r="0" b="0"/>
                <wp:wrapNone/>
                <wp:docPr id="176" name="直接连接符 17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9.5pt;height:0pt;width:135pt;z-index:251695104;mso-width-relative:page;mso-height-relative:page;" filled="f" stroked="t" coordsize="21600,21600" o:gfxdata="UEsFBgAAAAAAAAAAAAAAAAAAAAAAAFBLAwQKAAAAAACHTuJAAAAAAAAAAAAAAAAABAAAAGRycy9Q&#10;SwMEFAAAAAgAh07iQO2msyXUAAAACAEAAA8AAABkcnMvZG93bnJldi54bWxNj09PwzAMxe9IfIfI&#10;SFwmlmxF0yhNdwB648IA7eo1pq1onK7J/sCnxxMHOFl+z3r+vWJ18r060Bi7wBZmUwOKuA6u48bC&#10;22t1swQVE7LDPjBZ+KIIq/LyosDchSO/0GGdGiUhHHO00KY05FrHuiWPcRoGYvE+wugxyTo22o14&#10;lHDf67kxC+2xY/nQ4kAPLdWf6723EKt32lXfk3piNlkTaL57fH5Ca6+vZuYeVKJT+juGM76gQylM&#10;27BnF1VvYXErVZLodzLFz7KzsP0VdFno/wXKH1BLAwQUAAAACACHTuJAz92FLNYBAACJAwAADgAA&#10;AGRycy9lMm9Eb2MueG1srVNLjtNAEN0jcYdW74ntiMwwVpxZTDRs+EQCDlBpt+2W+qeuJk4uwQWQ&#10;2MGKJXtuM8MxqG4nGT47hBf9qc/req/Ky+u90WwnAypnG17NSs6kFa5Vtm/4u7e3T55xhhFsC9pZ&#10;2fCDRH69evxoOfpazt3gdCsDIxCL9egbPsTo66JAMUgDOHNeWnJ2LhiIdA190QYYCd3oYl6WF8Xo&#10;QuuDExKRrOvJyVcZv+ukiK+7DmVkuuFUW8xryOs2rcVqCXUfwA9KHMuAf6jCgLL06BlqDRHY+6D+&#10;gjJKBIeuizPhTOG6TgmZORCbqvyDzZsBvMxcSBz0Z5nw/8GKV7tNYKql3l1ecGbBUJPuP367+/D5&#10;x/dPtN5//cKSi4QaPdYUf2M34XhDvwmJ9b4LJu3Eh+2zuIezuHIfmSBjdVk9XZTUA3HyFQ+JPmB8&#10;Lp1h6dBwrWziDTXsXmCkxyj0FJLM1t0qrXPvtGVjw68W8wUhA01QpyHS0XjihLbnDHRPoyliyIjo&#10;tGpTdsLB0G9vdGA7SOORvylogFZO1iuq+TgmCPGlaydzVZ7sVNoRJpf5G36qeQ04TDnZlYSkFG1p&#10;S4JOEqbT1rWHrGy2U79z4HE200D9es/ZD3/Q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tprMl&#10;1AAAAAgBAAAPAAAAAAAAAAEAIAAAADgAAABkcnMvZG93bnJldi54bWxQSwECFAAUAAAACACHTuJA&#10;z92FLNYBAACJAwAADgAAAAAAAAABACAAAAA5AQAAZHJzL2Uyb0RvYy54bWxQSwUGAAAAAAYABgBZ&#10;AQAAgQU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716608" behindDoc="0" locked="0" layoutInCell="1" allowOverlap="1">
                <wp:simplePos x="0" y="0"/>
                <wp:positionH relativeFrom="column">
                  <wp:posOffset>3484245</wp:posOffset>
                </wp:positionH>
                <wp:positionV relativeFrom="paragraph">
                  <wp:posOffset>169545</wp:posOffset>
                </wp:positionV>
                <wp:extent cx="278130" cy="0"/>
                <wp:effectExtent l="38100" t="0" r="38100" b="7620"/>
                <wp:wrapNone/>
                <wp:docPr id="177" name="肘形连接符 177"/>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4.35pt;margin-top:13.35pt;height:0pt;width:21.9pt;rotation:5898240f;z-index:251716608;mso-width-relative:page;mso-height-relative:page;" filled="f" stroked="t" coordsize="21600,21600" o:gfxdata="UEsFBgAAAAAAAAAAAAAAAAAAAAAAAFBLAwQKAAAAAACHTuJAAAAAAAAAAAAAAAAABAAAAGRycy9Q&#10;SwMEFAAAAAgAh07iQGtaGkrWAAAACQEAAA8AAABkcnMvZG93bnJldi54bWxNj8FugzAMhu+T9g6R&#10;J+0ytaFotIwRepi0Yyu15QFS4gIqcRBJgfXp52mH7WTZ/vT7c76dbSdGHHzrSMFqGYFAqpxpqVZQ&#10;nj4XKQgfNBndOUIFX+hhWzw+5DozbqIDjsdQCw4hn2kFTQh9JqWvGrTaL12PxLuLG6wO3A61NIOe&#10;ONx2Mo6itbS6Jb7Q6B4/Gqyux5tVcK1D6edy1/pqvNDLId1P9r5X6vlpFb2DCDiHPxh+9FkdCnY6&#10;uxsZLzoFyWu6YVRBvObKQPIWJyDOvwNZ5PL/B8U3UEsDBBQAAAAIAIdO4kBcTghtIwIAAP4DAAAO&#10;AAAAZHJzL2Uyb0RvYy54bWytU8FuEzEQvSPxD5bvZJNUacIqmx5SCocCkVo+wLG9WYPtsWwnm1z5&#10;AM6cOFSCE79Q9WuAfgZjZxMK3BA+WLZn5s3Me+Pp2dZospE+KLAVHfT6lEjLQSi7quib64snE0pC&#10;ZFYwDVZWdCcDPZs9fjRtXSmH0IAW0hMEsaFsXUWbGF1ZFIE30rDQAyctGmvwhkW8+lUhPGsR3ehi&#10;2O+fFi144TxwGQK+nu+NdJbx61ry+Lqug4xEVxRri3n3eV+mvZhNWbnyzDWKd2Wwf6jCMGUx6RHq&#10;nEVG1l79BWUU9xCgjj0OpoC6VlzmHrCbQf+Pbq4a5mTuBckJ7khT+H+w/NVm4YkSqN14TIllBkW6&#10;f//x2+3N/d2n7x8+//j6hSQTEtW6UKL/3C58apVv7ZW7BP4uEAvzhtmVzAVf7xxiRL+WKaj4LSpd&#10;gsOMy/YlCHRj6wiZuG3tDfGAAg1OUVhclNRauRcdVMqIdJFt1m531E5uI+H4OBxPBicYww+mgpUJ&#10;M8U5H+JzCYakQ0WX0sY5WIvDAf4kZ2ebyxCzfqLjgIm3A6zAaByHDdNklEtKDbGy88bTATmFWrhQ&#10;WueB0pa0FX06Go4yegCtRDImt+BXy7n2BEGxibwyT2h56GZUxI+hlano5OjEysiUfmYFiR3JCmnX&#10;kqZ0RgpKtMRvmE77SrVNKWX+CNjhQY8kwV7PJYjdwh/ecchyg92HSFP88J7V/PVtZ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a1oaStYAAAAJAQAADwAAAAAAAAABACAAAAA4AAAAZHJzL2Rvd25y&#10;ZXYueG1sUEsBAhQAFAAAAAgAh07iQFxOCG0jAgAA/gMAAA4AAAAAAAAAAQAgAAAAOwEAAGRycy9l&#10;Mm9Eb2MueG1sUEsFBgAAAAAGAAYAWQEAANA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5584" behindDoc="0" locked="0" layoutInCell="1" allowOverlap="1">
                <wp:simplePos x="0" y="0"/>
                <wp:positionH relativeFrom="column">
                  <wp:posOffset>3060700</wp:posOffset>
                </wp:positionH>
                <wp:positionV relativeFrom="paragraph">
                  <wp:posOffset>106680</wp:posOffset>
                </wp:positionV>
                <wp:extent cx="1174750" cy="447040"/>
                <wp:effectExtent l="4445" t="4445" r="20955" b="5715"/>
                <wp:wrapNone/>
                <wp:docPr id="178" name="文本框 178"/>
                <wp:cNvGraphicFramePr/>
                <a:graphic xmlns:a="http://schemas.openxmlformats.org/drawingml/2006/main">
                  <a:graphicData uri="http://schemas.microsoft.com/office/word/2010/wordprocessingShape">
                    <wps:wsp>
                      <wps:cNvSpPr txBox="true"/>
                      <wps:spPr>
                        <a:xfrm>
                          <a:off x="0" y="0"/>
                          <a:ext cx="117475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1pt;margin-top:8.4pt;height:35.2pt;width:92.5pt;z-index:251715584;mso-width-relative:page;mso-height-relative:page;" fillcolor="#FFFFFF [3201]" filled="t" stroked="t" coordsize="21600,21600" o:gfxdata="UEsFBgAAAAAAAAAAAAAAAAAAAAAAAFBLAwQKAAAAAACHTuJAAAAAAAAAAAAAAAAABAAAAGRycy9Q&#10;SwMEFAAAAAgAh07iQFilj2XXAAAACQEAAA8AAABkcnMvZG93bnJldi54bWxNj8FOwzAQRO9I/IO1&#10;SFwQdRoqJ4Q4PSCB4EYLgqubbJMIex1sNy1/z3KC486MZufV65OzYsYQR08alosMBFLru5F6DW+v&#10;D9cliJgMdcZ6Qg3fGGHdnJ/Vpur8kTY4b1MvuIRiZTQMKU2VlLEd0Jm48BMSe3sfnEl8hl52wRy5&#10;3FmZZ5mSzozEHwYz4f2A7ef24DSUq6f5Iz7fvLy3am9v01UxP34FrS8vltkdiISn9BeG3/k8HRre&#10;tPMH6qKwGlZlziyJDcUIHFCqYGHH7UUOsqnlf4LmB1BLAwQUAAAACACHTuJAwW8NgUwCAACNBAAA&#10;DgAAAGRycy9lMm9Eb2MueG1srVTBjtMwEL0j8Q+W7zRt1VK2aroqXRUhVexKBXF2HbuNcGxju02W&#10;D4A/4MSFO9/V7+DZTbtdlhMiB2fGM3kz82Ymk+umUmQvnC+Nzmmv06VEaG6KUm9y+uH94sUrSnxg&#10;umDKaJHTe+Hp9fT5s0ltx6JvtkYVwhGAaD+ubU63Idhxlnm+FRXzHWOFhlEaV7EA1W2ywrEa6JXK&#10;+t3uy6w2rrDOcOE9bm+ORjpN+FIKHm6l9CIQlVPkFtLp0rmOZzadsPHGMbsteZsG+4csKlZqBD1D&#10;3bDAyM6VT6CqkjvjjQwdbqrMSFlykWpANb3uH9WstsyKVAvI8fZMk/9/sPzd/s6RskDvRmiVZhWa&#10;dPj+7fDj1+HnVxIvQVFt/RieKwvf0Lw2TU6D24mTyeM+Ft9IV8U3yiJwAd/3Z45FEwjHZa83GoyG&#10;MHHYBoNRd5CakD18bZ0Pb4SpSBRy6tDDRC3bL31AMnA9ucRg3qiyWJRKJcVt1nPlyJ6h34v0xCTx&#10;ySM3pUmd06thf5iQH9ki9hlirRj/9BQBeErHeCKNWJtXZOlIRZRCs25a6tamuAdzzhzHz1u+KBFl&#10;yXy4Yw7zBjqwQ+EWh1QGqZlWomRr3Je/3Ud/jAGslNSY35z6zzvmBCXqrcaAXPUGYJaEpAyGoz4U&#10;d2lZX1r0rpobUNbDtlqexOgf1EmUzlQfsWqzGFUy5RGIaY74GIWTOA/QWiNWlovZ7Kxj3C0LS72y&#10;vB2eyJ82s10wskx9jawdqULHooKZT71r9zMu1aWevB7+It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WKWPZdcAAAAJAQAADwAAAAAAAAABACAAAAA4AAAAZHJzL2Rvd25yZXYueG1sUEsBAhQAFAAA&#10;AAgAh07iQMFvDYFMAgAAjQQAAA4AAAAAAAAAAQAgAAAAPAEAAGRycy9lMm9Eb2MueG1sUEsFBgAA&#10;AAAGAAYAWQEAAPoFAAAAAA==&#10;">
                <v:fill on="t" focussize="0,0"/>
                <v:stroke color="#000000 [3204]" joinstyle="round"/>
                <v:imagedata o:title=""/>
                <o:lock v:ext="edit" aspectratio="f"/>
                <v:textbo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v:textbox>
              </v:shape>
            </w:pict>
          </mc:Fallback>
        </mc:AlternateContent>
      </w: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273050</wp:posOffset>
                </wp:positionH>
                <wp:positionV relativeFrom="paragraph">
                  <wp:posOffset>36830</wp:posOffset>
                </wp:positionV>
                <wp:extent cx="2590800" cy="0"/>
                <wp:effectExtent l="0" t="0" r="0" b="0"/>
                <wp:wrapNone/>
                <wp:docPr id="179" name="直接连接符 179"/>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2.9pt;height:0pt;width:204pt;z-index:251698176;mso-width-relative:page;mso-height-relative:page;" filled="f" stroked="t" coordsize="21600,21600" o:gfxdata="UEsFBgAAAAAAAAAAAAAAAAAAAAAAAFBLAwQKAAAAAACHTuJAAAAAAAAAAAAAAAAABAAAAGRycy9Q&#10;SwMEFAAAAAgAh07iQFsoWZXTAAAABgEAAA8AAABkcnMvZG93bnJldi54bWxNj8tOwzAQRfdI/IM1&#10;SGwqaqcvoRCnCyA7NhRQt9N4SCLicRq7D/h6BjawPLqjO+cW67Pv1ZHG2AW2kE0NKOI6uI4bC68v&#10;1c0tqJiQHfaBycInRViXlxcF5i6c+JmOm9QoKeGYo4U2pSHXOtYteYzTMBBL9h5Gj0lwbLQb8STl&#10;vtczY1baY8fyocWB7luqPzYHbyFWb7Svvib1xGznTaDZ/uHpEa29vsrMHahE5/R3DD/6og6lOO3C&#10;gV1UvYXFXKYkC0sZIPFimQnvflmXhf6vX34DUEsDBBQAAAAIAIdO4kDFG6wk1wEAAIkDAAAOAAAA&#10;ZHJzL2Uyb0RvYy54bWytU0tu2zAQ3RfoHQjua8kG3MaC5SxiJJt+DLQ5wJiiJAL8gcNY9iV6gQLd&#10;tasuu+9tmhwjQ8p2+tkV1YKfNzOPM29Gy8u90WwnAypnaz6dlJxJK1yjbFfz2w/XLy44wwi2Ae2s&#10;rPlBIr9cPX+2HHwlZ653upGBEYnFavA172P0VVGg6KUBnDgvLRlbFwxEuoauaAIMxG50MSvLl8Xg&#10;QuODExKR0PVo5KvM37ZSxHdtizIyXXPKLeY15HWb1mK1hKoL4HsljmnAP2RhQFl69Ey1hgjsLqi/&#10;qIwSwaFr40Q4U7i2VULmGqiaaflHNe978DLXQuKgP8uE/49WvN1tAlMN9e7VgjMLhpp0/+n7z49f&#10;Hn58pvX+21eWTCTU4LEi/yu7Cccb+k1IVe/bYNJO9bB9FvdwFlfuIxMEzuaL8qKkHoiTrXgK9AHj&#10;jXSGpUPNtbKpbqhg9xojPUauJ5cEW3ettM6905YNNV/MZ3NiBpqgVkOko/FUE9qOM9AdjaaIITOi&#10;06pJ0YkHQ7e90oHtII1H/kanHho5oos5weOYIMQ3rhnhaXnCKbUjTU7zN/6U8xqwH2OyKVFRiLa0&#10;JUFHCdNp65pDVjbj1O/seJzNNFC/3nP00x+0e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bKFmV&#10;0wAAAAYBAAAPAAAAAAAAAAEAIAAAADgAAABkcnMvZG93bnJldi54bWxQSwECFAAUAAAACACHTuJA&#10;xRusJNcBAACJAwAADgAAAAAAAAABACAAAAA4AQAAZHJzL2Uyb0RvYy54bWxQSwUGAAAAAAYABgBZ&#10;AQAAgQUAAAAA&#10;">
                <v:fill on="f" focussize="0,0"/>
                <v:stroke color="#000000 [3200]" joinstyle="round"/>
                <v:imagedata o:title=""/>
                <o:lock v:ext="edit" aspectratio="f"/>
              </v:line>
            </w:pict>
          </mc:Fallback>
        </mc:AlternateContent>
      </w:r>
    </w:p>
    <w:p>
      <w:pPr>
        <w:tabs>
          <w:tab w:val="left" w:pos="4957"/>
        </w:tabs>
        <w:jc w:val="left"/>
        <w:rPr>
          <w:highlight w:val="none"/>
        </w:rPr>
      </w:pPr>
    </w:p>
    <w:p>
      <w:pPr>
        <w:tabs>
          <w:tab w:val="left" w:pos="4957"/>
        </w:tabs>
        <w:jc w:val="left"/>
        <w:rPr>
          <w:highlight w:val="none"/>
        </w:rPr>
      </w:pPr>
    </w:p>
    <w:p>
      <w:pPr>
        <w:rPr>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column">
                  <wp:posOffset>118110</wp:posOffset>
                </wp:positionH>
                <wp:positionV relativeFrom="paragraph">
                  <wp:posOffset>166370</wp:posOffset>
                </wp:positionV>
                <wp:extent cx="4445000" cy="12700"/>
                <wp:effectExtent l="0" t="4445" r="12700" b="11430"/>
                <wp:wrapNone/>
                <wp:docPr id="180" name="直接连接符 180"/>
                <wp:cNvGraphicFramePr/>
                <a:graphic xmlns:a="http://schemas.openxmlformats.org/drawingml/2006/main">
                  <a:graphicData uri="http://schemas.microsoft.com/office/word/2010/wordprocessingShape">
                    <wps:wsp>
                      <wps:cNvCnPr/>
                      <wps:spPr>
                        <a:xfrm flipV="true">
                          <a:off x="0" y="0"/>
                          <a:ext cx="4445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3pt;margin-top:13.1pt;height:1pt;width:350pt;z-index:251702272;mso-width-relative:page;mso-height-relative:page;" filled="f" stroked="t" coordsize="21600,21600" o:gfxdata="UEsFBgAAAAAAAAAAAAAAAAAAAAAAAFBLAwQKAAAAAACHTuJAAAAAAAAAAAAAAAAABAAAAGRycy9Q&#10;SwMEFAAAAAgAh07iQKnXVizTAAAACAEAAA8AAABkcnMvZG93bnJldi54bWxNj01LxDAQhu+C/yGM&#10;4M1NtkKt3aaLiHoRBNe657QZ22IyKU22u/57Ry96fD9455lqe/JOLDjHMZCG9UqBQOqCHanX0Lw9&#10;XhUgYjJkjQuEGr4wwrY+P6tMacORXnHZpV7wCMXSaBhSmkopYzegN3EVJiTOPsLsTWI599LO5sjj&#10;3slMqVx6MxJfGMyE9wN2n7uD13C3f364fllaH5y97Zt36xv1lGl9ebFWGxAJT+mvDD/4jA41M7Xh&#10;QDYKx7rIuakhyzMQnN/8Gi0bRQayruT/B+pvUEsDBBQAAAAIAIdO4kCGmnan4QEAAJoDAAAOAAAA&#10;ZHJzL2Uyb0RvYy54bWytU7mO2zAQ7QPkHwj2sWTDTnYFy1ussWlyGMjRj3lIBHiB5Fr2T+QHAqRL&#10;qpTp8zfZfEaGlNa5uiAqBsM5Huc9jtZXR6PJQYSonG3pfFZTIixzXNmupW9e3zy6oCQmsBy0s6Kl&#10;JxHp1ebhg/XgG7FwvdNcBIIgNjaDb2mfkm+qKrJeGIgz54XFpHTBQMJj6CoeYEB0o6tFXT+uBhe4&#10;D46JGDG6HZN0U/ClFCy9lDKKRHRLcbZUbCh2n221WUPTBfC9YtMY8A9TGFAWLz1DbSEBuQ3qLyij&#10;WHDRyTRjzlROSsVE4YBs5vUfbF714EXhguJEf5Yp/j9Y9uKwC0RxfLsL1MeCwUe6e//l27uP379+&#10;QHv3+RPJKRRq8LHB+mu7C9Mp+l3IrI8yGCK18m9bmsJtnhkaJEeORenTWWlxTIRhcLlcruoaL2SY&#10;my+eoIuQ1YiUm32I6alwhmSnpVrZERQOz2IaS+9Lcrl1N0prjEOjLRlaerlarBAdcKWkhoSu8Ugy&#10;2o4S0B3uKkuhjBmdVjx35+YYuv21DuQAeV/KNxb1wMUYvSyDl6sipOeOj+F5fR9HFhNMYfQbfp55&#10;C7Efe0pqIq4tVmeFR02zt3f8VKQucVyAgjcta96wX8+l++cvt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ddWLNMAAAAIAQAADwAAAAAAAAABACAAAAA4AAAAZHJzL2Rvd25yZXYueG1sUEsBAhQA&#10;FAAAAAgAh07iQIaadqfhAQAAmgMAAA4AAAAAAAAAAQAgAAAAOAEAAGRycy9lMm9Eb2MueG1sUEsF&#10;BgAAAAAGAAYAWQEAAIsFAAAAAA==&#10;">
                <v:fill on="f" focussize="0,0"/>
                <v:stroke color="#000000 [3200]" joinstyle="round"/>
                <v:imagedata o:title=""/>
                <o:lock v:ext="edit" aspectratio="f"/>
              </v:line>
            </w:pict>
          </mc:Fallback>
        </mc:AlternateContent>
      </w:r>
    </w:p>
    <w:p>
      <w:pPr>
        <w:rPr>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附15</w:t>
      </w:r>
    </w:p>
    <w:p>
      <w:pPr>
        <w:adjustRightInd w:val="0"/>
        <w:snapToGrid w:val="0"/>
        <w:spacing w:line="500" w:lineRule="exact"/>
        <w:jc w:val="center"/>
        <w:outlineLvl w:val="0"/>
        <w:rPr>
          <w:rFonts w:ascii="黑体" w:hAnsi="黑体" w:eastAsia="黑体"/>
          <w:bCs/>
          <w:color w:val="000000"/>
          <w:sz w:val="28"/>
          <w:szCs w:val="28"/>
          <w:highlight w:val="none"/>
        </w:rPr>
      </w:pPr>
      <w:r>
        <w:rPr>
          <w:rFonts w:hint="eastAsia" w:ascii="黑体" w:hAnsi="黑体" w:eastAsia="黑体"/>
          <w:bCs/>
          <w:color w:val="000000"/>
          <w:sz w:val="28"/>
          <w:szCs w:val="28"/>
          <w:highlight w:val="none"/>
        </w:rPr>
        <w:t>国产特殊化妆品注册证示例</w:t>
      </w:r>
    </w:p>
    <w:p>
      <w:pPr>
        <w:snapToGrid w:val="0"/>
        <w:spacing w:before="156" w:beforeLines="50" w:line="480" w:lineRule="exact"/>
        <w:jc w:val="center"/>
        <w:rPr>
          <w:rFonts w:ascii="Times New Roman" w:hAnsi="Times New Roman" w:eastAsia="仿宋" w:cs="黑体"/>
          <w:b/>
          <w:bCs/>
          <w:color w:val="000000" w:themeColor="text1"/>
          <w:sz w:val="28"/>
          <w:szCs w:val="28"/>
          <w:highlight w:val="none"/>
          <w14:textFill>
            <w14:solidFill>
              <w14:schemeClr w14:val="tx1"/>
            </w14:solidFill>
          </w14:textFill>
        </w:rPr>
      </w:pPr>
      <w:r>
        <w:rPr>
          <w:rFonts w:hint="eastAsia" w:ascii="Times New Roman" w:hAnsi="Times New Roman" w:eastAsia="仿宋" w:cs="黑体"/>
          <w:b/>
          <w:bCs/>
          <w:color w:val="000000" w:themeColor="text1"/>
          <w:sz w:val="28"/>
          <w:szCs w:val="28"/>
          <w:highlight w:val="none"/>
          <w14:textFill>
            <w14:solidFill>
              <w14:schemeClr w14:val="tx1"/>
            </w14:solidFill>
          </w14:textFill>
        </w:rPr>
        <w:t>国家药品监督管理局</w:t>
      </w:r>
    </w:p>
    <w:p>
      <w:pPr>
        <w:snapToGrid w:val="0"/>
        <w:spacing w:line="480" w:lineRule="exact"/>
        <w:jc w:val="center"/>
        <w:rPr>
          <w:rFonts w:ascii="Times New Roman" w:hAnsi="Times New Roman" w:eastAsia="黑体" w:cs="黑体"/>
          <w:b/>
          <w:bCs/>
          <w:color w:val="000000" w:themeColor="text1"/>
          <w:sz w:val="28"/>
          <w:szCs w:val="28"/>
          <w:highlight w:val="none"/>
          <w14:textFill>
            <w14:solidFill>
              <w14:schemeClr w14:val="tx1"/>
            </w14:solidFill>
          </w14:textFill>
        </w:rPr>
      </w:pPr>
      <w:r>
        <w:rPr>
          <w:rFonts w:hint="eastAsia" w:ascii="Times New Roman" w:hAnsi="Times New Roman" w:eastAsia="黑体" w:cs="黑体"/>
          <w:b/>
          <w:bCs/>
          <w:color w:val="000000" w:themeColor="text1"/>
          <w:sz w:val="28"/>
          <w:szCs w:val="28"/>
          <w:highlight w:val="none"/>
          <w14:textFill>
            <w14:solidFill>
              <w14:schemeClr w14:val="tx1"/>
            </w14:solidFill>
          </w14:textFill>
        </w:rPr>
        <w:t>特殊化妆品注册证</w:t>
      </w:r>
    </w:p>
    <w:tbl>
      <w:tblPr>
        <w:tblStyle w:val="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437"/>
        <w:gridCol w:w="2411"/>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产品名称</w:t>
            </w:r>
          </w:p>
        </w:tc>
        <w:tc>
          <w:tcPr>
            <w:tcW w:w="69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XX防晒霜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产品类别</w:t>
            </w:r>
          </w:p>
        </w:tc>
        <w:tc>
          <w:tcPr>
            <w:tcW w:w="69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防晒类（</w:t>
            </w:r>
            <w:r>
              <w:rPr>
                <w:rFonts w:ascii="Times New Roman" w:hAnsi="Times New Roman" w:eastAsia="仿宋"/>
                <w:b/>
                <w:color w:val="000000" w:themeColor="text1"/>
                <w:sz w:val="28"/>
                <w:szCs w:val="28"/>
                <w:highlight w:val="none"/>
                <w14:textFill>
                  <w14:solidFill>
                    <w14:schemeClr w14:val="tx1"/>
                  </w14:solidFill>
                </w14:textFill>
              </w:rPr>
              <w:t>SPF XX</w:t>
            </w:r>
            <w:r>
              <w:rPr>
                <w:rFonts w:hint="eastAsia" w:ascii="Times New Roman" w:hAnsi="Times New Roman" w:eastAsia="仿宋"/>
                <w:b/>
                <w:color w:val="000000" w:themeColor="text1"/>
                <w:sz w:val="28"/>
                <w:szCs w:val="28"/>
                <w:highlight w:val="none"/>
                <w14:textFill>
                  <w14:solidFill>
                    <w14:schemeClr w14:val="tx1"/>
                  </w14:solidFill>
                </w14:textFill>
              </w:rPr>
              <w:t>，</w:t>
            </w:r>
            <w:r>
              <w:rPr>
                <w:rFonts w:ascii="Times New Roman" w:hAnsi="Times New Roman" w:eastAsia="仿宋"/>
                <w:b/>
                <w:color w:val="000000" w:themeColor="text1"/>
                <w:sz w:val="28"/>
                <w:szCs w:val="28"/>
                <w:highlight w:val="none"/>
                <w14:textFill>
                  <w14:solidFill>
                    <w14:schemeClr w14:val="tx1"/>
                  </w14:solidFill>
                </w14:textFill>
              </w:rPr>
              <w:t xml:space="preserve"> PA XX</w:t>
            </w:r>
            <w:r>
              <w:rPr>
                <w:rFonts w:hint="eastAsia" w:ascii="Times New Roman" w:hAnsi="Times New Roman" w:eastAsia="仿宋"/>
                <w:b/>
                <w:color w:val="000000" w:themeColor="text1"/>
                <w:sz w:val="28"/>
                <w:szCs w:val="28"/>
                <w:highlight w:val="none"/>
                <w14:textFill>
                  <w14:solidFill>
                    <w14:schemeClr w14:val="tx1"/>
                  </w14:solidFill>
                </w14:textFill>
              </w:rPr>
              <w:t>，浴后</w:t>
            </w:r>
            <w:r>
              <w:rPr>
                <w:rFonts w:ascii="Times New Roman" w:hAnsi="Times New Roman" w:eastAsia="仿宋"/>
                <w:b/>
                <w:color w:val="000000" w:themeColor="text1"/>
                <w:sz w:val="28"/>
                <w:szCs w:val="28"/>
                <w:highlight w:val="none"/>
                <w14:textFill>
                  <w14:solidFill>
                    <w14:schemeClr w14:val="tx1"/>
                  </w14:solidFill>
                </w14:textFill>
              </w:rPr>
              <w:t>SPF XX</w:t>
            </w: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58" w:type="dxa"/>
            <w:tcBorders>
              <w:top w:val="single" w:color="auto" w:sz="4" w:space="0"/>
              <w:left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注册人</w:t>
            </w:r>
          </w:p>
        </w:tc>
        <w:tc>
          <w:tcPr>
            <w:tcW w:w="69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XX化妆品公司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958" w:type="dxa"/>
            <w:tcBorders>
              <w:top w:val="single" w:color="auto" w:sz="4" w:space="0"/>
              <w:left w:val="single" w:color="auto" w:sz="4" w:space="0"/>
              <w:right w:val="single" w:color="auto" w:sz="4" w:space="0"/>
            </w:tcBorders>
            <w:vAlign w:val="center"/>
          </w:tcPr>
          <w:p>
            <w:pPr>
              <w:jc w:val="distribute"/>
              <w:rPr>
                <w:rFonts w:ascii="Times New Roman" w:hAnsi="Times New Roman" w:eastAsia="仿宋"/>
                <w:b/>
                <w:color w:val="000000" w:themeColor="text1"/>
                <w:spacing w:val="-26"/>
                <w:kern w:val="0"/>
                <w:sz w:val="28"/>
                <w:szCs w:val="28"/>
                <w:highlight w:val="none"/>
                <w14:textFill>
                  <w14:solidFill>
                    <w14:schemeClr w14:val="tx1"/>
                  </w14:solidFill>
                </w14:textFill>
              </w:rPr>
            </w:pPr>
            <w:r>
              <w:rPr>
                <w:rFonts w:hint="eastAsia" w:ascii="Times New Roman" w:hAnsi="Times New Roman" w:eastAsia="仿宋"/>
                <w:b/>
                <w:color w:val="000000" w:themeColor="text1"/>
                <w:spacing w:val="-26"/>
                <w:kern w:val="0"/>
                <w:sz w:val="28"/>
                <w:szCs w:val="28"/>
                <w:highlight w:val="none"/>
                <w14:textFill>
                  <w14:solidFill>
                    <w14:schemeClr w14:val="tx1"/>
                  </w14:solidFill>
                </w14:textFill>
              </w:rPr>
              <w:t>生产信息</w:t>
            </w:r>
          </w:p>
        </w:tc>
        <w:tc>
          <w:tcPr>
            <w:tcW w:w="6952" w:type="dxa"/>
            <w:gridSpan w:val="3"/>
            <w:tcBorders>
              <w:top w:val="single" w:color="auto" w:sz="4" w:space="0"/>
              <w:left w:val="single" w:color="auto" w:sz="4" w:space="0"/>
              <w:right w:val="single" w:color="auto" w:sz="4" w:space="0"/>
            </w:tcBorders>
          </w:tcPr>
          <w:p>
            <w:pPr>
              <w:jc w:val="left"/>
              <w:rPr>
                <w:rFonts w:ascii="Times New Roman" w:hAnsi="Times New Roman" w:eastAsia="仿宋"/>
                <w:color w:val="000000" w:themeColor="text1"/>
                <w:sz w:val="28"/>
                <w:szCs w:val="28"/>
                <w:highlight w:val="none"/>
                <w14:textFill>
                  <w14:solidFill>
                    <w14:schemeClr w14:val="tx1"/>
                  </w14:solidFill>
                </w14:textFill>
              </w:rPr>
            </w:pPr>
          </w:p>
          <w:p>
            <w:pPr>
              <w:jc w:val="left"/>
              <w:rPr>
                <w:rFonts w:ascii="Times New Roman" w:hAnsi="Times New Roman" w:eastAsia="仿宋"/>
                <w:color w:val="000000" w:themeColor="text1"/>
                <w:sz w:val="28"/>
                <w:szCs w:val="28"/>
                <w:highlight w:val="none"/>
                <w14:textFill>
                  <w14:solidFill>
                    <w14:schemeClr w14:val="tx1"/>
                  </w14:solidFill>
                </w14:textFill>
              </w:rPr>
            </w:pPr>
          </w:p>
          <w:p>
            <w:pPr>
              <w:jc w:val="left"/>
              <w:rPr>
                <w:rFonts w:ascii="Times New Roman" w:hAnsi="Times New Roman" w:eastAsia="仿宋"/>
                <w:color w:val="000000" w:themeColor="text1"/>
                <w:sz w:val="28"/>
                <w:szCs w:val="28"/>
                <w:highlight w:val="none"/>
                <w14:textFill>
                  <w14:solidFill>
                    <w14:schemeClr w14:val="tx1"/>
                  </w14:solidFill>
                </w14:textFill>
              </w:rPr>
            </w:pPr>
          </w:p>
          <w:p>
            <w:pPr>
              <w:jc w:val="left"/>
              <w:rPr>
                <w:rFonts w:ascii="Times New Roman" w:hAnsi="Times New Roman" w:eastAsia="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审批结论</w:t>
            </w:r>
          </w:p>
        </w:tc>
        <w:tc>
          <w:tcPr>
            <w:tcW w:w="69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b/>
                <w:bCs/>
                <w:color w:val="000000" w:themeColor="text1"/>
                <w:sz w:val="28"/>
                <w:szCs w:val="28"/>
                <w:highlight w:val="none"/>
                <w14:textFill>
                  <w14:solidFill>
                    <w14:schemeClr w14:val="tx1"/>
                  </w14:solidFill>
                </w14:textFill>
              </w:rPr>
              <w:t>经审核，该产品符合《化妆品监督管理条例》的有关规定，现予批准。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注册证号</w:t>
            </w:r>
          </w:p>
        </w:tc>
        <w:tc>
          <w:tcPr>
            <w:tcW w:w="6952"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国妆特字G20XXXXXX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批准日期</w:t>
            </w:r>
          </w:p>
        </w:tc>
        <w:tc>
          <w:tcPr>
            <w:tcW w:w="243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XX日</w:t>
            </w:r>
          </w:p>
        </w:tc>
        <w:tc>
          <w:tcPr>
            <w:tcW w:w="241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7"/>
                <w:kern w:val="0"/>
                <w:sz w:val="28"/>
                <w:szCs w:val="28"/>
                <w:highlight w:val="none"/>
                <w:fitText w:val="2170" w:id="480773844"/>
                <w14:textFill>
                  <w14:solidFill>
                    <w14:schemeClr w14:val="tx1"/>
                  </w14:solidFill>
                </w14:textFill>
              </w:rPr>
              <w:t>注册证有效期</w:t>
            </w:r>
            <w:r>
              <w:rPr>
                <w:rFonts w:hint="eastAsia" w:ascii="Times New Roman" w:hAnsi="Times New Roman" w:eastAsia="仿宋"/>
                <w:b/>
                <w:color w:val="000000" w:themeColor="text1"/>
                <w:spacing w:val="3"/>
                <w:kern w:val="0"/>
                <w:sz w:val="28"/>
                <w:szCs w:val="28"/>
                <w:highlight w:val="none"/>
                <w:fitText w:val="2170" w:id="480773844"/>
                <w14:textFill>
                  <w14:solidFill>
                    <w14:schemeClr w14:val="tx1"/>
                  </w14:solidFill>
                </w14:textFill>
              </w:rPr>
              <w:t>至</w:t>
            </w: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XX月XX</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备注</w:t>
            </w:r>
          </w:p>
        </w:tc>
        <w:tc>
          <w:tcPr>
            <w:tcW w:w="6952"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p>
        </w:tc>
      </w:tr>
    </w:tbl>
    <w:p>
      <w:pPr>
        <w:spacing w:line="580" w:lineRule="exact"/>
        <w:ind w:right="320"/>
        <w:jc w:val="right"/>
        <w:rPr>
          <w:rFonts w:ascii="Times New Roman" w:hAnsi="Times New Roman" w:eastAsia="仿宋"/>
          <w:color w:val="000000" w:themeColor="text1"/>
          <w:sz w:val="28"/>
          <w:szCs w:val="28"/>
          <w:highlight w:val="none"/>
          <w14:textFill>
            <w14:solidFill>
              <w14:schemeClr w14:val="tx1"/>
            </w14:solidFill>
          </w14:textFill>
        </w:rPr>
        <w:sectPr>
          <w:footerReference r:id="rId9"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olor w:val="000000" w:themeColor="text1"/>
          <w:sz w:val="28"/>
          <w:szCs w:val="28"/>
          <w:highlight w:val="none"/>
          <w14:textFill>
            <w14:solidFill>
              <w14:schemeClr w14:val="tx1"/>
            </w14:solidFill>
          </w14:textFill>
        </w:rPr>
        <w:t>国家药品监督管理局</w:t>
      </w:r>
    </w:p>
    <w:p>
      <w:pPr>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 xml:space="preserve">附16 </w:t>
      </w:r>
    </w:p>
    <w:p>
      <w:pPr>
        <w:spacing w:line="460" w:lineRule="exact"/>
        <w:jc w:val="center"/>
        <w:rPr>
          <w:rFonts w:hint="eastAsia" w:ascii="Times New Roman" w:hAnsi="Times New Roman" w:eastAsia="仿宋" w:cs="Times New Roman"/>
          <w:b/>
          <w:color w:val="000000"/>
          <w:sz w:val="32"/>
          <w:szCs w:val="32"/>
        </w:rPr>
      </w:pPr>
    </w:p>
    <w:p>
      <w:pPr>
        <w:spacing w:line="460" w:lineRule="exact"/>
        <w:jc w:val="center"/>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国家药品监督管理局</w:t>
      </w:r>
    </w:p>
    <w:p>
      <w:pPr>
        <w:snapToGrid w:val="0"/>
        <w:spacing w:line="480" w:lineRule="exact"/>
        <w:jc w:val="center"/>
        <w:rPr>
          <w:rFonts w:ascii="Times New Roman" w:hAnsi="Times New Roman" w:eastAsia="黑体" w:cs="黑体"/>
          <w:b/>
          <w:bCs/>
          <w:color w:val="000000"/>
          <w:sz w:val="32"/>
          <w:szCs w:val="32"/>
        </w:rPr>
      </w:pPr>
      <w:r>
        <w:rPr>
          <w:rFonts w:hint="eastAsia" w:ascii="Times New Roman" w:hAnsi="Times New Roman" w:eastAsia="黑体" w:cs="黑体"/>
          <w:b/>
          <w:bCs/>
          <w:color w:val="000000"/>
          <w:sz w:val="32"/>
          <w:szCs w:val="32"/>
        </w:rPr>
        <w:t>特殊化妆品不予行政许可决定书</w:t>
      </w:r>
    </w:p>
    <w:p>
      <w:pPr>
        <w:jc w:val="center"/>
        <w:rPr>
          <w:rFonts w:ascii="Times New Roman" w:hAnsi="Times New Roman" w:eastAsia="宋体" w:cs="Times New Roman"/>
          <w:color w:val="000000"/>
          <w:sz w:val="21"/>
          <w:szCs w:val="22"/>
        </w:rPr>
      </w:pPr>
    </w:p>
    <w:p>
      <w:pPr>
        <w:ind w:right="80"/>
        <w:jc w:val="righ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国妆未准字</w:t>
      </w:r>
      <w:r>
        <w:rPr>
          <w:rFonts w:ascii="Times New Roman" w:hAnsi="Times New Roman" w:eastAsia="宋体" w:cs="Times New Roman"/>
          <w:color w:val="000000"/>
          <w:sz w:val="24"/>
          <w:szCs w:val="24"/>
        </w:rPr>
        <w:t>XXXXXXXX</w:t>
      </w:r>
    </w:p>
    <w:p>
      <w:pPr>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u w:val="single"/>
        </w:rPr>
        <w:t>XXXXXXXX公司</w:t>
      </w:r>
      <w:r>
        <w:rPr>
          <w:rFonts w:hint="eastAsia" w:ascii="Times New Roman" w:hAnsi="Times New Roman" w:eastAsia="仿宋" w:cs="Times New Roman"/>
          <w:color w:val="000000"/>
          <w:sz w:val="32"/>
          <w:szCs w:val="32"/>
          <w:u w:val="single"/>
        </w:rPr>
        <w:t>：</w:t>
      </w:r>
    </w:p>
    <w:p>
      <w:pPr>
        <w:spacing w:line="360" w:lineRule="auto"/>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kern w:val="0"/>
          <w:sz w:val="32"/>
          <w:szCs w:val="32"/>
          <w:lang w:bidi="ar"/>
        </w:rPr>
        <w:t>你（单位）提出的关于</w:t>
      </w:r>
      <w:r>
        <w:rPr>
          <w:rFonts w:hint="eastAsia" w:ascii="Times New Roman" w:hAnsi="Times New Roman" w:eastAsia="仿宋" w:cs="Times New Roman"/>
          <w:color w:val="000000"/>
          <w:sz w:val="32"/>
          <w:szCs w:val="32"/>
          <w:u w:val="single"/>
        </w:rPr>
        <w:t>（</w:t>
      </w:r>
      <w:r>
        <w:rPr>
          <w:rFonts w:hint="default" w:ascii="Times New Roman" w:hAnsi="Times New Roman" w:eastAsia="仿宋" w:cs="Times New Roman"/>
          <w:color w:val="000000"/>
          <w:sz w:val="32"/>
          <w:szCs w:val="32"/>
          <w:u w:val="single"/>
          <w:lang w:eastAsia="zh-Hans"/>
        </w:rPr>
        <w:t xml:space="preserve">             </w:t>
      </w:r>
      <w:r>
        <w:rPr>
          <w:rFonts w:hint="eastAsia" w:ascii="Times New Roman" w:hAnsi="Times New Roman" w:eastAsia="仿宋" w:cs="Times New Roman"/>
          <w:color w:val="000000"/>
          <w:sz w:val="32"/>
          <w:szCs w:val="32"/>
          <w:u w:val="single"/>
        </w:rPr>
        <w:t>）</w:t>
      </w:r>
      <w:r>
        <w:rPr>
          <w:rFonts w:hint="eastAsia" w:ascii="Times New Roman" w:hAnsi="Times New Roman" w:eastAsia="仿宋" w:cs="Times New Roman"/>
          <w:color w:val="000000"/>
          <w:kern w:val="0"/>
          <w:sz w:val="32"/>
          <w:szCs w:val="32"/>
          <w:lang w:bidi="ar"/>
        </w:rPr>
        <w:t>行政许可申请，本机关已于</w:t>
      </w:r>
      <w:r>
        <w:rPr>
          <w:rFonts w:ascii="Times New Roman" w:hAnsi="Times New Roman" w:eastAsia="仿宋" w:cs="Times New Roman"/>
          <w:color w:val="000000"/>
          <w:sz w:val="32"/>
          <w:szCs w:val="32"/>
          <w:u w:val="single"/>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日受理</w:t>
      </w:r>
      <w:r>
        <w:rPr>
          <w:rFonts w:hint="default" w:ascii="Times New Roman" w:hAnsi="Times New Roman" w:eastAsia="仿宋" w:cs="Times New Roman"/>
          <w:color w:val="000000"/>
          <w:kern w:val="0"/>
          <w:sz w:val="32"/>
          <w:szCs w:val="32"/>
          <w:lang w:bidi="ar"/>
        </w:rPr>
        <w:t>。</w:t>
      </w:r>
      <w:r>
        <w:rPr>
          <w:rFonts w:hint="eastAsia" w:ascii="Times New Roman" w:hAnsi="Times New Roman" w:eastAsia="仿宋" w:cs="Times New Roman"/>
          <w:color w:val="000000"/>
          <w:kern w:val="0"/>
          <w:sz w:val="32"/>
          <w:szCs w:val="32"/>
          <w:lang w:val="en-US" w:eastAsia="zh-Hans" w:bidi="ar"/>
        </w:rPr>
        <w:t>经审查</w:t>
      </w:r>
      <w:r>
        <w:rPr>
          <w:rFonts w:hint="eastAsia" w:ascii="Times New Roman" w:hAnsi="Times New Roman" w:eastAsia="仿宋" w:cs="Times New Roman"/>
          <w:color w:val="000000"/>
          <w:kern w:val="0"/>
          <w:sz w:val="32"/>
          <w:szCs w:val="32"/>
          <w:lang w:bidi="ar"/>
        </w:rPr>
        <w:t>，该项申请不符合</w:t>
      </w:r>
      <w:r>
        <w:rPr>
          <w:rFonts w:hint="default" w:ascii="Times New Roman" w:hAnsi="Times New Roman" w:eastAsia="仿宋" w:cs="Times New Roman"/>
          <w:color w:val="000000"/>
          <w:kern w:val="0"/>
          <w:sz w:val="32"/>
          <w:szCs w:val="32"/>
          <w:u w:val="single"/>
          <w:lang w:bidi="ar"/>
        </w:rPr>
        <w:t>（</w:t>
      </w:r>
      <w:r>
        <w:rPr>
          <w:rFonts w:hint="default" w:ascii="Times New Roman" w:hAnsi="Times New Roman" w:eastAsia="仿宋" w:cs="Times New Roman"/>
          <w:color w:val="000000"/>
          <w:kern w:val="0"/>
          <w:sz w:val="32"/>
          <w:szCs w:val="32"/>
          <w:u w:val="single"/>
          <w:lang w:eastAsia="zh-Hans" w:bidi="ar"/>
        </w:rPr>
        <w:t xml:space="preserve">                          </w:t>
      </w:r>
      <w:r>
        <w:rPr>
          <w:rFonts w:hint="default" w:ascii="Times New Roman" w:hAnsi="Times New Roman" w:eastAsia="仿宋" w:cs="Times New Roman"/>
          <w:color w:val="000000"/>
          <w:kern w:val="0"/>
          <w:sz w:val="32"/>
          <w:szCs w:val="32"/>
          <w:u w:val="single"/>
          <w:lang w:bidi="ar"/>
        </w:rPr>
        <w:t xml:space="preserve">） </w:t>
      </w:r>
      <w:r>
        <w:rPr>
          <w:rFonts w:hint="eastAsia" w:ascii="Times New Roman" w:hAnsi="Times New Roman" w:eastAsia="仿宋" w:cs="Times New Roman"/>
          <w:color w:val="000000"/>
          <w:kern w:val="0"/>
          <w:sz w:val="32"/>
          <w:szCs w:val="32"/>
          <w:u w:val="none"/>
          <w:lang w:val="en-US" w:eastAsia="zh-Hans" w:bidi="ar"/>
        </w:rPr>
        <w:t>规定</w:t>
      </w:r>
      <w:r>
        <w:rPr>
          <w:rFonts w:hint="eastAsia" w:ascii="Times New Roman" w:hAnsi="Times New Roman" w:eastAsia="仿宋" w:cs="Times New Roman"/>
          <w:color w:val="000000"/>
          <w:kern w:val="0"/>
          <w:sz w:val="32"/>
          <w:szCs w:val="32"/>
          <w:u w:val="none"/>
          <w:lang w:bidi="ar"/>
        </w:rPr>
        <w:t>，</w:t>
      </w:r>
      <w:r>
        <w:rPr>
          <w:rFonts w:hint="eastAsia" w:ascii="Times New Roman" w:hAnsi="Times New Roman" w:eastAsia="仿宋" w:cs="Times New Roman"/>
          <w:color w:val="000000"/>
          <w:kern w:val="0"/>
          <w:sz w:val="32"/>
          <w:szCs w:val="32"/>
          <w:lang w:bidi="ar"/>
        </w:rPr>
        <w:t>决定不予行政许可。</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理由</w:t>
      </w:r>
      <w:r>
        <w:rPr>
          <w:rFonts w:ascii="Times New Roman" w:hAnsi="Times New Roman" w:eastAsia="仿宋" w:cs="Times New Roman"/>
          <w:color w:val="000000"/>
          <w:sz w:val="32"/>
          <w:szCs w:val="32"/>
        </w:rPr>
        <w:t>:</w:t>
      </w:r>
    </w:p>
    <w:p>
      <w:pPr>
        <w:jc w:val="left"/>
        <w:rPr>
          <w:rFonts w:hint="eastAsia" w:ascii="Times New Roman" w:hAnsi="Times New Roman" w:eastAsia="宋体" w:cs="Times New Roman"/>
          <w:color w:val="000000"/>
          <w:sz w:val="21"/>
          <w:szCs w:val="21"/>
          <w:lang w:val="en-US" w:eastAsia="zh-Hans"/>
        </w:rPr>
      </w:pPr>
    </w:p>
    <w:p>
      <w:pPr>
        <w:jc w:val="left"/>
        <w:rPr>
          <w:rFonts w:hint="eastAsia" w:ascii="Times New Roman" w:hAnsi="Times New Roman" w:eastAsia="宋体" w:cs="Times New Roman"/>
          <w:color w:val="000000"/>
          <w:sz w:val="21"/>
          <w:szCs w:val="21"/>
          <w:lang w:val="en-US" w:eastAsia="zh-Hans"/>
        </w:rPr>
      </w:pPr>
    </w:p>
    <w:p>
      <w:pPr>
        <w:jc w:val="left"/>
        <w:rPr>
          <w:rFonts w:hint="eastAsia" w:ascii="Times New Roman" w:hAnsi="Times New Roman" w:eastAsia="宋体" w:cs="Times New Roman"/>
          <w:color w:val="000000"/>
          <w:sz w:val="21"/>
          <w:szCs w:val="21"/>
          <w:lang w:val="en-US" w:eastAsia="zh-Hans"/>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spacing w:line="360" w:lineRule="auto"/>
        <w:ind w:firstLine="640" w:firstLineChars="200"/>
        <w:jc w:val="left"/>
        <w:rPr>
          <w:rFonts w:ascii="Times New Roman" w:hAnsi="Times New Roman" w:eastAsia="仿宋" w:cs="Times New Roman"/>
          <w:color w:val="000000"/>
          <w:kern w:val="0"/>
          <w:sz w:val="32"/>
          <w:szCs w:val="32"/>
          <w:lang w:bidi="ar"/>
        </w:rPr>
      </w:pPr>
      <w:r>
        <w:rPr>
          <w:rFonts w:hint="eastAsia" w:ascii="仿宋" w:hAnsi="仿宋" w:eastAsia="仿宋" w:cs="Times New Roman"/>
          <w:color w:val="000000"/>
          <w:kern w:val="0"/>
          <w:sz w:val="32"/>
          <w:szCs w:val="32"/>
          <w:lang w:bidi="ar"/>
        </w:rPr>
        <w:t>如不服本决定的，可自收到本决定书之日起60日内</w:t>
      </w:r>
      <w:r>
        <w:rPr>
          <w:rFonts w:hint="eastAsia" w:ascii="仿宋" w:hAnsi="仿宋" w:eastAsia="仿宋" w:cs="Times New Roman"/>
          <w:color w:val="000000"/>
          <w:kern w:val="0"/>
          <w:sz w:val="32"/>
          <w:szCs w:val="32"/>
          <w:lang w:val="en-US" w:eastAsia="zh-CN" w:bidi="ar"/>
        </w:rPr>
        <w:t>向国家药品监督管理局</w:t>
      </w:r>
      <w:r>
        <w:rPr>
          <w:rFonts w:hint="eastAsia" w:ascii="仿宋" w:hAnsi="仿宋" w:eastAsia="仿宋" w:cs="Times New Roman"/>
          <w:color w:val="000000"/>
          <w:kern w:val="0"/>
          <w:sz w:val="32"/>
          <w:szCs w:val="32"/>
          <w:lang w:bidi="ar"/>
        </w:rPr>
        <w:t>申请行政复议，或在</w:t>
      </w:r>
      <w:r>
        <w:rPr>
          <w:rFonts w:hint="eastAsia" w:ascii="仿宋" w:hAnsi="仿宋" w:eastAsia="仿宋" w:cs="Times New Roman"/>
          <w:color w:val="000000"/>
          <w:kern w:val="0"/>
          <w:sz w:val="32"/>
          <w:szCs w:val="32"/>
          <w:lang w:val="en-US" w:eastAsia="zh-CN" w:bidi="ar"/>
        </w:rPr>
        <w:t>6</w:t>
      </w:r>
      <w:r>
        <w:rPr>
          <w:rFonts w:hint="eastAsia" w:ascii="仿宋" w:hAnsi="仿宋" w:eastAsia="仿宋" w:cs="Times New Roman"/>
          <w:color w:val="000000"/>
          <w:kern w:val="0"/>
          <w:sz w:val="32"/>
          <w:szCs w:val="32"/>
          <w:lang w:bidi="ar"/>
        </w:rPr>
        <w:t>个月内向北京市第一中级人民法院提起行政诉讼。</w:t>
      </w:r>
    </w:p>
    <w:p>
      <w:pPr>
        <w:ind w:right="105" w:firstLine="420"/>
        <w:jc w:val="right"/>
        <w:rPr>
          <w:rFonts w:ascii="Times New Roman" w:hAnsi="Times New Roman" w:eastAsia="宋体" w:cs="Times New Roman"/>
          <w:color w:val="000000"/>
          <w:kern w:val="0"/>
          <w:sz w:val="32"/>
          <w:szCs w:val="32"/>
          <w:lang w:bidi="ar"/>
        </w:rPr>
      </w:pPr>
      <w:r>
        <w:rPr>
          <w:rFonts w:ascii="Times New Roman" w:hAnsi="Times New Roman" w:eastAsia="宋体" w:cs="Times New Roman"/>
          <w:color w:val="000000"/>
          <w:kern w:val="0"/>
          <w:sz w:val="32"/>
          <w:szCs w:val="32"/>
          <w:lang w:bidi="ar"/>
        </w:rPr>
        <w:t>xxxx</w:t>
      </w:r>
      <w:r>
        <w:rPr>
          <w:rFonts w:hint="eastAsia" w:ascii="Times New Roman" w:hAnsi="Times New Roman" w:eastAsia="宋体" w:cs="Times New Roman"/>
          <w:color w:val="000000"/>
          <w:kern w:val="0"/>
          <w:sz w:val="32"/>
          <w:szCs w:val="32"/>
          <w:lang w:bidi="ar"/>
        </w:rPr>
        <w:t>年</w:t>
      </w:r>
      <w:r>
        <w:rPr>
          <w:rFonts w:ascii="Times New Roman" w:hAnsi="Times New Roman" w:eastAsia="宋体" w:cs="Times New Roman"/>
          <w:color w:val="000000"/>
          <w:kern w:val="0"/>
          <w:sz w:val="32"/>
          <w:szCs w:val="32"/>
          <w:lang w:bidi="ar"/>
        </w:rPr>
        <w:t>xx</w:t>
      </w:r>
      <w:r>
        <w:rPr>
          <w:rFonts w:hint="eastAsia" w:ascii="Times New Roman" w:hAnsi="Times New Roman" w:eastAsia="宋体" w:cs="Times New Roman"/>
          <w:color w:val="000000"/>
          <w:kern w:val="0"/>
          <w:sz w:val="32"/>
          <w:szCs w:val="32"/>
          <w:lang w:bidi="ar"/>
        </w:rPr>
        <w:t>月</w:t>
      </w:r>
      <w:r>
        <w:rPr>
          <w:rFonts w:ascii="Times New Roman" w:hAnsi="Times New Roman" w:eastAsia="宋体" w:cs="Times New Roman"/>
          <w:color w:val="000000"/>
          <w:kern w:val="0"/>
          <w:sz w:val="32"/>
          <w:szCs w:val="32"/>
          <w:lang w:bidi="ar"/>
        </w:rPr>
        <w:t>xx</w:t>
      </w:r>
      <w:r>
        <w:rPr>
          <w:rFonts w:hint="eastAsia" w:ascii="Times New Roman" w:hAnsi="Times New Roman" w:eastAsia="宋体" w:cs="Times New Roman"/>
          <w:color w:val="000000"/>
          <w:kern w:val="0"/>
          <w:sz w:val="32"/>
          <w:szCs w:val="32"/>
          <w:lang w:bidi="ar"/>
        </w:rPr>
        <w:t>日</w:t>
      </w:r>
    </w:p>
    <w:p>
      <w:pPr>
        <w:ind w:left="5250" w:hanging="5250" w:hangingChars="2500"/>
        <w:rPr>
          <w:rFonts w:ascii="仿宋" w:hAnsi="仿宋" w:eastAsia="仿宋" w:cs="仿宋"/>
          <w:kern w:val="0"/>
          <w:sz w:val="32"/>
          <w:szCs w:val="32"/>
          <w:highlight w:val="none"/>
          <w:lang w:val="zh-CN" w:bidi="zh-CN"/>
        </w:rPr>
      </w:pP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仿宋" w:cs="Times New Roman"/>
          <w:color w:val="000000"/>
          <w:kern w:val="0"/>
          <w:sz w:val="32"/>
          <w:szCs w:val="32"/>
          <w:lang w:bidi="ar"/>
        </w:rPr>
        <w:t xml:space="preserve">                      </w:t>
      </w:r>
      <w:r>
        <w:rPr>
          <w:rFonts w:hint="eastAsia" w:ascii="Times New Roman" w:hAnsi="Times New Roman" w:eastAsia="仿宋" w:cs="Times New Roman"/>
          <w:color w:val="000000"/>
          <w:kern w:val="0"/>
          <w:sz w:val="32"/>
          <w:szCs w:val="32"/>
          <w:lang w:bidi="ar"/>
        </w:rPr>
        <w:t>国家药品监督管理局</w:t>
      </w:r>
    </w:p>
    <w:sectPr>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-419100</wp:posOffset>
              </wp:positionV>
              <wp:extent cx="1069340"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069340" cy="230505"/>
                      </a:xfrm>
                      <a:prstGeom prst="rect">
                        <a:avLst/>
                      </a:prstGeom>
                      <a:noFill/>
                      <a:ln>
                        <a:noFill/>
                      </a:ln>
                    </wps:spPr>
                    <wps:txbx>
                      <w:txbxContent>
                        <w:p>
                          <w:pPr>
                            <w:pStyle w:val="5"/>
                            <w:jc w:val="both"/>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48</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33pt;height:18.15pt;width:8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FBeOVnUAAAACAEAAA8AAABkcnMvZG93bnJldi54bWxNjzFPwzAQhXck/oN1&#10;SGyt0wqlIcTpUImFjYKQ2Nz4GkfY58h20+Tfc51gu7v39O57zX72TkwY0xBIwWZdgEDqghmoV/D5&#10;8bqqQKSsyWgXCBUsmGDf3t81ujbhSu84HXMvOIRSrRXYnMdaytRZ9Dqtw4jE2jlErzOvsZcm6iuH&#10;eye3RVFKrwfiD1aPeLDY/RwvXsFu/go4Jjzg93nqoh2Wyr0tSj0+bIoXEBnn/GeGGz6jQ8tMp3Ah&#10;k4RTwEWyglVZ8nCTy+oJxIkv2+cdyLaR/wu0v1BLAwQUAAAACACHTuJAi+8XnfYBAADCAwAADgAA&#10;AGRycy9lMm9Eb2MueG1srVPNjtMwEL4j8Q6W7zTpLruCqOlq2VUR0vIjLTzA1HEai8Rjjd0m5QHg&#10;DTjthTvP1edg7LTdAjfExRrPjL/55pvx7GroWrHR5A3aUk4nuRTaKqyMXZXy08fFsxdS+AC2ghat&#10;LuVWe3k1f/pk1rtCn2GDbaVJMIj1Re9K2YTgiizzqtEd+Ak6bTlYI3UQ+EqrrCLoGb1rs7M8v8x6&#10;pMoRKu09e2/HoJwn/LrWKryva6+DaEvJ3EI6KZ3LeGbzGRQrAtcYtacB/8CiA2O56BHqFgKINZm/&#10;oDqjCD3WYaKwy7CujdKpB+5mmv/RzX0DTqdeWBzvjjL5/wer3m0+kDAVz04KCx2PaPf92+7h5+7H&#10;VzGN8vTOF5x17zgvDK9wKGWgdaQFhXd3qD57YfGmAbvS10TYNxoqZpiS+H12AjCi+Qi17N9ixdVg&#10;HTBhDTV1EZM1EVyDh7U9DkgPQSh2TvPLl+fPOaQ4dnaeX+QXkWIGxeG1Ix9ea+xENEpJvAAJHTZ3&#10;Poyph5RYzOLCtC37oWjtbw7GjJ7EPhIeqYdhOXB2bGmJ1Zb7IBx3iv8AGw3SFyl63qdSWl54Kdo3&#10;lsWIq3cw6GAsDwZYxQ9ZMilG8ybwrYbWM8DakVk1jH2i+jWLtjCpn0cqe7K8KEmR/VLHTTy9p6zH&#10;rzf/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BeOVnUAAAACAEAAA8AAAAAAAAAAQAgAAAAOAAA&#10;AGRycy9kb3ducmV2LnhtbFBLAQIUABQAAAAIAIdO4kCL7xed9gEAAMIDAAAOAAAAAAAAAAEAIAAA&#10;ADkBAABkcnMvZTJvRG9jLnhtbFBLBQYAAAAABgAGAFkBAAChBQAAAAA=&#10;">
              <v:fill on="f" focussize="0,0"/>
              <v:stroke on="f"/>
              <v:imagedata o:title=""/>
              <o:lock v:ext="edit" aspectratio="f"/>
              <v:textbox inset="0mm,0mm,0mm,0mm" style="mso-fit-shape-to-text:t;">
                <w:txbxContent>
                  <w:p>
                    <w:pPr>
                      <w:pStyle w:val="5"/>
                      <w:jc w:val="both"/>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48</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704509"/>
    </w:sdtPr>
    <w:sdtContent>
      <w:p>
        <w:pPr>
          <w:pStyle w:val="5"/>
          <w:jc w:val="center"/>
        </w:pPr>
        <w:r>
          <w:fldChar w:fldCharType="begin"/>
        </w:r>
        <w:r>
          <w:instrText xml:space="preserve">PAGE   \* MERGEFORMAT</w:instrText>
        </w:r>
        <w:r>
          <w:fldChar w:fldCharType="separate"/>
        </w:r>
        <w:r>
          <w:rPr>
            <w:lang w:val="zh-CN"/>
          </w:rPr>
          <w:t>-</w:t>
        </w:r>
        <w:r>
          <w:t xml:space="preserve"> 53 -</w:t>
        </w:r>
        <w:r>
          <w:fldChar w:fldCharType="end"/>
        </w:r>
      </w:p>
    </w:sdtContent>
  </w:sdt>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054036"/>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54 -</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4472E"/>
    <w:multiLevelType w:val="multilevel"/>
    <w:tmpl w:val="6194472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247777A"/>
    <w:multiLevelType w:val="multilevel"/>
    <w:tmpl w:val="6247777A"/>
    <w:lvl w:ilvl="0" w:tentative="0">
      <w:start w:val="1"/>
      <w:numFmt w:val="japaneseCounting"/>
      <w:lvlText w:val="（%1）"/>
      <w:lvlJc w:val="left"/>
      <w:pPr>
        <w:ind w:left="1140" w:hanging="720"/>
      </w:pPr>
      <w:rPr>
        <w:rFonts w:hint="default" w:eastAsia="方正楷体_GBK"/>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g5MGZjZjNmZjc4MTYxYTNmNTU2MjA2MWMyM2UifQ=="/>
  </w:docVars>
  <w:rsids>
    <w:rsidRoot w:val="001B541B"/>
    <w:rsid w:val="00013F1C"/>
    <w:rsid w:val="00094484"/>
    <w:rsid w:val="001659E1"/>
    <w:rsid w:val="001B541B"/>
    <w:rsid w:val="002C0642"/>
    <w:rsid w:val="002C1656"/>
    <w:rsid w:val="002D6032"/>
    <w:rsid w:val="00385BD1"/>
    <w:rsid w:val="003A16E4"/>
    <w:rsid w:val="004B3D8B"/>
    <w:rsid w:val="00592493"/>
    <w:rsid w:val="005A0AB0"/>
    <w:rsid w:val="005D30D9"/>
    <w:rsid w:val="00630796"/>
    <w:rsid w:val="00634B20"/>
    <w:rsid w:val="00657DA4"/>
    <w:rsid w:val="006C1252"/>
    <w:rsid w:val="00734162"/>
    <w:rsid w:val="00742D46"/>
    <w:rsid w:val="00747B92"/>
    <w:rsid w:val="00807BF2"/>
    <w:rsid w:val="00823D42"/>
    <w:rsid w:val="00883F1E"/>
    <w:rsid w:val="008B5478"/>
    <w:rsid w:val="009035A1"/>
    <w:rsid w:val="00927ECC"/>
    <w:rsid w:val="00941A82"/>
    <w:rsid w:val="00955089"/>
    <w:rsid w:val="00995217"/>
    <w:rsid w:val="009B35FC"/>
    <w:rsid w:val="009D5413"/>
    <w:rsid w:val="00A07319"/>
    <w:rsid w:val="00A904F0"/>
    <w:rsid w:val="00AA34E4"/>
    <w:rsid w:val="00AC1226"/>
    <w:rsid w:val="00B15288"/>
    <w:rsid w:val="00B539A9"/>
    <w:rsid w:val="00BE3A9A"/>
    <w:rsid w:val="00C9726C"/>
    <w:rsid w:val="00CE0743"/>
    <w:rsid w:val="00CF2492"/>
    <w:rsid w:val="00DA3E37"/>
    <w:rsid w:val="00DB1DD3"/>
    <w:rsid w:val="00E03E6D"/>
    <w:rsid w:val="00E42096"/>
    <w:rsid w:val="00E64B90"/>
    <w:rsid w:val="00E84BF6"/>
    <w:rsid w:val="00F1694D"/>
    <w:rsid w:val="00F300E1"/>
    <w:rsid w:val="00F619B8"/>
    <w:rsid w:val="00F97068"/>
    <w:rsid w:val="00FB57B1"/>
    <w:rsid w:val="04E86FA7"/>
    <w:rsid w:val="095B41B1"/>
    <w:rsid w:val="0CB1205F"/>
    <w:rsid w:val="1143171D"/>
    <w:rsid w:val="16D513D8"/>
    <w:rsid w:val="17E458DD"/>
    <w:rsid w:val="17FE823E"/>
    <w:rsid w:val="24742736"/>
    <w:rsid w:val="25EA35F4"/>
    <w:rsid w:val="2ACC6281"/>
    <w:rsid w:val="37BC467D"/>
    <w:rsid w:val="381531DC"/>
    <w:rsid w:val="5EFAA1BD"/>
    <w:rsid w:val="5FBE6383"/>
    <w:rsid w:val="63074C53"/>
    <w:rsid w:val="68507CBE"/>
    <w:rsid w:val="73F01CA4"/>
    <w:rsid w:val="7BB74991"/>
    <w:rsid w:val="7E9DEAFB"/>
    <w:rsid w:val="7EDD6A31"/>
    <w:rsid w:val="9FE137AA"/>
    <w:rsid w:val="D7F355C1"/>
    <w:rsid w:val="F6B64C71"/>
    <w:rsid w:val="FAFF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23371</Words>
  <Characters>25837</Characters>
  <Lines>214</Lines>
  <Paragraphs>60</Paragraphs>
  <TotalTime>27</TotalTime>
  <ScaleCrop>false</ScaleCrop>
  <LinksUpToDate>false</LinksUpToDate>
  <CharactersWithSpaces>28206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2022-09-26T00:50:00Z</dcterms:created>
  <dc:creator>李蕾</dc:creator>
  <cp:lastModifiedBy>kylin</cp:lastModifiedBy>
  <cp:lastPrinted>2022-09-29T05:57:00Z</cp:lastPrinted>
  <dcterms:modified xsi:type="dcterms:W3CDTF">2022-12-23T08:40:00Z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88F894E4EF564707A6F9F172D37CCDA5</vt:lpwstr>
  </property>
</Properties>
</file>