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7"/>
        <w:pBdr/>
        <w:spacing/>
        <w:ind/>
        <w:rPr>
          <w:rFonts w:hint="eastAsia" w:ascii="黑体" w:hAnsi="华文仿宋" w:eastAsia="黑体"/>
          <w:sz w:val="32"/>
          <w:szCs w:val="32"/>
        </w:rPr>
      </w:pPr>
      <w:r>
        <w:rPr>
          <w:rFonts w:hint="eastAsia" w:ascii="黑体" w:hAnsi="华文仿宋" w:eastAsia="黑体"/>
          <w:sz w:val="32"/>
          <w:szCs w:val="32"/>
        </w:rPr>
        <w:t xml:space="preserve">附件</w:t>
      </w:r>
      <w:r>
        <w:rPr>
          <w:rFonts w:hint="eastAsia" w:ascii="黑体" w:hAnsi="华文仿宋" w:eastAsia="黑体"/>
          <w:sz w:val="32"/>
          <w:szCs w:val="32"/>
        </w:rPr>
      </w:r>
    </w:p>
    <w:p>
      <w:pPr>
        <w:pStyle w:val="657"/>
        <w:pBdr/>
        <w:spacing w:after="312" w:before="156" w:line="640" w:lineRule="exact"/>
        <w:ind/>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 xml:space="preserve">医疗器械行业标准信息表</w:t>
      </w:r>
      <w:r>
        <w:rPr>
          <w:rFonts w:ascii="方正小标宋简体" w:hAnsi="宋体" w:eastAsia="方正小标宋简体" w:cs="Calibri"/>
          <w:sz w:val="44"/>
          <w:szCs w:val="44"/>
        </w:rPr>
      </w:r>
      <w:r>
        <w:rPr>
          <w:rFonts w:ascii="方正小标宋简体" w:hAnsi="宋体" w:eastAsia="方正小标宋简体" w:cs="Calibri"/>
          <w:sz w:val="44"/>
          <w:szCs w:val="44"/>
        </w:rPr>
      </w:r>
    </w:p>
    <w:tbl>
      <w:tblPr>
        <w:tblW w:w="1458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1"/>
        <w:gridCol w:w="1569"/>
        <w:gridCol w:w="1742"/>
        <w:gridCol w:w="1123"/>
        <w:gridCol w:w="1543"/>
        <w:gridCol w:w="6096"/>
        <w:gridCol w:w="1637"/>
      </w:tblGrid>
      <w:tr>
        <w:trPr>
          <w:cantSplit/>
          <w:tblHeader/>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序号</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标准</w:t>
              <w:br w:type="textWrapping" w:clear="all"/>
              <w:t xml:space="preserve">编号</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标准名称</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制修订</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替代</w:t>
              <w:br w:type="textWrapping" w:clear="all"/>
              <w:t xml:space="preserve">标准</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适用范围</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黑体" w:cs="楷体"/>
                <w:bCs/>
                <w:sz w:val="28"/>
                <w:szCs w:val="28"/>
              </w:rPr>
            </w:pPr>
            <w:r>
              <w:rPr>
                <w:rFonts w:hint="eastAsia" w:eastAsia="黑体" w:cs="楷体"/>
                <w:bCs/>
                <w:sz w:val="28"/>
                <w:szCs w:val="28"/>
              </w:rPr>
              <w:t xml:space="preserve">实施日期</w:t>
            </w:r>
            <w:r>
              <w:rPr>
                <w:rFonts w:eastAsia="黑体" w:cs="楷体"/>
                <w:bCs/>
                <w:sz w:val="28"/>
                <w:szCs w:val="28"/>
              </w:rPr>
            </w:r>
            <w:r>
              <w:rPr>
                <w:rFonts w:eastAsia="黑体" w:cs="楷体"/>
                <w:bCs/>
                <w:sz w:val="28"/>
                <w:szCs w:val="28"/>
              </w:rPr>
            </w:r>
          </w:p>
        </w:tc>
      </w:tr>
      <w:tr>
        <w:trPr>
          <w:cantSplit/>
          <w:trHeight w:val="2314"/>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 0781—2025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血压传感器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 0781—2010</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设计用来测量血压的经留置导管或直接穿刺的传感器、电缆的安全和性能的要求。本文件适用于经导管或直接的血管穿刺来测量血压的压力传感器，包括电缆。本文件不适用于被设计用于测量其他生理参数的传感器。</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2028年10月1日</w:t>
            </w:r>
            <w:r>
              <w:rPr>
                <w:rFonts w:eastAsia="仿宋_GB2312"/>
                <w:color w:val="000000"/>
                <w:sz w:val="28"/>
                <w:szCs w:val="28"/>
              </w:rPr>
            </w:r>
          </w:p>
        </w:tc>
      </w:tr>
      <w:tr>
        <w:trPr>
          <w:cantSplit/>
          <w:trHeight w:val="4394"/>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0337—2025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麻醉和呼吸设备 气管插管和接头</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0337.1—2002、YY/T 0337.2—2002</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经口、经鼻气管插管和气管插管接头、管壁用金属或塑料作为加强筋的气管插管、有肩部的气管插管、锥形气管插管、提供具有抽吸、监测或输送药物或其他气体的气管插管，以及为特殊用途而设计的多种其他类型的专用气管插管的基本安全和基本性能。本文件适用于上述气管插管。本文件不适用于气管支气管导管（包括支气管内管）（见YY/T 0490）、气管切开插管和接头（见YY/T 0338）和上喉部通气道（见YY/T 0985）。本文件不适用于与易燃麻醉气体或药剂、激光或外科电气设备一起使用的气管插管。</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5612"/>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3</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0474—2025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外科植入物 聚丙交酯均聚物、共聚物和共混物 体外降解试验</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0473—2004、YY/T 0474—2004</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描述了聚丙交酯（以L-丙交酯、D-丙交酯和/或D,L-丙交酯为结构单元的均聚物、共聚物和/或共混物）在体外降解条件下化学和/或机械性能变化的测定方法。本文件还描述了可吸收聚丙交酯或其他可水解材料及器械进行体外降解表征所需的基本物理和机械性能评价。本文件适用于生产外科植入物的聚丙交酯均聚物、共聚物和/或共混物，包括原材料、加工材及最终产品（经包装和灭菌的植入物）。</w:t>
            </w:r>
            <w:r>
              <w:rPr>
                <w:rFonts w:eastAsia="仿宋_GB2312"/>
                <w:color w:val="000000"/>
                <w:sz w:val="28"/>
                <w:szCs w:val="28"/>
              </w:rPr>
            </w:r>
          </w:p>
          <w:p>
            <w:pPr>
              <w:pStyle w:val="657"/>
              <w:pBdr/>
              <w:spacing w:line="320" w:lineRule="exact"/>
              <w:ind/>
              <w:rPr>
                <w:rFonts w:eastAsia="仿宋_GB2312"/>
                <w:color w:val="000000"/>
                <w:sz w:val="28"/>
                <w:szCs w:val="28"/>
              </w:rPr>
            </w:pPr>
            <w:r>
              <w:rPr>
                <w:rFonts w:eastAsia="仿宋_GB2312"/>
                <w:color w:val="000000"/>
                <w:sz w:val="28"/>
                <w:szCs w:val="28"/>
              </w:rPr>
              <w:t xml:space="preserve">本文件中规定的试验方法，也用于测定含有其他共聚单体（如乙交酯、三亚甲基碳酸酯和/或ε-己内酯）的聚丙交酯基的共聚物和/或共混物的体外降解速率和相关材料特性的变化。本文件中的体外试验方法不能用来准确预测材料在体内的行为，除非对具体器械进行了验证。</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2903"/>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4</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0497—2025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一次性使用无菌胰岛素注射器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0497—2018</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本文件规定了一次性使用无菌胰岛素注射器（以下简称注射器）的要求，描述了相应的试验方法。该注射器仅一次性使用，用于抽吸胰岛素后立即进行人体注射。本文件适用于注射40单位每毫升</w:t>
            </w:r>
            <w:r>
              <w:rPr>
                <w:rFonts w:hint="eastAsia" w:eastAsia="仿宋_GB2312"/>
                <w:color w:val="000000"/>
                <w:sz w:val="28"/>
                <w:szCs w:val="28"/>
              </w:rPr>
              <w:t xml:space="preserve">（</w:t>
            </w:r>
            <w:r>
              <w:rPr>
                <w:rFonts w:eastAsia="仿宋_GB2312"/>
                <w:color w:val="000000"/>
                <w:sz w:val="28"/>
                <w:szCs w:val="28"/>
              </w:rPr>
              <w:t xml:space="preserve">U-40</w:t>
            </w:r>
            <w:r>
              <w:rPr>
                <w:rFonts w:hint="eastAsia" w:eastAsia="仿宋_GB2312"/>
                <w:color w:val="000000"/>
                <w:sz w:val="28"/>
                <w:szCs w:val="28"/>
              </w:rPr>
              <w:t xml:space="preserve">）</w:t>
            </w:r>
            <w:r>
              <w:rPr>
                <w:rFonts w:eastAsia="仿宋_GB2312"/>
                <w:color w:val="000000"/>
                <w:sz w:val="28"/>
                <w:szCs w:val="28"/>
              </w:rPr>
              <w:t xml:space="preserve">和100单位每毫升</w:t>
            </w:r>
            <w:r>
              <w:rPr>
                <w:rFonts w:hint="eastAsia" w:eastAsia="仿宋_GB2312"/>
                <w:color w:val="000000"/>
                <w:sz w:val="28"/>
                <w:szCs w:val="28"/>
              </w:rPr>
              <w:t xml:space="preserve">（</w:t>
            </w:r>
            <w:r>
              <w:rPr>
                <w:rFonts w:eastAsia="仿宋_GB2312"/>
                <w:color w:val="000000"/>
                <w:sz w:val="28"/>
                <w:szCs w:val="28"/>
              </w:rPr>
              <w:t xml:space="preserve">U-100</w:t>
            </w:r>
            <w:r>
              <w:rPr>
                <w:rFonts w:hint="eastAsia" w:eastAsia="仿宋_GB2312"/>
                <w:color w:val="000000"/>
                <w:sz w:val="28"/>
                <w:szCs w:val="28"/>
              </w:rPr>
              <w:t xml:space="preserve">）</w:t>
            </w:r>
            <w:r>
              <w:rPr>
                <w:rFonts w:eastAsia="仿宋_GB2312"/>
                <w:color w:val="000000"/>
                <w:sz w:val="28"/>
                <w:szCs w:val="28"/>
              </w:rPr>
              <w:t xml:space="preserve">胰岛素的注射器。本文件不适用于长期储存胰岛素的注射器。</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2565"/>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5</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0573.2—2025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一次性使用无菌注射器 第2部分：动力驱动注射泵用注射器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0573.2—2018</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由高分子材料制成的公称容量为1mL及以上的动力驱动注射泵用注射器的要求，动力驱动注射泵用注射器与经制造商确认的注射泵配套使用。本文件不适用于具有自毁功能的注射器、胰岛素注射器、玻璃注射器、由制造厂预装药液的注射器以及与药液配套的注射器等。本文件不涉及泵用注射器与注射药液的相容性。</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2688"/>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6</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0573.3—2025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一次性使用无菌注射器 第3部分：自毁型固定剂量疫苗注射器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0573.3—2019</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在输送至预设的疫苗剂量时，会自动失效的一次性使用无菌注射器（以下简称注射器）的特性和性能。本文件适用于由塑料、橡胶或其他材料制成的供抽吸疫苗或注入疫苗后立即注射用的带针或不带针的一次性使用无菌注射器。本文件不适用于胰岛素注射器、动力驱动注射泵用注射器、防止重复使用注射器、不固定剂量自毁型注射器以及预装药液注射器。</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3248"/>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7</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0573.4—2025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一次性使用无菌注射器 第4部分：防止重复使用注射器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0573.4—2020</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一次性防止重复使用注射器（以下简称注射器）的特性和性能。本文件适用于由塑料和橡胶材料制成，带针或不带针的，用于抽吸药液或抽吸液体后立即注射用的，且设计上能够防止再次使用的一次性使用无菌注射器。本文件不适用于玻璃制注射器、固定剂量疫苗用自毁注射器和预充型注射器。本文件不涉及注射器与注射液的兼容性。当注射器用于本文件规定以外的任何其他预期用途时，可适用其他标准。</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2920"/>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8</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0648—2025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测量、控制和实验室用电气设备的安全要求  第2-101部分：体外诊断（IVD）医用设备的专用要求</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 0648—2008</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本文件适用于预期用作体外诊断（IVD）医用目的的设备，包括自测体外诊断医用目的的设备。</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2026年11月1日</w:t>
            </w:r>
            <w:r>
              <w:rPr>
                <w:rFonts w:eastAsia="仿宋_GB2312"/>
                <w:color w:val="000000"/>
                <w:sz w:val="28"/>
                <w:szCs w:val="28"/>
              </w:rPr>
            </w:r>
          </w:p>
        </w:tc>
      </w:tr>
      <w:tr>
        <w:trPr>
          <w:cantSplit/>
          <w:trHeight w:val="3259"/>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9</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0651.4—2025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关节置换植入器械 全髋关节假体的磨损 第4部分：部件位置变化导</w:t>
            </w:r>
            <w:r>
              <w:rPr>
                <w:rFonts w:eastAsia="仿宋_GB2312"/>
                <w:color w:val="000000"/>
                <w:sz w:val="28"/>
                <w:szCs w:val="28"/>
              </w:rPr>
              <w:t xml:space="preserve">致边缘加载条件下髋关节假体测试</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制定</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本文件规定了模拟髋臼部件大倾斜角和动态分离条件下髋关节假体边缘加载的测试条件。</w:t>
            </w:r>
            <w:r>
              <w:rPr>
                <w:rFonts w:eastAsia="仿宋_GB2312"/>
                <w:color w:val="000000"/>
                <w:sz w:val="28"/>
                <w:szCs w:val="28"/>
              </w:rPr>
            </w:r>
          </w:p>
          <w:p>
            <w:pPr>
              <w:pStyle w:val="657"/>
              <w:pBdr/>
              <w:spacing w:line="320" w:lineRule="exact"/>
              <w:ind/>
              <w:rPr>
                <w:rFonts w:eastAsia="仿宋_GB2312"/>
                <w:color w:val="000000"/>
                <w:sz w:val="28"/>
                <w:szCs w:val="28"/>
              </w:rPr>
            </w:pPr>
            <w:r>
              <w:rPr>
                <w:rFonts w:eastAsia="仿宋_GB2312"/>
                <w:color w:val="000000"/>
                <w:sz w:val="28"/>
                <w:szCs w:val="28"/>
              </w:rPr>
              <w:t xml:space="preserve">本文件与YY/T 0651.1—2016或YY/T 0651.3结合使用。本文件适用于全髋关节假体。</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Height w:val="2216"/>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10</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0685—2025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神经外科植入器械 自闭合颅内动脉瘤夹</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0685—2008</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用于永久植入颅内的自闭合动脉瘤夹的特性及其设计要求、供应条件和灭菌、包装、由制造商提供的信息。其中，本文件设计要求中描述了闭合力的测试方法。本文件不适用于可塑性夹，或外科手术过程中使用且伤口闭合前移除的临时性夹。</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11</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0958.1—2025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矫形用钻类器械 第1部分：钻头、丝锥和沉头钻</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0958.1—2014</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本文件规定了骨科手术用钻头、丝锥和沉头钻的材料、尺寸、力学性能的要求，描述了相应的试验方法，规定了标记的内容。本文件适用于在骨科手术中与YY 0018规定的接骨螺钉配合使用的钻头、丝锥及沉头钻。本文件不适用于与自钻骨针（例如用于外固定的）和自钻导针配合使用的钻头、丝锥和沉头钻。</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12</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0965—2025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运动医学植入器械 人工韧带专用要求</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0965—2014</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供临床使用的运动医学植入器械人工韧带的预期性能、设计属性、材料、设计评价、临床前评价、上市后跟踪、制造、灭菌和包装的要求，描述了相应的试验方法。本文件适用于纺织型人工韧带，其他类型的人工韧带参考使用本文件。</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13</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1610—2025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麻醉和呼吸设备 被动湿化器</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修订</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1610—2018</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所谓“冷冒泡”或“冷传递”湿化设备（以下简称被动湿化器）的要求。本文件也适用于制造商预期连接到被动湿化器的那些附件。另外，集成到其他医疗设备中的被动湿化器应符合其他医疗设备标准的要求。本文件不适用于主动加热湿化器、加热呼吸管路或主动热湿交换器</w:t>
            </w:r>
            <w:r>
              <w:rPr>
                <w:rFonts w:hint="eastAsia" w:eastAsia="仿宋_GB2312"/>
                <w:color w:val="000000"/>
                <w:sz w:val="28"/>
                <w:szCs w:val="28"/>
              </w:rPr>
              <w:t xml:space="preserve">（</w:t>
            </w:r>
            <w:r>
              <w:rPr>
                <w:rFonts w:eastAsia="仿宋_GB2312"/>
                <w:color w:val="000000"/>
                <w:sz w:val="28"/>
                <w:szCs w:val="28"/>
              </w:rPr>
              <w:t xml:space="preserve">HMEs</w:t>
            </w:r>
            <w:r>
              <w:rPr>
                <w:rFonts w:hint="eastAsia" w:eastAsia="仿宋_GB2312"/>
                <w:color w:val="000000"/>
                <w:sz w:val="28"/>
                <w:szCs w:val="28"/>
              </w:rPr>
              <w:t xml:space="preserve">）</w:t>
            </w:r>
            <w:r>
              <w:rPr>
                <w:rFonts w:eastAsia="仿宋_GB2312"/>
                <w:color w:val="000000"/>
                <w:sz w:val="28"/>
                <w:szCs w:val="28"/>
              </w:rPr>
              <w:t xml:space="preserve">。本文件不适用于在吸气过程中将患者呼出的一部分水分和热量返回呼吸道，而不增加热量或水分的被动式HME，其要求在YY/T 0735.1和YY/T 0735.2中给出。本文件不适用于用来向患者输送液体的雾化器，其要求在YY/T 1743中给出。本文件不适用于通常被称为“房间湿化器”的设备或用于供暖、通风和空调系统的湿化器，或集成于婴儿培养箱中的湿化器。</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14</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1985—2025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组织工程医疗器械 胶原蛋白</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制定</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本文件给出了组织提取胶原蛋白的工艺控制、检测指标、生物学评价等要求，描述了相应的检测方法。本文件适用于组织工程医疗器械用胶原蛋白的表征和质量评价。</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r>
        <w:trPr>
          <w:cantSplit/>
        </w:trPr>
        <w:tc>
          <w:tcPr>
            <w:tcBorders/>
            <w:tcMar>
              <w:left w:w="57" w:type="dxa"/>
              <w:top w:w="28" w:type="dxa"/>
              <w:right w:w="57" w:type="dxa"/>
              <w:bottom w:w="28" w:type="dxa"/>
            </w:tcMar>
            <w:tcW w:w="871"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15</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YY/T 1986—2025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一次性使用无菌神经用导管及附件</w:t>
            </w:r>
            <w:r>
              <w:rPr>
                <w:rFonts w:eastAsia="仿宋_GB2312"/>
                <w:color w:val="000000"/>
                <w:sz w:val="28"/>
                <w:szCs w:val="28"/>
              </w:rPr>
            </w:r>
          </w:p>
        </w:tc>
        <w:tc>
          <w:tcPr>
            <w:tcBorders/>
            <w:tcMar>
              <w:left w:w="57" w:type="dxa"/>
              <w:top w:w="28" w:type="dxa"/>
              <w:right w:w="57" w:type="dxa"/>
              <w:bottom w:w="28" w:type="dxa"/>
            </w:tcMar>
            <w:tcW w:w="112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制定</w:t>
            </w:r>
            <w:r>
              <w:rPr>
                <w:rFonts w:eastAsia="仿宋_GB2312"/>
                <w:color w:val="000000"/>
                <w:sz w:val="28"/>
                <w:szCs w:val="28"/>
              </w:rPr>
            </w:r>
          </w:p>
        </w:tc>
        <w:tc>
          <w:tcPr>
            <w:tcBorders/>
            <w:tcMar>
              <w:left w:w="57" w:type="dxa"/>
              <w:top w:w="28" w:type="dxa"/>
              <w:right w:w="57" w:type="dxa"/>
              <w:bottom w:w="28" w:type="dxa"/>
            </w:tcMar>
            <w:tcW w:w="1543"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w:t>
            </w:r>
            <w:r>
              <w:rPr>
                <w:rFonts w:eastAsia="仿宋_GB2312"/>
                <w:color w:val="000000"/>
                <w:sz w:val="28"/>
                <w:szCs w:val="28"/>
              </w:rPr>
            </w:r>
          </w:p>
        </w:tc>
        <w:tc>
          <w:tcPr>
            <w:tcBorders/>
            <w:tcMar>
              <w:left w:w="57" w:type="dxa"/>
              <w:top w:w="28" w:type="dxa"/>
              <w:right w:w="57" w:type="dxa"/>
              <w:bottom w:w="28" w:type="dxa"/>
            </w:tcMar>
            <w:tcW w:w="6096" w:type="dxa"/>
            <w:vAlign w:val="center"/>
            <w:textDirection w:val="lrTb"/>
            <w:noWrap w:val="false"/>
          </w:tcPr>
          <w:p>
            <w:pPr>
              <w:pStyle w:val="657"/>
              <w:pBdr/>
              <w:spacing w:line="320" w:lineRule="exact"/>
              <w:ind/>
              <w:rPr>
                <w:rFonts w:eastAsia="仿宋_GB2312"/>
                <w:color w:val="000000"/>
                <w:sz w:val="28"/>
                <w:szCs w:val="28"/>
              </w:rPr>
            </w:pPr>
            <w:r>
              <w:rPr>
                <w:rFonts w:eastAsia="仿宋_GB2312"/>
                <w:color w:val="000000"/>
                <w:sz w:val="28"/>
                <w:szCs w:val="28"/>
              </w:rPr>
              <w:t xml:space="preserve">本文件规定了神经用导管及附件的预期性能、设计属性、材料、设计评价</w:t>
            </w:r>
            <w:r>
              <w:rPr>
                <w:rFonts w:eastAsia="仿宋_GB2312"/>
                <w:color w:val="000000"/>
                <w:sz w:val="28"/>
                <w:szCs w:val="28"/>
              </w:rPr>
              <w:t xml:space="preserve">、制造、灭菌、包装和制造商提供的信息的要求，并描述了相应的试验方法。出于治疗或诊断目的，神经用导管预期将药物直接输送至神经部位，提供伤口渗透镇痛和其他局部镇痛，或预期用于监测或去除神经部位的流体。本文件适用于以下类型的器械：脊柱/硬膜外导管及附件；脊柱/硬膜外端口导管及附件；周围神经阻滞导管及附件；伤口输注导管及附件（也称为手术部位持续镇痛导管及附件）。本文件不适用于：预期通过导管及附件输送药物的泵及其他器械；不直接作用于神经系统，但对神经系统有间接作用的药物输送导管（如套管针）；神经应用外的其他引流导管。</w:t>
            </w:r>
            <w:r>
              <w:rPr>
                <w:rFonts w:eastAsia="仿宋_GB2312"/>
                <w:color w:val="000000"/>
                <w:sz w:val="28"/>
                <w:szCs w:val="28"/>
              </w:rPr>
            </w:r>
          </w:p>
        </w:tc>
        <w:tc>
          <w:tcPr>
            <w:tcBorders/>
            <w:tcMar>
              <w:left w:w="57" w:type="dxa"/>
              <w:top w:w="28" w:type="dxa"/>
              <w:right w:w="57" w:type="dxa"/>
              <w:bottom w:w="28" w:type="dxa"/>
            </w:tcMar>
            <w:tcW w:w="1637" w:type="dxa"/>
            <w:vAlign w:val="center"/>
            <w:textDirection w:val="lrTb"/>
            <w:noWrap w:val="false"/>
          </w:tcPr>
          <w:p>
            <w:pPr>
              <w:pStyle w:val="657"/>
              <w:pBdr/>
              <w:spacing w:line="320" w:lineRule="exact"/>
              <w:ind/>
              <w:jc w:val="center"/>
              <w:rPr>
                <w:rFonts w:eastAsia="仿宋_GB2312"/>
                <w:color w:val="000000"/>
                <w:sz w:val="28"/>
                <w:szCs w:val="28"/>
              </w:rPr>
            </w:pPr>
            <w:r>
              <w:rPr>
                <w:rFonts w:eastAsia="仿宋_GB2312"/>
                <w:color w:val="000000"/>
                <w:sz w:val="28"/>
                <w:szCs w:val="28"/>
              </w:rPr>
              <w:t xml:space="preserve">2026年10月1日</w:t>
            </w:r>
            <w:r>
              <w:rPr>
                <w:rFonts w:eastAsia="仿宋_GB2312"/>
                <w:color w:val="000000"/>
                <w:sz w:val="28"/>
                <w:szCs w:val="28"/>
              </w:rPr>
            </w:r>
          </w:p>
        </w:tc>
      </w:tr>
    </w:tbl>
    <w:sectPr>
      <w:footerReference w:type="default" r:id="rId8"/>
      <w:footnotePr/>
      <w:endnotePr/>
      <w:type w:val="nextPage"/>
      <w:pgSz w:h="11906" w:orient="portrait" w:w="16838"/>
      <w:pgMar w:top="1134" w:right="1134" w:bottom="1134" w:left="1134"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_GB2312">
    <w:panose1 w:val="02010609030101010101"/>
  </w:font>
  <w:font w:name="方正小标宋简体">
    <w:panose1 w:val="03000509000000000000"/>
  </w:font>
  <w:font w:name="华文仿宋">
    <w:panose1 w:val="02010600040101010101"/>
  </w:font>
  <w:font w:name="黑体">
    <w:panose1 w:val="02010609060101010101"/>
  </w:font>
  <w:font w:name="Arial">
    <w:panose1 w:val="020B0604020202020204"/>
  </w:font>
  <w:font w:name="宋体">
    <w:panose1 w:val="02010600030101010101"/>
  </w:font>
  <w:font w:name="Times New Roman">
    <w:panose1 w:val="020206030504050203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1"/>
      <w:pBdr/>
      <w:tabs>
        <w:tab w:val="clear" w:leader="none" w:pos="4153"/>
        <w:tab w:val="right" w:leader="none" w:pos="14570"/>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0"/>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661"/>
                            <w:pBdr/>
                            <w:spacing/>
                            <w:ind/>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xml:space="preserve">6</w:t>
                          </w:r>
                          <w:r>
                            <w:rPr>
                              <w:sz w:val="28"/>
                              <w:szCs w:val="28"/>
                            </w:rPr>
                            <w:fldChar w:fldCharType="end"/>
                          </w:r>
                          <w:r>
                            <w:rPr>
                              <w:rFonts w:hint="eastAsia" w:ascii="宋体" w:hAnsi="宋体" w:cs="宋体"/>
                              <w:sz w:val="28"/>
                              <w:szCs w:val="28"/>
                            </w:rPr>
                            <w:t xml:space="preserve"> —</w:t>
                          </w:r>
                          <w:r>
                            <w:rPr>
                              <w:rFonts w:hint="eastAsia" w:ascii="宋体" w:hAnsi="宋体" w:cs="宋体"/>
                              <w:sz w:val="28"/>
                              <w:szCs w:val="28"/>
                            </w:rPr>
                          </w:r>
                        </w:p>
                        <w:p>
                          <w:pPr>
                            <w:pStyle w:val="657"/>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661"/>
                      <w:pBdr/>
                      <w:spacing/>
                      <w:ind/>
                      <w:rPr>
                        <w:rFonts w:hint="eastAsia"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xml:space="preserve">6</w:t>
                    </w:r>
                    <w:r>
                      <w:rPr>
                        <w:sz w:val="28"/>
                        <w:szCs w:val="28"/>
                      </w:rPr>
                      <w:fldChar w:fldCharType="end"/>
                    </w:r>
                    <w:r>
                      <w:rPr>
                        <w:rFonts w:hint="eastAsia" w:ascii="宋体" w:hAnsi="宋体" w:cs="宋体"/>
                        <w:sz w:val="28"/>
                        <w:szCs w:val="28"/>
                      </w:rPr>
                      <w:t xml:space="preserve"> —</w:t>
                    </w:r>
                    <w:r>
                      <w:rPr>
                        <w:rFonts w:hint="eastAsia" w:ascii="宋体" w:hAnsi="宋体" w:cs="宋体"/>
                        <w:sz w:val="28"/>
                        <w:szCs w:val="28"/>
                      </w:rPr>
                    </w:r>
                  </w:p>
                  <w:p>
                    <w:pPr>
                      <w:pStyle w:val="657"/>
                      <w:pBdr/>
                      <w:spacing/>
                      <w:ind/>
                      <w:rPr/>
                    </w:pPr>
                    <w:r/>
                    <w:r/>
                  </w:p>
                </w:txbxContent>
              </v:textbox>
            </v:shape>
          </w:pict>
        </mc:Fallback>
      </mc:AlternateContent>
    </w:r>
    <w:r>
      <w:tab/>
      <w:tab/>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7"/>
    <w:next w:val="65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7"/>
    <w:next w:val="65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7"/>
    <w:next w:val="65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7"/>
    <w:next w:val="65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7"/>
    <w:next w:val="65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7"/>
    <w:next w:val="65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7"/>
    <w:next w:val="65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7"/>
    <w:next w:val="65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7"/>
    <w:next w:val="65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7"/>
    <w:next w:val="65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7"/>
    <w:next w:val="65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7"/>
    <w:next w:val="65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7"/>
    <w:next w:val="65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7"/>
    <w:next w:val="65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7"/>
    <w:next w:val="657"/>
    <w:uiPriority w:val="39"/>
    <w:unhideWhenUsed/>
    <w:pPr>
      <w:pBdr/>
      <w:spacing w:after="57"/>
      <w:ind w:right="0" w:firstLine="0" w:left="0"/>
    </w:pPr>
  </w:style>
  <w:style w:type="paragraph" w:styleId="182">
    <w:name w:val="toc 2"/>
    <w:basedOn w:val="657"/>
    <w:next w:val="657"/>
    <w:uiPriority w:val="39"/>
    <w:unhideWhenUsed/>
    <w:pPr>
      <w:pBdr/>
      <w:spacing w:after="57"/>
      <w:ind w:right="0" w:firstLine="0" w:left="283"/>
    </w:pPr>
  </w:style>
  <w:style w:type="paragraph" w:styleId="183">
    <w:name w:val="toc 3"/>
    <w:basedOn w:val="657"/>
    <w:next w:val="657"/>
    <w:uiPriority w:val="39"/>
    <w:unhideWhenUsed/>
    <w:pPr>
      <w:pBdr/>
      <w:spacing w:after="57"/>
      <w:ind w:right="0" w:firstLine="0" w:left="567"/>
    </w:pPr>
  </w:style>
  <w:style w:type="paragraph" w:styleId="184">
    <w:name w:val="toc 4"/>
    <w:basedOn w:val="657"/>
    <w:next w:val="657"/>
    <w:uiPriority w:val="39"/>
    <w:unhideWhenUsed/>
    <w:pPr>
      <w:pBdr/>
      <w:spacing w:after="57"/>
      <w:ind w:right="0" w:firstLine="0" w:left="850"/>
    </w:pPr>
  </w:style>
  <w:style w:type="paragraph" w:styleId="185">
    <w:name w:val="toc 5"/>
    <w:basedOn w:val="657"/>
    <w:next w:val="657"/>
    <w:uiPriority w:val="39"/>
    <w:unhideWhenUsed/>
    <w:pPr>
      <w:pBdr/>
      <w:spacing w:after="57"/>
      <w:ind w:right="0" w:firstLine="0" w:left="1134"/>
    </w:pPr>
  </w:style>
  <w:style w:type="paragraph" w:styleId="186">
    <w:name w:val="toc 6"/>
    <w:basedOn w:val="657"/>
    <w:next w:val="657"/>
    <w:uiPriority w:val="39"/>
    <w:unhideWhenUsed/>
    <w:pPr>
      <w:pBdr/>
      <w:spacing w:after="57"/>
      <w:ind w:right="0" w:firstLine="0" w:left="1417"/>
    </w:pPr>
  </w:style>
  <w:style w:type="paragraph" w:styleId="187">
    <w:name w:val="toc 7"/>
    <w:basedOn w:val="657"/>
    <w:next w:val="657"/>
    <w:uiPriority w:val="39"/>
    <w:unhideWhenUsed/>
    <w:pPr>
      <w:pBdr/>
      <w:spacing w:after="57"/>
      <w:ind w:right="0" w:firstLine="0" w:left="1701"/>
    </w:pPr>
  </w:style>
  <w:style w:type="paragraph" w:styleId="188">
    <w:name w:val="toc 8"/>
    <w:basedOn w:val="657"/>
    <w:next w:val="657"/>
    <w:uiPriority w:val="39"/>
    <w:unhideWhenUsed/>
    <w:pPr>
      <w:pBdr/>
      <w:spacing w:after="57"/>
      <w:ind w:right="0" w:firstLine="0" w:left="1984"/>
    </w:pPr>
  </w:style>
  <w:style w:type="paragraph" w:styleId="189">
    <w:name w:val="toc 9"/>
    <w:basedOn w:val="657"/>
    <w:next w:val="65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7"/>
    <w:next w:val="657"/>
    <w:uiPriority w:val="99"/>
    <w:unhideWhenUsed/>
    <w:pPr>
      <w:pBdr/>
      <w:spacing w:after="0" w:afterAutospacing="0"/>
      <w:ind/>
    </w:pPr>
  </w:style>
  <w:style w:type="paragraph" w:styleId="657" w:default="1">
    <w:name w:val="Normal"/>
    <w:next w:val="657"/>
    <w:link w:val="657"/>
    <w:qFormat/>
    <w:pPr>
      <w:widowControl w:val="false"/>
      <w:pBdr/>
      <w:spacing/>
      <w:ind/>
      <w:jc w:val="both"/>
    </w:pPr>
    <w:rPr>
      <w:rFonts w:ascii="Times New Roman" w:hAnsi="Times New Roman"/>
      <w:sz w:val="21"/>
      <w:szCs w:val="24"/>
      <w:lang w:val="en-US" w:eastAsia="zh-CN" w:bidi="ar-SA"/>
    </w:rPr>
  </w:style>
  <w:style w:type="character" w:styleId="658">
    <w:name w:val="默认段落字体"/>
    <w:next w:val="658"/>
    <w:link w:val="657"/>
    <w:semiHidden/>
    <w:qFormat/>
    <w:pPr>
      <w:pBdr/>
      <w:spacing/>
      <w:ind/>
    </w:pPr>
  </w:style>
  <w:style w:type="table" w:styleId="659">
    <w:name w:val="普通表格"/>
    <w:next w:val="659"/>
    <w:link w:val="657"/>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0">
    <w:name w:val="无列表"/>
    <w:next w:val="660"/>
    <w:link w:val="657"/>
    <w:uiPriority w:val="99"/>
    <w:semiHidden/>
    <w:unhideWhenUsed/>
    <w:pPr>
      <w:pBdr/>
      <w:spacing/>
      <w:ind/>
    </w:pPr>
  </w:style>
  <w:style w:type="paragraph" w:styleId="661">
    <w:name w:val="页脚"/>
    <w:basedOn w:val="657"/>
    <w:next w:val="661"/>
    <w:link w:val="657"/>
    <w:uiPriority w:val="99"/>
    <w:qFormat/>
    <w:pPr>
      <w:pBdr/>
      <w:tabs>
        <w:tab w:val="center" w:leader="none" w:pos="4153"/>
        <w:tab w:val="right" w:leader="none" w:pos="8306"/>
      </w:tabs>
      <w:spacing/>
      <w:ind/>
      <w:jc w:val="left"/>
    </w:pPr>
    <w:rPr>
      <w:sz w:val="18"/>
      <w:szCs w:val="18"/>
    </w:rPr>
  </w:style>
  <w:style w:type="paragraph" w:styleId="662">
    <w:name w:val="页眉"/>
    <w:basedOn w:val="657"/>
    <w:next w:val="662"/>
    <w:link w:val="657"/>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character" w:styleId="663">
    <w:name w:val="页码"/>
    <w:next w:val="663"/>
    <w:link w:val="657"/>
    <w:qFormat/>
    <w:pPr>
      <w:pBdr/>
      <w:spacing/>
      <w:ind/>
    </w:pPr>
  </w:style>
  <w:style w:type="character" w:styleId="1838" w:default="1">
    <w:name w:val="Default Paragraph Font"/>
    <w:uiPriority w:val="1"/>
    <w:semiHidden/>
    <w:unhideWhenUsed/>
    <w:pPr>
      <w:pBdr/>
      <w:spacing/>
      <w:ind/>
    </w:pPr>
  </w:style>
  <w:style w:type="numbering" w:styleId="1839" w:default="1">
    <w:name w:val="No List"/>
    <w:uiPriority w:val="99"/>
    <w:semiHidden/>
    <w:unhideWhenUsed/>
    <w:pPr>
      <w:pBdr/>
      <w:spacing/>
      <w:ind/>
    </w:pPr>
  </w:style>
  <w:style w:type="table" w:styleId="184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jiangx</dc:creator>
  <cp:lastModifiedBy>匿名</cp:lastModifiedBy>
  <cp:revision>3</cp:revision>
  <dcterms:created xsi:type="dcterms:W3CDTF">2025-09-23T03:28:00Z</dcterms:created>
  <dcterms:modified xsi:type="dcterms:W3CDTF">2025-09-23T06:07:08Z</dcterms:modified>
  <cp:version>983040</cp:version>
</cp:coreProperties>
</file>