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Default Extension="tiff" ContentType="image/tiff"/>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ff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45"/>
      </w:tblGrid>
      <w:tr w:rsidR="00917A23" w:rsidRPr="00672BFD" w:rsidTr="00867C10">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A0242A" w:rsidP="0024666E">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D4C9E" w:rsidRPr="009D4C9E">
              <w:rPr>
                <w:rFonts w:ascii="黑体" w:eastAsia="黑体" w:hAnsi="黑体"/>
                <w:sz w:val="21"/>
                <w:szCs w:val="21"/>
              </w:rPr>
              <w:t>11.080.01</w:t>
            </w:r>
            <w:r w:rsidRPr="00672BFD">
              <w:rPr>
                <w:rFonts w:ascii="黑体" w:eastAsia="黑体" w:hAnsi="黑体"/>
                <w:sz w:val="21"/>
                <w:szCs w:val="21"/>
              </w:rPr>
              <w:fldChar w:fldCharType="end"/>
            </w:r>
            <w:bookmarkEnd w:id="0"/>
          </w:p>
        </w:tc>
      </w:tr>
      <w:tr w:rsidR="00917A23" w:rsidRPr="00672BFD" w:rsidTr="00867C10">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672BFD" w:rsidRPr="00672BFD" w:rsidRDefault="00A0242A"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843353">
              <w:rPr>
                <w:rFonts w:ascii="黑体" w:eastAsia="黑体" w:hAnsi="黑体"/>
                <w:sz w:val="21"/>
                <w:szCs w:val="21"/>
              </w:rPr>
              <w:t>C47</w:t>
            </w:r>
            <w:r w:rsidRPr="00672BFD">
              <w:rPr>
                <w:rFonts w:ascii="黑体" w:eastAsia="黑体" w:hAnsi="黑体"/>
                <w:sz w:val="21"/>
                <w:szCs w:val="21"/>
              </w:rPr>
              <w:fldChar w:fldCharType="end"/>
            </w:r>
            <w:bookmarkEnd w:id="1"/>
          </w:p>
        </w:tc>
      </w:tr>
    </w:tbl>
    <w:p w:rsidR="0000040A" w:rsidRDefault="0000040A" w:rsidP="000107E0">
      <w:pPr>
        <w:pStyle w:val="affff1"/>
        <w:framePr w:w="9639" w:h="624" w:hRule="exact" w:hSpace="181" w:vSpace="181" w:wrap="around" w:hAnchor="page" w:x="1305" w:y="2269"/>
      </w:pPr>
      <w:bookmarkStart w:id="2" w:name="_Hlk26473981"/>
      <w:r>
        <w:rPr>
          <w:rFonts w:hint="eastAsia"/>
        </w:rPr>
        <w:t>中华人民共和国国家标准</w:t>
      </w:r>
    </w:p>
    <w:bookmarkEnd w:id="2"/>
    <w:p w:rsidR="00AA456B" w:rsidRPr="00DA7370" w:rsidRDefault="00A0242A" w:rsidP="00A952D7">
      <w:pPr>
        <w:pStyle w:val="afffffffffc"/>
        <w:framePr w:wrap="auto"/>
        <w:rPr>
          <w:lang w:val="fr-FR"/>
        </w:rPr>
      </w:pPr>
      <w:r>
        <w:fldChar w:fldCharType="begin">
          <w:ffData>
            <w:name w:val="文字1"/>
            <w:enabled/>
            <w:calcOnExit w:val="0"/>
            <w:textInput>
              <w:default w:val="GB/T"/>
            </w:textInput>
          </w:ffData>
        </w:fldChar>
      </w:r>
      <w:bookmarkStart w:id="3" w:name="文字1"/>
      <w:r w:rsidR="00C9517F" w:rsidRPr="00DA7370">
        <w:rPr>
          <w:lang w:val="fr-FR"/>
        </w:rPr>
        <w:instrText xml:space="preserve"> FORMTEXT </w:instrText>
      </w:r>
      <w:r>
        <w:fldChar w:fldCharType="separate"/>
      </w:r>
      <w:r w:rsidR="00C9517F" w:rsidRPr="00DA7370">
        <w:rPr>
          <w:lang w:val="fr-FR"/>
        </w:rPr>
        <w:t>GB/T</w:t>
      </w:r>
      <w:r>
        <w:fldChar w:fldCharType="end"/>
      </w:r>
      <w:bookmarkEnd w:id="3"/>
      <w:r w:rsidR="00C9517F" w:rsidRPr="00DA7370">
        <w:rPr>
          <w:lang w:val="fr-FR"/>
        </w:rPr>
        <w:t xml:space="preserve"> </w:t>
      </w:r>
      <w:r>
        <w:fldChar w:fldCharType="begin">
          <w:ffData>
            <w:name w:val="NSTD_CODE_F"/>
            <w:enabled/>
            <w:calcOnExit w:val="0"/>
            <w:textInput>
              <w:default w:val="XXXXX"/>
            </w:textInput>
          </w:ffData>
        </w:fldChar>
      </w:r>
      <w:bookmarkStart w:id="4" w:name="NSTD_CODE_F"/>
      <w:r w:rsidR="00087A77" w:rsidRPr="00DA7370">
        <w:rPr>
          <w:lang w:val="fr-FR"/>
        </w:rPr>
        <w:instrText xml:space="preserve"> FORMTEXT </w:instrText>
      </w:r>
      <w:r>
        <w:fldChar w:fldCharType="separate"/>
      </w:r>
      <w:r w:rsidR="00A05E9D" w:rsidRPr="0070741D">
        <w:rPr>
          <w:lang w:val="fr-FR"/>
        </w:rPr>
        <w:t>18280.3</w:t>
      </w:r>
      <w:r>
        <w:fldChar w:fldCharType="end"/>
      </w:r>
      <w:bookmarkEnd w:id="4"/>
      <w:r w:rsidR="004644A6" w:rsidRPr="00DA7370">
        <w:rPr>
          <w:rFonts w:hAnsi="黑体"/>
          <w:lang w:val="fr-FR"/>
        </w:rPr>
        <w:t>—</w:t>
      </w:r>
      <w:r>
        <w:fldChar w:fldCharType="begin">
          <w:ffData>
            <w:name w:val="NSTD_CODE_B"/>
            <w:enabled/>
            <w:calcOnExit w:val="0"/>
            <w:textInput>
              <w:default w:val="XXXX"/>
            </w:textInput>
          </w:ffData>
        </w:fldChar>
      </w:r>
      <w:bookmarkStart w:id="5" w:name="NSTD_CODE_B"/>
      <w:r w:rsidR="00087A77" w:rsidRPr="00DA7370">
        <w:rPr>
          <w:lang w:val="fr-FR"/>
        </w:rPr>
        <w:instrText xml:space="preserve"> FORMTEXT </w:instrText>
      </w:r>
      <w:r>
        <w:fldChar w:fldCharType="separate"/>
      </w:r>
      <w:r w:rsidR="00A05E9D" w:rsidRPr="0070741D">
        <w:rPr>
          <w:lang w:val="fr-FR"/>
        </w:rPr>
        <w:t>XXXX</w:t>
      </w:r>
      <w:r>
        <w:fldChar w:fldCharType="end"/>
      </w:r>
      <w:bookmarkEnd w:id="5"/>
    </w:p>
    <w:p w:rsidR="00E846C8" w:rsidRPr="0070741D" w:rsidRDefault="00A0242A" w:rsidP="00A952D7">
      <w:pPr>
        <w:pStyle w:val="afffffffffd"/>
        <w:framePr w:wrap="auto"/>
        <w:rPr>
          <w:rFonts w:hAnsi="黑体"/>
          <w:lang w:val="fr-FR"/>
        </w:rPr>
      </w:pPr>
      <w:r w:rsidRPr="001E4882">
        <w:rPr>
          <w:rFonts w:hAnsi="黑体"/>
        </w:rPr>
        <w:fldChar w:fldCharType="begin">
          <w:ffData>
            <w:name w:val="OSTD_CODE"/>
            <w:enabled/>
            <w:calcOnExit w:val="0"/>
            <w:textInput/>
          </w:ffData>
        </w:fldChar>
      </w:r>
      <w:bookmarkStart w:id="6" w:name="OSTD_CODE"/>
      <w:r w:rsidR="00087A77" w:rsidRPr="0070741D">
        <w:rPr>
          <w:rFonts w:hAnsi="黑体"/>
          <w:lang w:val="fr-FR"/>
        </w:rPr>
        <w:instrText xml:space="preserve"> FORMTEXT </w:instrText>
      </w:r>
      <w:r w:rsidRPr="001E4882">
        <w:rPr>
          <w:rFonts w:hAnsi="黑体"/>
        </w:rPr>
      </w:r>
      <w:r w:rsidRPr="001E4882">
        <w:rPr>
          <w:rFonts w:hAnsi="黑体"/>
        </w:rPr>
        <w:fldChar w:fldCharType="separate"/>
      </w:r>
      <w:r w:rsidR="00A05E9D">
        <w:rPr>
          <w:rFonts w:hAnsi="黑体"/>
        </w:rPr>
        <w:t>代替</w:t>
      </w:r>
      <w:r w:rsidR="00A05E9D" w:rsidRPr="0070741D">
        <w:rPr>
          <w:rFonts w:hAnsi="黑体"/>
          <w:lang w:val="fr-FR"/>
        </w:rPr>
        <w:t xml:space="preserve"> GB/T18280.3-2015</w:t>
      </w:r>
      <w:r w:rsidRPr="001E4882">
        <w:rPr>
          <w:rFonts w:hAnsi="黑体"/>
        </w:rPr>
        <w:fldChar w:fldCharType="end"/>
      </w:r>
      <w:bookmarkEnd w:id="6"/>
    </w:p>
    <w:p w:rsidR="008F70BD" w:rsidRPr="0070741D" w:rsidRDefault="00A0242A" w:rsidP="00324EDD">
      <w:pPr>
        <w:spacing w:line="240" w:lineRule="auto"/>
        <w:ind w:left="8080"/>
        <w:rPr>
          <w:rFonts w:ascii="黑体" w:eastAsia="黑体" w:hAnsi="黑体"/>
          <w:kern w:val="0"/>
          <w:sz w:val="52"/>
          <w:szCs w:val="20"/>
          <w:lang w:val="fr-FR"/>
        </w:rPr>
      </w:pPr>
      <w:r>
        <w:rPr>
          <w:rFonts w:ascii="黑体" w:eastAsia="黑体" w:hAnsi="黑体"/>
          <w:noProof/>
          <w:kern w:val="0"/>
          <w:sz w:val="52"/>
          <w:szCs w:val="20"/>
        </w:rPr>
        <w:pict>
          <v:line id="直接连接符 73" o:spid="_x0000_s2051"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w:r>
      <w:r w:rsidR="003E2D49" w:rsidRPr="00B4346D">
        <w:rPr>
          <w:rFonts w:ascii="黑体" w:eastAsia="黑体" w:hAnsi="黑体"/>
          <w:noProof/>
          <w:kern w:val="0"/>
          <w:sz w:val="52"/>
          <w:szCs w:val="20"/>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200" cy="73296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47200" cy="732960"/>
                    </a:xfrm>
                    <a:prstGeom prst="rect">
                      <a:avLst/>
                    </a:prstGeom>
                    <a:noFill/>
                    <a:ln>
                      <a:noFill/>
                    </a:ln>
                  </pic:spPr>
                </pic:pic>
              </a:graphicData>
            </a:graphic>
          </wp:anchor>
        </w:drawing>
      </w:r>
    </w:p>
    <w:p w:rsidR="006816A4" w:rsidRPr="0070741D" w:rsidRDefault="006816A4" w:rsidP="0036429C">
      <w:pPr>
        <w:pStyle w:val="affff1"/>
        <w:framePr w:w="9639" w:h="6976" w:hRule="exact" w:hSpace="0" w:vSpace="0" w:wrap="around" w:hAnchor="page" w:y="6408"/>
        <w:jc w:val="center"/>
        <w:rPr>
          <w:rFonts w:ascii="黑体" w:eastAsia="黑体" w:hAnsi="黑体"/>
          <w:b w:val="0"/>
          <w:bCs w:val="0"/>
          <w:w w:val="100"/>
          <w:lang w:val="fr-FR"/>
        </w:rPr>
      </w:pPr>
    </w:p>
    <w:p w:rsidR="006816A4" w:rsidRDefault="00A0242A" w:rsidP="00A05E9D">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7" w:name="CSTD_NAME"/>
      <w:r w:rsidR="00DF15BE">
        <w:instrText xml:space="preserve"> FORMTEXT </w:instrText>
      </w:r>
      <w:r>
        <w:fldChar w:fldCharType="separate"/>
      </w:r>
      <w:r w:rsidR="00917A23">
        <w:t>医疗保健产品灭菌</w:t>
      </w:r>
      <w:r w:rsidR="00BC67BE">
        <w:rPr>
          <w:rFonts w:hint="eastAsia"/>
        </w:rPr>
        <w:t xml:space="preserve"> </w:t>
      </w:r>
      <w:r w:rsidR="00917A23">
        <w:t>辐射 第3部分：开发、确认和常规控制的剂量测量指南</w:t>
      </w:r>
      <w:r>
        <w:fldChar w:fldCharType="end"/>
      </w:r>
      <w:bookmarkEnd w:id="7"/>
    </w:p>
    <w:p w:rsidR="00815419" w:rsidRPr="00815419" w:rsidRDefault="00815419" w:rsidP="00324EDD">
      <w:pPr>
        <w:framePr w:w="9639" w:h="6974" w:hRule="exact" w:wrap="around" w:vAnchor="page" w:hAnchor="page" w:x="1419" w:y="6408" w:anchorLock="1"/>
        <w:ind w:left="-1418"/>
      </w:pPr>
    </w:p>
    <w:p w:rsidR="00A05E9D" w:rsidRPr="00A05E9D" w:rsidRDefault="00A0242A" w:rsidP="00A05E9D">
      <w:pPr>
        <w:pStyle w:val="affffffe"/>
        <w:framePr w:w="9639" w:h="6974" w:hRule="exact" w:wrap="around" w:vAnchor="page" w:hAnchor="page" w:x="1419" w:y="6408" w:anchorLock="1"/>
        <w:textAlignment w:val="bottom"/>
        <w:rPr>
          <w:rFonts w:eastAsia="黑体"/>
          <w:noProof/>
          <w:szCs w:val="28"/>
        </w:rPr>
      </w:pPr>
      <w:r w:rsidRPr="00A0242A">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sidR="006162BE">
        <w:rPr>
          <w:rFonts w:eastAsia="黑体"/>
          <w:noProof/>
          <w:szCs w:val="28"/>
        </w:rPr>
        <w:instrText xml:space="preserve"> FORMTEXT </w:instrText>
      </w:r>
      <w:r w:rsidRPr="00A0242A">
        <w:rPr>
          <w:rFonts w:eastAsia="黑体"/>
          <w:noProof/>
          <w:szCs w:val="28"/>
        </w:rPr>
      </w:r>
      <w:r w:rsidRPr="00A0242A">
        <w:rPr>
          <w:rFonts w:eastAsia="黑体"/>
          <w:noProof/>
          <w:szCs w:val="28"/>
        </w:rPr>
        <w:fldChar w:fldCharType="separate"/>
      </w:r>
      <w:r w:rsidR="00A05E9D" w:rsidRPr="00A05E9D">
        <w:rPr>
          <w:rFonts w:eastAsia="黑体"/>
          <w:noProof/>
          <w:szCs w:val="28"/>
        </w:rPr>
        <w:t xml:space="preserve">Sterilization of health care products </w:t>
      </w:r>
    </w:p>
    <w:p w:rsidR="00755402" w:rsidRPr="00E43C00" w:rsidRDefault="00A05E9D" w:rsidP="00A05E9D">
      <w:pPr>
        <w:pStyle w:val="affffffe"/>
        <w:framePr w:w="9639" w:h="6974" w:hRule="exact" w:wrap="around" w:vAnchor="page" w:hAnchor="page" w:x="1419" w:y="6408" w:anchorLock="1"/>
        <w:textAlignment w:val="bottom"/>
        <w:rPr>
          <w:rFonts w:ascii="黑体" w:eastAsia="黑体" w:hAnsi="黑体"/>
          <w:noProof/>
          <w:szCs w:val="28"/>
        </w:rPr>
      </w:pPr>
      <w:r w:rsidRPr="00A05E9D">
        <w:rPr>
          <w:rFonts w:eastAsia="黑体"/>
          <w:noProof/>
          <w:szCs w:val="28"/>
        </w:rPr>
        <w:t>Radiation — Part 3: Guidance on dosimetric aspects of development, validation and routine control</w:t>
      </w:r>
      <w:r w:rsidR="00A0242A" w:rsidRPr="00E43C00">
        <w:rPr>
          <w:rFonts w:ascii="黑体" w:eastAsia="黑体" w:hAnsi="黑体"/>
          <w:noProof/>
          <w:szCs w:val="28"/>
        </w:rPr>
        <w:fldChar w:fldCharType="end"/>
      </w:r>
      <w:bookmarkEnd w:id="8"/>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A0242A"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9" w:name="IN_STD_CODE"/>
      <w:r w:rsidR="00C423A4">
        <w:rPr>
          <w:rFonts w:eastAsia="黑体"/>
          <w:noProof/>
          <w:szCs w:val="28"/>
        </w:rPr>
        <w:instrText xml:space="preserve"> FORMTEXT </w:instrText>
      </w:r>
      <w:r>
        <w:rPr>
          <w:rFonts w:eastAsia="黑体"/>
          <w:noProof/>
          <w:szCs w:val="28"/>
        </w:rPr>
      </w:r>
      <w:r>
        <w:rPr>
          <w:rFonts w:eastAsia="黑体"/>
          <w:noProof/>
          <w:szCs w:val="28"/>
        </w:rPr>
        <w:fldChar w:fldCharType="separate"/>
      </w:r>
      <w:r w:rsidR="00A05E9D">
        <w:rPr>
          <w:rFonts w:eastAsia="黑体"/>
          <w:noProof/>
          <w:szCs w:val="28"/>
        </w:rPr>
        <w:t>(ISO 11137-3:2017</w:t>
      </w:r>
      <w:r w:rsidR="00A05E9D">
        <w:rPr>
          <w:rFonts w:eastAsia="黑体" w:hint="eastAsia"/>
          <w:noProof/>
          <w:szCs w:val="28"/>
        </w:rPr>
        <w:t>，</w:t>
      </w:r>
      <w:r w:rsidR="00A05E9D">
        <w:rPr>
          <w:rFonts w:eastAsia="黑体"/>
          <w:noProof/>
          <w:szCs w:val="28"/>
        </w:rPr>
        <w:t>IDT)</w:t>
      </w:r>
      <w:r>
        <w:rPr>
          <w:rFonts w:eastAsia="黑体"/>
          <w:noProof/>
          <w:szCs w:val="28"/>
        </w:rPr>
        <w:fldChar w:fldCharType="end"/>
      </w:r>
      <w:bookmarkEnd w:id="9"/>
    </w:p>
    <w:p w:rsidR="00CA7AFD" w:rsidRPr="00AC4D95" w:rsidRDefault="00A0242A"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sidR="00A32D73">
        <w:rPr>
          <w:noProof/>
          <w:sz w:val="24"/>
          <w:szCs w:val="28"/>
        </w:rPr>
        <w:instrText xml:space="preserve"> FORMDROPDOWN </w:instrText>
      </w:r>
      <w:r w:rsidR="00AE6129">
        <w:rPr>
          <w:noProof/>
          <w:sz w:val="24"/>
          <w:szCs w:val="28"/>
        </w:rPr>
      </w:r>
      <w:r>
        <w:rPr>
          <w:noProof/>
          <w:sz w:val="24"/>
          <w:szCs w:val="28"/>
        </w:rPr>
        <w:fldChar w:fldCharType="separate"/>
      </w:r>
      <w:r>
        <w:rPr>
          <w:noProof/>
          <w:sz w:val="24"/>
          <w:szCs w:val="28"/>
        </w:rPr>
        <w:fldChar w:fldCharType="end"/>
      </w:r>
      <w:bookmarkEnd w:id="10"/>
    </w:p>
    <w:p w:rsidR="0036429C" w:rsidRDefault="00A0242A"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sidR="00B378E5">
        <w:rPr>
          <w:noProof/>
          <w:sz w:val="21"/>
          <w:szCs w:val="28"/>
        </w:rPr>
        <w:instrText xml:space="preserve"> FORMTEXT </w:instrText>
      </w:r>
      <w:r>
        <w:rPr>
          <w:noProof/>
          <w:sz w:val="21"/>
          <w:szCs w:val="28"/>
        </w:rPr>
      </w:r>
      <w:r>
        <w:rPr>
          <w:noProof/>
          <w:sz w:val="21"/>
          <w:szCs w:val="28"/>
        </w:rPr>
        <w:fldChar w:fldCharType="separate"/>
      </w:r>
      <w:r w:rsidR="0070741D">
        <w:rPr>
          <w:rFonts w:hint="eastAsia"/>
          <w:noProof/>
          <w:sz w:val="21"/>
          <w:szCs w:val="28"/>
        </w:rPr>
        <w:t>（本草案完成时间：</w:t>
      </w:r>
      <w:r w:rsidR="0070741D">
        <w:rPr>
          <w:rFonts w:hint="eastAsia"/>
          <w:noProof/>
          <w:sz w:val="21"/>
          <w:szCs w:val="28"/>
        </w:rPr>
        <w:t>2</w:t>
      </w:r>
      <w:r w:rsidR="0070741D">
        <w:rPr>
          <w:noProof/>
          <w:sz w:val="21"/>
          <w:szCs w:val="28"/>
        </w:rPr>
        <w:t>022.08.31</w:t>
      </w:r>
      <w:r w:rsidR="0070741D">
        <w:rPr>
          <w:rFonts w:hint="eastAsia"/>
          <w:noProof/>
          <w:sz w:val="21"/>
          <w:szCs w:val="28"/>
        </w:rPr>
        <w:t>）</w:t>
      </w:r>
      <w:r>
        <w:rPr>
          <w:noProof/>
          <w:sz w:val="21"/>
          <w:szCs w:val="28"/>
        </w:rPr>
        <w:fldChar w:fldCharType="end"/>
      </w:r>
      <w:bookmarkEnd w:id="11"/>
    </w:p>
    <w:p w:rsidR="00DE703F" w:rsidRPr="00A6537A" w:rsidRDefault="00A0242A" w:rsidP="008D2259">
      <w:pPr>
        <w:pStyle w:val="affffffe"/>
        <w:framePr w:w="9639" w:h="6974" w:hRule="exact" w:wrap="around" w:vAnchor="page" w:hAnchor="page" w:x="1419" w:y="6408" w:anchorLock="1"/>
        <w:spacing w:beforeLines="300" w:afterLines="30"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sidR="008620FC" w:rsidRPr="00A6537A">
        <w:rPr>
          <w:b/>
          <w:noProof/>
          <w:sz w:val="21"/>
          <w:szCs w:val="28"/>
        </w:rPr>
        <w:instrText xml:space="preserve"> FORMDROPDOWN </w:instrText>
      </w:r>
      <w:r>
        <w:rPr>
          <w:b/>
          <w:noProof/>
          <w:sz w:val="21"/>
          <w:szCs w:val="28"/>
        </w:rPr>
      </w:r>
      <w:r>
        <w:rPr>
          <w:b/>
          <w:noProof/>
          <w:sz w:val="21"/>
          <w:szCs w:val="28"/>
        </w:rPr>
        <w:fldChar w:fldCharType="separate"/>
      </w:r>
      <w:r w:rsidRPr="00A6537A">
        <w:rPr>
          <w:b/>
          <w:noProof/>
          <w:sz w:val="21"/>
          <w:szCs w:val="28"/>
        </w:rPr>
        <w:fldChar w:fldCharType="end"/>
      </w:r>
      <w:bookmarkEnd w:id="12"/>
    </w:p>
    <w:p w:rsidR="00CD50A1" w:rsidRDefault="00A0242A"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3" w:name="PLSH_DATE_Y"/>
      <w:r w:rsidR="00087A77">
        <w:rPr>
          <w:rFonts w:ascii="黑体"/>
        </w:rPr>
        <w:instrText xml:space="preserve"> FORMTEXT </w:instrText>
      </w:r>
      <w:r>
        <w:rPr>
          <w:rFonts w:ascii="黑体"/>
        </w:rPr>
      </w:r>
      <w:r>
        <w:rPr>
          <w:rFonts w:ascii="黑体"/>
        </w:rPr>
        <w:fldChar w:fldCharType="separate"/>
      </w:r>
      <w:r w:rsidR="00920358">
        <w:rPr>
          <w:rFonts w:ascii="黑体"/>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5"/>
      <w:r w:rsidR="00CD50A1">
        <w:rPr>
          <w:rFonts w:hint="eastAsia"/>
        </w:rPr>
        <w:t>发布</w:t>
      </w:r>
    </w:p>
    <w:p w:rsidR="00CD50A1" w:rsidRDefault="00A0242A"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6"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8"/>
      <w:r w:rsidR="00CD50A1">
        <w:rPr>
          <w:rFonts w:hint="eastAsia"/>
        </w:rPr>
        <w:t>实施</w:t>
      </w:r>
    </w:p>
    <w:p w:rsidR="00A02BAE" w:rsidRPr="00CD50A1" w:rsidRDefault="00FC17B7" w:rsidP="00A02BAE">
      <w:pPr>
        <w:rPr>
          <w:rFonts w:ascii="宋体" w:hAnsi="宋体"/>
          <w:sz w:val="28"/>
          <w:szCs w:val="28"/>
        </w:rPr>
        <w:sectPr w:rsidR="00A02BAE" w:rsidRPr="00CD50A1" w:rsidSect="00BF2D77">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4384" behindDoc="0" locked="0" layoutInCell="1" allowOverlap="1">
            <wp:simplePos x="0" y="0"/>
            <wp:positionH relativeFrom="column">
              <wp:posOffset>1610360</wp:posOffset>
            </wp:positionH>
            <wp:positionV relativeFrom="paragraph">
              <wp:posOffset>8281035</wp:posOffset>
            </wp:positionV>
            <wp:extent cx="2868840" cy="545400"/>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868840" cy="545400"/>
                    </a:xfrm>
                    <a:prstGeom prst="rect">
                      <a:avLst/>
                    </a:prstGeom>
                  </pic:spPr>
                </pic:pic>
              </a:graphicData>
            </a:graphic>
          </wp:anchor>
        </w:drawing>
      </w:r>
      <w:r w:rsidR="00A0242A">
        <w:rPr>
          <w:rFonts w:ascii="宋体" w:hAnsi="宋体"/>
          <w:noProof/>
          <w:sz w:val="28"/>
          <w:szCs w:val="28"/>
        </w:rPr>
        <w:pict>
          <v:line id="直接连接符 5" o:spid="_x0000_s2050"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w:r>
      <w:r>
        <w:rPr>
          <w:rFonts w:ascii="宋体" w:hAnsi="宋体" w:hint="eastAsia"/>
          <w:sz w:val="28"/>
          <w:szCs w:val="28"/>
        </w:rPr>
        <w:t>`</w:t>
      </w:r>
    </w:p>
    <w:p w:rsidR="001C6ED0" w:rsidRDefault="001C6ED0" w:rsidP="001C6ED0">
      <w:pPr>
        <w:pStyle w:val="afffffc"/>
        <w:spacing w:after="468"/>
      </w:pPr>
      <w:bookmarkStart w:id="19" w:name="BookMark1"/>
      <w:bookmarkStart w:id="20" w:name="_Toc112783012"/>
      <w:r w:rsidRPr="001C6ED0">
        <w:rPr>
          <w:rFonts w:hint="eastAsia"/>
          <w:spacing w:val="320"/>
        </w:rPr>
        <w:lastRenderedPageBreak/>
        <w:t>目</w:t>
      </w:r>
      <w:r>
        <w:rPr>
          <w:rFonts w:hint="eastAsia"/>
        </w:rPr>
        <w:t>次</w:t>
      </w:r>
    </w:p>
    <w:p w:rsidR="001C6ED0" w:rsidRPr="001C6ED0" w:rsidRDefault="00A0242A">
      <w:pPr>
        <w:pStyle w:val="10"/>
        <w:tabs>
          <w:tab w:val="right" w:leader="dot" w:pos="9344"/>
        </w:tabs>
        <w:rPr>
          <w:rFonts w:asciiTheme="minorHAnsi" w:eastAsiaTheme="minorEastAsia" w:hAnsiTheme="minorHAnsi" w:cstheme="minorBidi"/>
          <w:noProof/>
          <w:szCs w:val="22"/>
        </w:rPr>
      </w:pPr>
      <w:r w:rsidRPr="00A0242A">
        <w:fldChar w:fldCharType="begin"/>
      </w:r>
      <w:r w:rsidR="001C6ED0" w:rsidRPr="001C6ED0">
        <w:instrText xml:space="preserve"> TOC \o "1-1" \h \t "标准文件_一级条标题,2,标准文件_二级条标题,3,标准文件_附录一级条标题,2,标准文件_附录二级条标题,3," </w:instrText>
      </w:r>
      <w:r w:rsidRPr="00A0242A">
        <w:fldChar w:fldCharType="separate"/>
      </w:r>
      <w:hyperlink w:anchor="_Toc112844809" w:history="1">
        <w:r w:rsidR="001C6ED0" w:rsidRPr="001C6ED0">
          <w:rPr>
            <w:rStyle w:val="affffff7"/>
            <w:noProof/>
          </w:rPr>
          <w:t>前言</w:t>
        </w:r>
        <w:r w:rsidR="001C6ED0" w:rsidRPr="001C6ED0">
          <w:rPr>
            <w:noProof/>
          </w:rPr>
          <w:tab/>
        </w:r>
        <w:r w:rsidRPr="001C6ED0">
          <w:rPr>
            <w:noProof/>
          </w:rPr>
          <w:fldChar w:fldCharType="begin"/>
        </w:r>
        <w:r w:rsidR="001C6ED0" w:rsidRPr="001C6ED0">
          <w:rPr>
            <w:noProof/>
          </w:rPr>
          <w:instrText xml:space="preserve"> PAGEREF _Toc112844809 \h </w:instrText>
        </w:r>
        <w:r w:rsidRPr="001C6ED0">
          <w:rPr>
            <w:noProof/>
          </w:rPr>
        </w:r>
        <w:r w:rsidRPr="001C6ED0">
          <w:rPr>
            <w:noProof/>
          </w:rPr>
          <w:fldChar w:fldCharType="separate"/>
        </w:r>
        <w:r w:rsidR="0014135C">
          <w:rPr>
            <w:noProof/>
          </w:rPr>
          <w:t>III</w:t>
        </w:r>
        <w:r w:rsidRPr="001C6ED0">
          <w:rPr>
            <w:noProof/>
          </w:rPr>
          <w:fldChar w:fldCharType="end"/>
        </w:r>
      </w:hyperlink>
    </w:p>
    <w:p w:rsidR="001C6ED0" w:rsidRPr="001C6ED0" w:rsidRDefault="00A0242A">
      <w:pPr>
        <w:pStyle w:val="10"/>
        <w:tabs>
          <w:tab w:val="right" w:leader="dot" w:pos="9344"/>
        </w:tabs>
        <w:rPr>
          <w:rFonts w:asciiTheme="minorHAnsi" w:eastAsiaTheme="minorEastAsia" w:hAnsiTheme="minorHAnsi" w:cstheme="minorBidi"/>
          <w:noProof/>
          <w:szCs w:val="22"/>
        </w:rPr>
      </w:pPr>
      <w:hyperlink w:anchor="_Toc112844810" w:history="1">
        <w:r w:rsidR="001C6ED0" w:rsidRPr="001C6ED0">
          <w:rPr>
            <w:rStyle w:val="affffff7"/>
            <w:noProof/>
          </w:rPr>
          <w:t>引言</w:t>
        </w:r>
        <w:r w:rsidR="001C6ED0" w:rsidRPr="001C6ED0">
          <w:rPr>
            <w:noProof/>
          </w:rPr>
          <w:tab/>
        </w:r>
        <w:r w:rsidRPr="001C6ED0">
          <w:rPr>
            <w:noProof/>
          </w:rPr>
          <w:fldChar w:fldCharType="begin"/>
        </w:r>
        <w:r w:rsidR="001C6ED0" w:rsidRPr="001C6ED0">
          <w:rPr>
            <w:noProof/>
          </w:rPr>
          <w:instrText xml:space="preserve"> PAGEREF _Toc112844810 \h </w:instrText>
        </w:r>
        <w:r w:rsidRPr="001C6ED0">
          <w:rPr>
            <w:noProof/>
          </w:rPr>
        </w:r>
        <w:r w:rsidRPr="001C6ED0">
          <w:rPr>
            <w:noProof/>
          </w:rPr>
          <w:fldChar w:fldCharType="separate"/>
        </w:r>
        <w:r w:rsidR="0014135C">
          <w:rPr>
            <w:noProof/>
          </w:rPr>
          <w:t>IV</w:t>
        </w:r>
        <w:r w:rsidRPr="001C6ED0">
          <w:rPr>
            <w:noProof/>
          </w:rPr>
          <w:fldChar w:fldCharType="end"/>
        </w:r>
      </w:hyperlink>
    </w:p>
    <w:p w:rsidR="001C6ED0" w:rsidRPr="001C6ED0" w:rsidRDefault="00A0242A">
      <w:pPr>
        <w:pStyle w:val="10"/>
        <w:tabs>
          <w:tab w:val="right" w:leader="dot" w:pos="9344"/>
        </w:tabs>
        <w:rPr>
          <w:rFonts w:asciiTheme="minorHAnsi" w:eastAsiaTheme="minorEastAsia" w:hAnsiTheme="minorHAnsi" w:cstheme="minorBidi"/>
          <w:noProof/>
          <w:szCs w:val="22"/>
        </w:rPr>
      </w:pPr>
      <w:hyperlink w:anchor="_Toc112844811" w:history="1">
        <w:r w:rsidR="001C6ED0" w:rsidRPr="001C6ED0">
          <w:rPr>
            <w:rStyle w:val="affffff7"/>
            <w:noProof/>
          </w:rPr>
          <w:t>1</w:t>
        </w:r>
        <w:r w:rsidR="001C6ED0">
          <w:rPr>
            <w:rStyle w:val="affffff7"/>
            <w:noProof/>
          </w:rPr>
          <w:t xml:space="preserve"> </w:t>
        </w:r>
        <w:r w:rsidR="001C6ED0" w:rsidRPr="001C6ED0">
          <w:rPr>
            <w:rStyle w:val="affffff7"/>
            <w:noProof/>
          </w:rPr>
          <w:t xml:space="preserve"> 范围</w:t>
        </w:r>
        <w:r w:rsidR="001C6ED0" w:rsidRPr="001C6ED0">
          <w:rPr>
            <w:noProof/>
          </w:rPr>
          <w:tab/>
        </w:r>
        <w:r w:rsidRPr="001C6ED0">
          <w:rPr>
            <w:noProof/>
          </w:rPr>
          <w:fldChar w:fldCharType="begin"/>
        </w:r>
        <w:r w:rsidR="001C6ED0" w:rsidRPr="001C6ED0">
          <w:rPr>
            <w:noProof/>
          </w:rPr>
          <w:instrText xml:space="preserve"> PAGEREF _Toc112844811 \h </w:instrText>
        </w:r>
        <w:r w:rsidRPr="001C6ED0">
          <w:rPr>
            <w:noProof/>
          </w:rPr>
        </w:r>
        <w:r w:rsidRPr="001C6ED0">
          <w:rPr>
            <w:noProof/>
          </w:rPr>
          <w:fldChar w:fldCharType="separate"/>
        </w:r>
        <w:r w:rsidR="0014135C">
          <w:rPr>
            <w:noProof/>
          </w:rPr>
          <w:t>1</w:t>
        </w:r>
        <w:r w:rsidRPr="001C6ED0">
          <w:rPr>
            <w:noProof/>
          </w:rPr>
          <w:fldChar w:fldCharType="end"/>
        </w:r>
      </w:hyperlink>
    </w:p>
    <w:p w:rsidR="001C6ED0" w:rsidRPr="001C6ED0" w:rsidRDefault="00A0242A">
      <w:pPr>
        <w:pStyle w:val="10"/>
        <w:tabs>
          <w:tab w:val="right" w:leader="dot" w:pos="9344"/>
        </w:tabs>
        <w:rPr>
          <w:rFonts w:asciiTheme="minorHAnsi" w:eastAsiaTheme="minorEastAsia" w:hAnsiTheme="minorHAnsi" w:cstheme="minorBidi"/>
          <w:noProof/>
          <w:szCs w:val="22"/>
        </w:rPr>
      </w:pPr>
      <w:hyperlink w:anchor="_Toc112844812" w:history="1">
        <w:r w:rsidR="001C6ED0" w:rsidRPr="001C6ED0">
          <w:rPr>
            <w:rStyle w:val="affffff7"/>
            <w:noProof/>
          </w:rPr>
          <w:t>2</w:t>
        </w:r>
        <w:r w:rsidR="001C6ED0">
          <w:rPr>
            <w:rStyle w:val="affffff7"/>
            <w:noProof/>
          </w:rPr>
          <w:t xml:space="preserve"> </w:t>
        </w:r>
        <w:r w:rsidR="001C6ED0" w:rsidRPr="001C6ED0">
          <w:rPr>
            <w:rStyle w:val="affffff7"/>
            <w:noProof/>
          </w:rPr>
          <w:t xml:space="preserve"> 规范性引用文件</w:t>
        </w:r>
        <w:r w:rsidR="001C6ED0" w:rsidRPr="001C6ED0">
          <w:rPr>
            <w:noProof/>
          </w:rPr>
          <w:tab/>
        </w:r>
        <w:r w:rsidRPr="001C6ED0">
          <w:rPr>
            <w:noProof/>
          </w:rPr>
          <w:fldChar w:fldCharType="begin"/>
        </w:r>
        <w:r w:rsidR="001C6ED0" w:rsidRPr="001C6ED0">
          <w:rPr>
            <w:noProof/>
          </w:rPr>
          <w:instrText xml:space="preserve"> PAGEREF _Toc112844812 \h </w:instrText>
        </w:r>
        <w:r w:rsidRPr="001C6ED0">
          <w:rPr>
            <w:noProof/>
          </w:rPr>
        </w:r>
        <w:r w:rsidRPr="001C6ED0">
          <w:rPr>
            <w:noProof/>
          </w:rPr>
          <w:fldChar w:fldCharType="separate"/>
        </w:r>
        <w:r w:rsidR="0014135C">
          <w:rPr>
            <w:noProof/>
          </w:rPr>
          <w:t>1</w:t>
        </w:r>
        <w:r w:rsidRPr="001C6ED0">
          <w:rPr>
            <w:noProof/>
          </w:rPr>
          <w:fldChar w:fldCharType="end"/>
        </w:r>
      </w:hyperlink>
    </w:p>
    <w:p w:rsidR="001C6ED0" w:rsidRPr="001C6ED0" w:rsidRDefault="00A0242A">
      <w:pPr>
        <w:pStyle w:val="10"/>
        <w:tabs>
          <w:tab w:val="right" w:leader="dot" w:pos="9344"/>
        </w:tabs>
        <w:rPr>
          <w:rFonts w:asciiTheme="minorHAnsi" w:eastAsiaTheme="minorEastAsia" w:hAnsiTheme="minorHAnsi" w:cstheme="minorBidi"/>
          <w:noProof/>
          <w:szCs w:val="22"/>
        </w:rPr>
      </w:pPr>
      <w:hyperlink w:anchor="_Toc112844813" w:history="1">
        <w:r w:rsidR="001C6ED0" w:rsidRPr="001C6ED0">
          <w:rPr>
            <w:rStyle w:val="affffff7"/>
            <w:noProof/>
          </w:rPr>
          <w:t>3</w:t>
        </w:r>
        <w:r w:rsidR="001C6ED0">
          <w:rPr>
            <w:rStyle w:val="affffff7"/>
            <w:noProof/>
          </w:rPr>
          <w:t xml:space="preserve"> </w:t>
        </w:r>
        <w:r w:rsidR="001C6ED0" w:rsidRPr="001C6ED0">
          <w:rPr>
            <w:rStyle w:val="affffff7"/>
            <w:noProof/>
          </w:rPr>
          <w:t xml:space="preserve"> 术语、定义和符号</w:t>
        </w:r>
        <w:r w:rsidR="001C6ED0" w:rsidRPr="001C6ED0">
          <w:rPr>
            <w:noProof/>
          </w:rPr>
          <w:tab/>
        </w:r>
        <w:r w:rsidRPr="001C6ED0">
          <w:rPr>
            <w:noProof/>
          </w:rPr>
          <w:fldChar w:fldCharType="begin"/>
        </w:r>
        <w:r w:rsidR="001C6ED0" w:rsidRPr="001C6ED0">
          <w:rPr>
            <w:noProof/>
          </w:rPr>
          <w:instrText xml:space="preserve"> PAGEREF _Toc112844813 \h </w:instrText>
        </w:r>
        <w:r w:rsidRPr="001C6ED0">
          <w:rPr>
            <w:noProof/>
          </w:rPr>
        </w:r>
        <w:r w:rsidRPr="001C6ED0">
          <w:rPr>
            <w:noProof/>
          </w:rPr>
          <w:fldChar w:fldCharType="separate"/>
        </w:r>
        <w:r w:rsidR="0014135C">
          <w:rPr>
            <w:noProof/>
          </w:rPr>
          <w:t>1</w:t>
        </w:r>
        <w:r w:rsidRPr="001C6ED0">
          <w:rPr>
            <w:noProof/>
          </w:rPr>
          <w:fldChar w:fldCharType="end"/>
        </w:r>
      </w:hyperlink>
    </w:p>
    <w:p w:rsidR="001C6ED0" w:rsidRPr="001C6ED0" w:rsidRDefault="00A0242A">
      <w:pPr>
        <w:pStyle w:val="23"/>
        <w:rPr>
          <w:rFonts w:asciiTheme="minorHAnsi" w:eastAsiaTheme="minorEastAsia" w:hAnsiTheme="minorHAnsi" w:cstheme="minorBidi"/>
          <w:noProof/>
          <w:szCs w:val="22"/>
        </w:rPr>
      </w:pPr>
      <w:hyperlink w:anchor="_Toc112844814" w:history="1">
        <w:r w:rsidR="001C6ED0" w:rsidRPr="001C6ED0">
          <w:rPr>
            <w:rStyle w:val="affffff7"/>
            <w:noProof/>
          </w:rPr>
          <w:t>3.1</w:t>
        </w:r>
        <w:r w:rsidR="001C6ED0">
          <w:rPr>
            <w:rStyle w:val="affffff7"/>
            <w:noProof/>
          </w:rPr>
          <w:t xml:space="preserve"> </w:t>
        </w:r>
        <w:r w:rsidR="001C6ED0" w:rsidRPr="001C6ED0">
          <w:rPr>
            <w:rStyle w:val="affffff7"/>
            <w:noProof/>
          </w:rPr>
          <w:t xml:space="preserve"> 总则</w:t>
        </w:r>
        <w:r w:rsidR="001C6ED0" w:rsidRPr="001C6ED0">
          <w:rPr>
            <w:noProof/>
          </w:rPr>
          <w:tab/>
        </w:r>
        <w:r w:rsidRPr="001C6ED0">
          <w:rPr>
            <w:noProof/>
          </w:rPr>
          <w:fldChar w:fldCharType="begin"/>
        </w:r>
        <w:r w:rsidR="001C6ED0" w:rsidRPr="001C6ED0">
          <w:rPr>
            <w:noProof/>
          </w:rPr>
          <w:instrText xml:space="preserve"> PAGEREF _Toc112844814 \h </w:instrText>
        </w:r>
        <w:r w:rsidRPr="001C6ED0">
          <w:rPr>
            <w:noProof/>
          </w:rPr>
        </w:r>
        <w:r w:rsidRPr="001C6ED0">
          <w:rPr>
            <w:noProof/>
          </w:rPr>
          <w:fldChar w:fldCharType="separate"/>
        </w:r>
        <w:r w:rsidR="0014135C">
          <w:rPr>
            <w:noProof/>
          </w:rPr>
          <w:t>1</w:t>
        </w:r>
        <w:r w:rsidRPr="001C6ED0">
          <w:rPr>
            <w:noProof/>
          </w:rPr>
          <w:fldChar w:fldCharType="end"/>
        </w:r>
      </w:hyperlink>
    </w:p>
    <w:p w:rsidR="001C6ED0" w:rsidRPr="001C6ED0" w:rsidRDefault="00A0242A">
      <w:pPr>
        <w:pStyle w:val="23"/>
        <w:rPr>
          <w:rFonts w:asciiTheme="minorHAnsi" w:eastAsiaTheme="minorEastAsia" w:hAnsiTheme="minorHAnsi" w:cstheme="minorBidi"/>
          <w:noProof/>
          <w:szCs w:val="22"/>
        </w:rPr>
      </w:pPr>
      <w:hyperlink w:anchor="_Toc112844815" w:history="1">
        <w:r w:rsidR="001C6ED0" w:rsidRPr="001C6ED0">
          <w:rPr>
            <w:rStyle w:val="affffff7"/>
            <w:noProof/>
          </w:rPr>
          <w:t>3.2</w:t>
        </w:r>
        <w:r w:rsidR="001C6ED0">
          <w:rPr>
            <w:rStyle w:val="affffff7"/>
            <w:noProof/>
          </w:rPr>
          <w:t xml:space="preserve"> </w:t>
        </w:r>
        <w:r w:rsidR="001C6ED0" w:rsidRPr="001C6ED0">
          <w:rPr>
            <w:rStyle w:val="affffff7"/>
            <w:noProof/>
          </w:rPr>
          <w:t xml:space="preserve"> 符号</w:t>
        </w:r>
        <w:r w:rsidR="001C6ED0" w:rsidRPr="001C6ED0">
          <w:rPr>
            <w:noProof/>
          </w:rPr>
          <w:tab/>
        </w:r>
        <w:r w:rsidRPr="001C6ED0">
          <w:rPr>
            <w:noProof/>
          </w:rPr>
          <w:fldChar w:fldCharType="begin"/>
        </w:r>
        <w:r w:rsidR="001C6ED0" w:rsidRPr="001C6ED0">
          <w:rPr>
            <w:noProof/>
          </w:rPr>
          <w:instrText xml:space="preserve"> PAGEREF _Toc112844815 \h </w:instrText>
        </w:r>
        <w:r w:rsidRPr="001C6ED0">
          <w:rPr>
            <w:noProof/>
          </w:rPr>
        </w:r>
        <w:r w:rsidRPr="001C6ED0">
          <w:rPr>
            <w:noProof/>
          </w:rPr>
          <w:fldChar w:fldCharType="separate"/>
        </w:r>
        <w:r w:rsidR="0014135C">
          <w:rPr>
            <w:noProof/>
          </w:rPr>
          <w:t>3</w:t>
        </w:r>
        <w:r w:rsidRPr="001C6ED0">
          <w:rPr>
            <w:noProof/>
          </w:rPr>
          <w:fldChar w:fldCharType="end"/>
        </w:r>
      </w:hyperlink>
    </w:p>
    <w:p w:rsidR="001C6ED0" w:rsidRPr="001C6ED0" w:rsidRDefault="00A0242A">
      <w:pPr>
        <w:pStyle w:val="10"/>
        <w:tabs>
          <w:tab w:val="right" w:leader="dot" w:pos="9344"/>
        </w:tabs>
        <w:rPr>
          <w:rFonts w:asciiTheme="minorHAnsi" w:eastAsiaTheme="minorEastAsia" w:hAnsiTheme="minorHAnsi" w:cstheme="minorBidi"/>
          <w:noProof/>
          <w:szCs w:val="22"/>
        </w:rPr>
      </w:pPr>
      <w:hyperlink w:anchor="_Toc112844816" w:history="1">
        <w:r w:rsidR="001C6ED0" w:rsidRPr="001C6ED0">
          <w:rPr>
            <w:rStyle w:val="affffff7"/>
            <w:noProof/>
          </w:rPr>
          <w:t>4</w:t>
        </w:r>
        <w:r w:rsidR="001C6ED0">
          <w:rPr>
            <w:rStyle w:val="affffff7"/>
            <w:noProof/>
          </w:rPr>
          <w:t xml:space="preserve"> </w:t>
        </w:r>
        <w:r w:rsidR="001C6ED0" w:rsidRPr="001C6ED0">
          <w:rPr>
            <w:rStyle w:val="affffff7"/>
            <w:noProof/>
          </w:rPr>
          <w:t xml:space="preserve"> 剂量测量</w:t>
        </w:r>
        <w:r w:rsidR="001C6ED0" w:rsidRPr="001C6ED0">
          <w:rPr>
            <w:noProof/>
          </w:rPr>
          <w:tab/>
        </w:r>
        <w:r w:rsidRPr="001C6ED0">
          <w:rPr>
            <w:noProof/>
          </w:rPr>
          <w:fldChar w:fldCharType="begin"/>
        </w:r>
        <w:r w:rsidR="001C6ED0" w:rsidRPr="001C6ED0">
          <w:rPr>
            <w:noProof/>
          </w:rPr>
          <w:instrText xml:space="preserve"> PAGEREF _Toc112844816 \h </w:instrText>
        </w:r>
        <w:r w:rsidRPr="001C6ED0">
          <w:rPr>
            <w:noProof/>
          </w:rPr>
        </w:r>
        <w:r w:rsidRPr="001C6ED0">
          <w:rPr>
            <w:noProof/>
          </w:rPr>
          <w:fldChar w:fldCharType="separate"/>
        </w:r>
        <w:r w:rsidR="0014135C">
          <w:rPr>
            <w:noProof/>
          </w:rPr>
          <w:t>3</w:t>
        </w:r>
        <w:r w:rsidRPr="001C6ED0">
          <w:rPr>
            <w:noProof/>
          </w:rPr>
          <w:fldChar w:fldCharType="end"/>
        </w:r>
      </w:hyperlink>
    </w:p>
    <w:p w:rsidR="001C6ED0" w:rsidRPr="001C6ED0" w:rsidRDefault="00A0242A">
      <w:pPr>
        <w:pStyle w:val="23"/>
        <w:rPr>
          <w:rFonts w:asciiTheme="minorHAnsi" w:eastAsiaTheme="minorEastAsia" w:hAnsiTheme="minorHAnsi" w:cstheme="minorBidi"/>
          <w:noProof/>
          <w:szCs w:val="22"/>
        </w:rPr>
      </w:pPr>
      <w:hyperlink w:anchor="_Toc112844817" w:history="1">
        <w:r w:rsidR="001C6ED0" w:rsidRPr="001C6ED0">
          <w:rPr>
            <w:rStyle w:val="affffff7"/>
            <w:noProof/>
          </w:rPr>
          <w:t>4.1</w:t>
        </w:r>
        <w:r w:rsidR="001C6ED0">
          <w:rPr>
            <w:rStyle w:val="affffff7"/>
            <w:noProof/>
          </w:rPr>
          <w:t xml:space="preserve"> </w:t>
        </w:r>
        <w:r w:rsidR="001C6ED0" w:rsidRPr="001C6ED0">
          <w:rPr>
            <w:rStyle w:val="affffff7"/>
            <w:noProof/>
          </w:rPr>
          <w:t xml:space="preserve"> 总则</w:t>
        </w:r>
        <w:r w:rsidR="001C6ED0" w:rsidRPr="001C6ED0">
          <w:rPr>
            <w:noProof/>
          </w:rPr>
          <w:tab/>
        </w:r>
        <w:r w:rsidRPr="001C6ED0">
          <w:rPr>
            <w:noProof/>
          </w:rPr>
          <w:fldChar w:fldCharType="begin"/>
        </w:r>
        <w:r w:rsidR="001C6ED0" w:rsidRPr="001C6ED0">
          <w:rPr>
            <w:noProof/>
          </w:rPr>
          <w:instrText xml:space="preserve"> PAGEREF _Toc112844817 \h </w:instrText>
        </w:r>
        <w:r w:rsidRPr="001C6ED0">
          <w:rPr>
            <w:noProof/>
          </w:rPr>
        </w:r>
        <w:r w:rsidRPr="001C6ED0">
          <w:rPr>
            <w:noProof/>
          </w:rPr>
          <w:fldChar w:fldCharType="separate"/>
        </w:r>
        <w:r w:rsidR="0014135C">
          <w:rPr>
            <w:noProof/>
          </w:rPr>
          <w:t>3</w:t>
        </w:r>
        <w:r w:rsidRPr="001C6ED0">
          <w:rPr>
            <w:noProof/>
          </w:rPr>
          <w:fldChar w:fldCharType="end"/>
        </w:r>
      </w:hyperlink>
    </w:p>
    <w:p w:rsidR="001C6ED0" w:rsidRPr="001C6ED0" w:rsidRDefault="00A0242A">
      <w:pPr>
        <w:pStyle w:val="30"/>
        <w:tabs>
          <w:tab w:val="right" w:leader="dot" w:pos="9344"/>
        </w:tabs>
        <w:rPr>
          <w:rFonts w:asciiTheme="minorHAnsi" w:eastAsiaTheme="minorEastAsia" w:hAnsiTheme="minorHAnsi" w:cstheme="minorBidi"/>
          <w:noProof/>
          <w:szCs w:val="22"/>
        </w:rPr>
      </w:pPr>
      <w:hyperlink w:anchor="_Toc112844818" w:history="1">
        <w:r w:rsidR="001C6ED0" w:rsidRPr="001C6ED0">
          <w:rPr>
            <w:rStyle w:val="affffff7"/>
            <w:noProof/>
          </w:rPr>
          <w:t>4.1.1</w:t>
        </w:r>
        <w:r w:rsidR="001C6ED0">
          <w:rPr>
            <w:rStyle w:val="affffff7"/>
            <w:noProof/>
          </w:rPr>
          <w:t xml:space="preserve"> </w:t>
        </w:r>
        <w:r w:rsidR="001C6ED0" w:rsidRPr="001C6ED0">
          <w:rPr>
            <w:rStyle w:val="affffff7"/>
            <w:noProof/>
          </w:rPr>
          <w:t xml:space="preserve"> 直接和间接剂量测量</w:t>
        </w:r>
        <w:r w:rsidR="001C6ED0" w:rsidRPr="001C6ED0">
          <w:rPr>
            <w:noProof/>
          </w:rPr>
          <w:tab/>
        </w:r>
        <w:r w:rsidRPr="001C6ED0">
          <w:rPr>
            <w:noProof/>
          </w:rPr>
          <w:fldChar w:fldCharType="begin"/>
        </w:r>
        <w:r w:rsidR="001C6ED0" w:rsidRPr="001C6ED0">
          <w:rPr>
            <w:noProof/>
          </w:rPr>
          <w:instrText xml:space="preserve"> PAGEREF _Toc112844818 \h </w:instrText>
        </w:r>
        <w:r w:rsidRPr="001C6ED0">
          <w:rPr>
            <w:noProof/>
          </w:rPr>
        </w:r>
        <w:r w:rsidRPr="001C6ED0">
          <w:rPr>
            <w:noProof/>
          </w:rPr>
          <w:fldChar w:fldCharType="separate"/>
        </w:r>
        <w:r w:rsidR="0014135C">
          <w:rPr>
            <w:noProof/>
          </w:rPr>
          <w:t>3</w:t>
        </w:r>
        <w:r w:rsidRPr="001C6ED0">
          <w:rPr>
            <w:noProof/>
          </w:rPr>
          <w:fldChar w:fldCharType="end"/>
        </w:r>
      </w:hyperlink>
    </w:p>
    <w:p w:rsidR="001C6ED0" w:rsidRPr="001C6ED0" w:rsidRDefault="00A0242A">
      <w:pPr>
        <w:pStyle w:val="30"/>
        <w:tabs>
          <w:tab w:val="right" w:leader="dot" w:pos="9344"/>
        </w:tabs>
        <w:rPr>
          <w:rFonts w:asciiTheme="minorHAnsi" w:eastAsiaTheme="minorEastAsia" w:hAnsiTheme="minorHAnsi" w:cstheme="minorBidi"/>
          <w:noProof/>
          <w:szCs w:val="22"/>
        </w:rPr>
      </w:pPr>
      <w:hyperlink w:anchor="_Toc112844819" w:history="1">
        <w:r w:rsidR="001C6ED0" w:rsidRPr="001C6ED0">
          <w:rPr>
            <w:rStyle w:val="affffff7"/>
            <w:noProof/>
          </w:rPr>
          <w:t>4.1.2</w:t>
        </w:r>
        <w:r w:rsidR="001C6ED0">
          <w:rPr>
            <w:rStyle w:val="affffff7"/>
            <w:noProof/>
          </w:rPr>
          <w:t xml:space="preserve"> </w:t>
        </w:r>
        <w:r w:rsidR="001C6ED0" w:rsidRPr="001C6ED0">
          <w:rPr>
            <w:rStyle w:val="affffff7"/>
            <w:noProof/>
          </w:rPr>
          <w:t xml:space="preserve"> 剂量测量系统</w:t>
        </w:r>
        <w:r w:rsidR="001C6ED0" w:rsidRPr="001C6ED0">
          <w:rPr>
            <w:noProof/>
          </w:rPr>
          <w:tab/>
        </w:r>
        <w:r w:rsidRPr="001C6ED0">
          <w:rPr>
            <w:noProof/>
          </w:rPr>
          <w:fldChar w:fldCharType="begin"/>
        </w:r>
        <w:r w:rsidR="001C6ED0" w:rsidRPr="001C6ED0">
          <w:rPr>
            <w:noProof/>
          </w:rPr>
          <w:instrText xml:space="preserve"> PAGEREF _Toc112844819 \h </w:instrText>
        </w:r>
        <w:r w:rsidRPr="001C6ED0">
          <w:rPr>
            <w:noProof/>
          </w:rPr>
        </w:r>
        <w:r w:rsidRPr="001C6ED0">
          <w:rPr>
            <w:noProof/>
          </w:rPr>
          <w:fldChar w:fldCharType="separate"/>
        </w:r>
        <w:r w:rsidR="0014135C">
          <w:rPr>
            <w:noProof/>
          </w:rPr>
          <w:t>3</w:t>
        </w:r>
        <w:r w:rsidRPr="001C6ED0">
          <w:rPr>
            <w:noProof/>
          </w:rPr>
          <w:fldChar w:fldCharType="end"/>
        </w:r>
      </w:hyperlink>
    </w:p>
    <w:p w:rsidR="001C6ED0" w:rsidRPr="001C6ED0" w:rsidRDefault="00A0242A">
      <w:pPr>
        <w:pStyle w:val="30"/>
        <w:tabs>
          <w:tab w:val="right" w:leader="dot" w:pos="9344"/>
        </w:tabs>
        <w:rPr>
          <w:rFonts w:asciiTheme="minorHAnsi" w:eastAsiaTheme="minorEastAsia" w:hAnsiTheme="minorHAnsi" w:cstheme="minorBidi"/>
          <w:noProof/>
          <w:szCs w:val="22"/>
        </w:rPr>
      </w:pPr>
      <w:hyperlink w:anchor="_Toc112844820" w:history="1">
        <w:r w:rsidR="001C6ED0" w:rsidRPr="001C6ED0">
          <w:rPr>
            <w:rStyle w:val="affffff7"/>
            <w:noProof/>
          </w:rPr>
          <w:t>4.1.3</w:t>
        </w:r>
        <w:r w:rsidR="001C6ED0">
          <w:rPr>
            <w:rStyle w:val="affffff7"/>
            <w:noProof/>
          </w:rPr>
          <w:t xml:space="preserve"> </w:t>
        </w:r>
        <w:r w:rsidR="001C6ED0" w:rsidRPr="001C6ED0">
          <w:rPr>
            <w:rStyle w:val="affffff7"/>
            <w:noProof/>
          </w:rPr>
          <w:t xml:space="preserve"> 最佳剂量估计</w:t>
        </w:r>
        <w:r w:rsidR="001C6ED0" w:rsidRPr="001C6ED0">
          <w:rPr>
            <w:noProof/>
          </w:rPr>
          <w:tab/>
        </w:r>
        <w:r w:rsidRPr="001C6ED0">
          <w:rPr>
            <w:noProof/>
          </w:rPr>
          <w:fldChar w:fldCharType="begin"/>
        </w:r>
        <w:r w:rsidR="001C6ED0" w:rsidRPr="001C6ED0">
          <w:rPr>
            <w:noProof/>
          </w:rPr>
          <w:instrText xml:space="preserve"> PAGEREF _Toc112844820 \h </w:instrText>
        </w:r>
        <w:r w:rsidRPr="001C6ED0">
          <w:rPr>
            <w:noProof/>
          </w:rPr>
        </w:r>
        <w:r w:rsidRPr="001C6ED0">
          <w:rPr>
            <w:noProof/>
          </w:rPr>
          <w:fldChar w:fldCharType="separate"/>
        </w:r>
        <w:r w:rsidR="0014135C">
          <w:rPr>
            <w:noProof/>
          </w:rPr>
          <w:t>4</w:t>
        </w:r>
        <w:r w:rsidRPr="001C6ED0">
          <w:rPr>
            <w:noProof/>
          </w:rPr>
          <w:fldChar w:fldCharType="end"/>
        </w:r>
      </w:hyperlink>
    </w:p>
    <w:p w:rsidR="001C6ED0" w:rsidRPr="001C6ED0" w:rsidRDefault="00A0242A">
      <w:pPr>
        <w:pStyle w:val="23"/>
        <w:rPr>
          <w:rFonts w:asciiTheme="minorHAnsi" w:eastAsiaTheme="minorEastAsia" w:hAnsiTheme="minorHAnsi" w:cstheme="minorBidi"/>
          <w:noProof/>
          <w:szCs w:val="22"/>
        </w:rPr>
      </w:pPr>
      <w:hyperlink w:anchor="_Toc112844821" w:history="1">
        <w:r w:rsidR="001C6ED0" w:rsidRPr="001C6ED0">
          <w:rPr>
            <w:rStyle w:val="affffff7"/>
            <w:noProof/>
          </w:rPr>
          <w:t>4.2</w:t>
        </w:r>
        <w:r w:rsidR="001C6ED0">
          <w:rPr>
            <w:rStyle w:val="affffff7"/>
            <w:noProof/>
          </w:rPr>
          <w:t xml:space="preserve"> </w:t>
        </w:r>
        <w:r w:rsidR="001C6ED0" w:rsidRPr="001C6ED0">
          <w:rPr>
            <w:rStyle w:val="affffff7"/>
            <w:noProof/>
          </w:rPr>
          <w:t xml:space="preserve"> 剂量测量系统的选择和校准</w:t>
        </w:r>
        <w:r w:rsidR="001C6ED0" w:rsidRPr="001C6ED0">
          <w:rPr>
            <w:noProof/>
          </w:rPr>
          <w:tab/>
        </w:r>
        <w:r w:rsidRPr="001C6ED0">
          <w:rPr>
            <w:noProof/>
          </w:rPr>
          <w:fldChar w:fldCharType="begin"/>
        </w:r>
        <w:r w:rsidR="001C6ED0" w:rsidRPr="001C6ED0">
          <w:rPr>
            <w:noProof/>
          </w:rPr>
          <w:instrText xml:space="preserve"> PAGEREF _Toc112844821 \h </w:instrText>
        </w:r>
        <w:r w:rsidRPr="001C6ED0">
          <w:rPr>
            <w:noProof/>
          </w:rPr>
        </w:r>
        <w:r w:rsidRPr="001C6ED0">
          <w:rPr>
            <w:noProof/>
          </w:rPr>
          <w:fldChar w:fldCharType="separate"/>
        </w:r>
        <w:r w:rsidR="0014135C">
          <w:rPr>
            <w:noProof/>
          </w:rPr>
          <w:t>4</w:t>
        </w:r>
        <w:r w:rsidRPr="001C6ED0">
          <w:rPr>
            <w:noProof/>
          </w:rPr>
          <w:fldChar w:fldCharType="end"/>
        </w:r>
      </w:hyperlink>
    </w:p>
    <w:p w:rsidR="001C6ED0" w:rsidRPr="001C6ED0" w:rsidRDefault="00A0242A">
      <w:pPr>
        <w:pStyle w:val="30"/>
        <w:tabs>
          <w:tab w:val="right" w:leader="dot" w:pos="9344"/>
        </w:tabs>
        <w:rPr>
          <w:rFonts w:asciiTheme="minorHAnsi" w:eastAsiaTheme="minorEastAsia" w:hAnsiTheme="minorHAnsi" w:cstheme="minorBidi"/>
          <w:noProof/>
          <w:szCs w:val="22"/>
        </w:rPr>
      </w:pPr>
      <w:hyperlink w:anchor="_Toc112844822" w:history="1">
        <w:r w:rsidR="001C6ED0" w:rsidRPr="001C6ED0">
          <w:rPr>
            <w:rStyle w:val="affffff7"/>
            <w:noProof/>
          </w:rPr>
          <w:t>4.2.1</w:t>
        </w:r>
        <w:r w:rsidR="001C6ED0">
          <w:rPr>
            <w:rStyle w:val="affffff7"/>
            <w:noProof/>
          </w:rPr>
          <w:t xml:space="preserve"> </w:t>
        </w:r>
        <w:r w:rsidR="001C6ED0" w:rsidRPr="001C6ED0">
          <w:rPr>
            <w:rStyle w:val="affffff7"/>
            <w:noProof/>
          </w:rPr>
          <w:t xml:space="preserve"> 总则</w:t>
        </w:r>
        <w:r w:rsidR="001C6ED0" w:rsidRPr="001C6ED0">
          <w:rPr>
            <w:noProof/>
          </w:rPr>
          <w:tab/>
        </w:r>
        <w:r w:rsidRPr="001C6ED0">
          <w:rPr>
            <w:noProof/>
          </w:rPr>
          <w:fldChar w:fldCharType="begin"/>
        </w:r>
        <w:r w:rsidR="001C6ED0" w:rsidRPr="001C6ED0">
          <w:rPr>
            <w:noProof/>
          </w:rPr>
          <w:instrText xml:space="preserve"> PAGEREF _Toc112844822 \h </w:instrText>
        </w:r>
        <w:r w:rsidRPr="001C6ED0">
          <w:rPr>
            <w:noProof/>
          </w:rPr>
        </w:r>
        <w:r w:rsidRPr="001C6ED0">
          <w:rPr>
            <w:noProof/>
          </w:rPr>
          <w:fldChar w:fldCharType="separate"/>
        </w:r>
        <w:r w:rsidR="0014135C">
          <w:rPr>
            <w:noProof/>
          </w:rPr>
          <w:t>4</w:t>
        </w:r>
        <w:r w:rsidRPr="001C6ED0">
          <w:rPr>
            <w:noProof/>
          </w:rPr>
          <w:fldChar w:fldCharType="end"/>
        </w:r>
      </w:hyperlink>
    </w:p>
    <w:p w:rsidR="001C6ED0" w:rsidRPr="001C6ED0" w:rsidRDefault="00A0242A">
      <w:pPr>
        <w:pStyle w:val="30"/>
        <w:tabs>
          <w:tab w:val="right" w:leader="dot" w:pos="9344"/>
        </w:tabs>
        <w:rPr>
          <w:rFonts w:asciiTheme="minorHAnsi" w:eastAsiaTheme="minorEastAsia" w:hAnsiTheme="minorHAnsi" w:cstheme="minorBidi"/>
          <w:noProof/>
          <w:szCs w:val="22"/>
        </w:rPr>
      </w:pPr>
      <w:hyperlink w:anchor="_Toc112844823" w:history="1">
        <w:r w:rsidR="001C6ED0" w:rsidRPr="001C6ED0">
          <w:rPr>
            <w:rStyle w:val="affffff7"/>
            <w:noProof/>
          </w:rPr>
          <w:t>4.2.2</w:t>
        </w:r>
        <w:r w:rsidR="001C6ED0">
          <w:rPr>
            <w:rStyle w:val="affffff7"/>
            <w:noProof/>
          </w:rPr>
          <w:t xml:space="preserve"> </w:t>
        </w:r>
        <w:r w:rsidR="001C6ED0" w:rsidRPr="001C6ED0">
          <w:rPr>
            <w:rStyle w:val="affffff7"/>
            <w:noProof/>
          </w:rPr>
          <w:t xml:space="preserve"> 剂量测量系统的选择</w:t>
        </w:r>
        <w:r w:rsidR="001C6ED0" w:rsidRPr="001C6ED0">
          <w:rPr>
            <w:noProof/>
          </w:rPr>
          <w:tab/>
        </w:r>
        <w:r w:rsidRPr="001C6ED0">
          <w:rPr>
            <w:noProof/>
          </w:rPr>
          <w:fldChar w:fldCharType="begin"/>
        </w:r>
        <w:r w:rsidR="001C6ED0" w:rsidRPr="001C6ED0">
          <w:rPr>
            <w:noProof/>
          </w:rPr>
          <w:instrText xml:space="preserve"> PAGEREF _Toc112844823 \h </w:instrText>
        </w:r>
        <w:r w:rsidRPr="001C6ED0">
          <w:rPr>
            <w:noProof/>
          </w:rPr>
        </w:r>
        <w:r w:rsidRPr="001C6ED0">
          <w:rPr>
            <w:noProof/>
          </w:rPr>
          <w:fldChar w:fldCharType="separate"/>
        </w:r>
        <w:r w:rsidR="0014135C">
          <w:rPr>
            <w:noProof/>
          </w:rPr>
          <w:t>4</w:t>
        </w:r>
        <w:r w:rsidRPr="001C6ED0">
          <w:rPr>
            <w:noProof/>
          </w:rPr>
          <w:fldChar w:fldCharType="end"/>
        </w:r>
      </w:hyperlink>
    </w:p>
    <w:p w:rsidR="001C6ED0" w:rsidRPr="001C6ED0" w:rsidRDefault="00A0242A">
      <w:pPr>
        <w:pStyle w:val="30"/>
        <w:tabs>
          <w:tab w:val="right" w:leader="dot" w:pos="9344"/>
        </w:tabs>
        <w:rPr>
          <w:rFonts w:asciiTheme="minorHAnsi" w:eastAsiaTheme="minorEastAsia" w:hAnsiTheme="minorHAnsi" w:cstheme="minorBidi"/>
          <w:noProof/>
          <w:szCs w:val="22"/>
        </w:rPr>
      </w:pPr>
      <w:hyperlink w:anchor="_Toc112844824" w:history="1">
        <w:r w:rsidR="001C6ED0" w:rsidRPr="001C6ED0">
          <w:rPr>
            <w:rStyle w:val="affffff7"/>
            <w:noProof/>
          </w:rPr>
          <w:t>4.2.3</w:t>
        </w:r>
        <w:r w:rsidR="001C6ED0">
          <w:rPr>
            <w:rStyle w:val="affffff7"/>
            <w:noProof/>
          </w:rPr>
          <w:t xml:space="preserve"> </w:t>
        </w:r>
        <w:r w:rsidR="001C6ED0" w:rsidRPr="001C6ED0">
          <w:rPr>
            <w:rStyle w:val="affffff7"/>
            <w:noProof/>
          </w:rPr>
          <w:t xml:space="preserve"> 剂量测量系统的校准</w:t>
        </w:r>
        <w:r w:rsidR="001C6ED0" w:rsidRPr="001C6ED0">
          <w:rPr>
            <w:noProof/>
          </w:rPr>
          <w:tab/>
        </w:r>
        <w:r w:rsidRPr="001C6ED0">
          <w:rPr>
            <w:noProof/>
          </w:rPr>
          <w:fldChar w:fldCharType="begin"/>
        </w:r>
        <w:r w:rsidR="001C6ED0" w:rsidRPr="001C6ED0">
          <w:rPr>
            <w:noProof/>
          </w:rPr>
          <w:instrText xml:space="preserve"> PAGEREF _Toc112844824 \h </w:instrText>
        </w:r>
        <w:r w:rsidRPr="001C6ED0">
          <w:rPr>
            <w:noProof/>
          </w:rPr>
        </w:r>
        <w:r w:rsidRPr="001C6ED0">
          <w:rPr>
            <w:noProof/>
          </w:rPr>
          <w:fldChar w:fldCharType="separate"/>
        </w:r>
        <w:r w:rsidR="0014135C">
          <w:rPr>
            <w:noProof/>
          </w:rPr>
          <w:t>4</w:t>
        </w:r>
        <w:r w:rsidRPr="001C6ED0">
          <w:rPr>
            <w:noProof/>
          </w:rPr>
          <w:fldChar w:fldCharType="end"/>
        </w:r>
      </w:hyperlink>
    </w:p>
    <w:p w:rsidR="001C6ED0" w:rsidRPr="001C6ED0" w:rsidRDefault="00A0242A">
      <w:pPr>
        <w:pStyle w:val="23"/>
        <w:rPr>
          <w:rFonts w:asciiTheme="minorHAnsi" w:eastAsiaTheme="minorEastAsia" w:hAnsiTheme="minorHAnsi" w:cstheme="minorBidi"/>
          <w:noProof/>
          <w:szCs w:val="22"/>
        </w:rPr>
      </w:pPr>
      <w:hyperlink w:anchor="_Toc112844825" w:history="1">
        <w:r w:rsidR="001C6ED0" w:rsidRPr="001C6ED0">
          <w:rPr>
            <w:rStyle w:val="affffff7"/>
            <w:noProof/>
          </w:rPr>
          <w:t>4.3</w:t>
        </w:r>
        <w:r w:rsidR="001C6ED0">
          <w:rPr>
            <w:rStyle w:val="affffff7"/>
            <w:noProof/>
          </w:rPr>
          <w:t xml:space="preserve"> </w:t>
        </w:r>
        <w:r w:rsidR="001C6ED0" w:rsidRPr="001C6ED0">
          <w:rPr>
            <w:rStyle w:val="affffff7"/>
            <w:noProof/>
          </w:rPr>
          <w:t xml:space="preserve"> 剂量测量的不确定度</w:t>
        </w:r>
        <w:r w:rsidR="001C6ED0" w:rsidRPr="001C6ED0">
          <w:rPr>
            <w:noProof/>
          </w:rPr>
          <w:tab/>
        </w:r>
        <w:r w:rsidRPr="001C6ED0">
          <w:rPr>
            <w:noProof/>
          </w:rPr>
          <w:fldChar w:fldCharType="begin"/>
        </w:r>
        <w:r w:rsidR="001C6ED0" w:rsidRPr="001C6ED0">
          <w:rPr>
            <w:noProof/>
          </w:rPr>
          <w:instrText xml:space="preserve"> PAGEREF _Toc112844825 \h </w:instrText>
        </w:r>
        <w:r w:rsidRPr="001C6ED0">
          <w:rPr>
            <w:noProof/>
          </w:rPr>
        </w:r>
        <w:r w:rsidRPr="001C6ED0">
          <w:rPr>
            <w:noProof/>
          </w:rPr>
          <w:fldChar w:fldCharType="separate"/>
        </w:r>
        <w:r w:rsidR="0014135C">
          <w:rPr>
            <w:noProof/>
          </w:rPr>
          <w:t>5</w:t>
        </w:r>
        <w:r w:rsidRPr="001C6ED0">
          <w:rPr>
            <w:noProof/>
          </w:rPr>
          <w:fldChar w:fldCharType="end"/>
        </w:r>
      </w:hyperlink>
    </w:p>
    <w:p w:rsidR="001C6ED0" w:rsidRPr="001C6ED0" w:rsidRDefault="00A0242A">
      <w:pPr>
        <w:pStyle w:val="30"/>
        <w:tabs>
          <w:tab w:val="right" w:leader="dot" w:pos="9344"/>
        </w:tabs>
        <w:rPr>
          <w:rFonts w:asciiTheme="minorHAnsi" w:eastAsiaTheme="minorEastAsia" w:hAnsiTheme="minorHAnsi" w:cstheme="minorBidi"/>
          <w:noProof/>
          <w:szCs w:val="22"/>
        </w:rPr>
      </w:pPr>
      <w:hyperlink w:anchor="_Toc112844826" w:history="1">
        <w:r w:rsidR="001C6ED0" w:rsidRPr="001C6ED0">
          <w:rPr>
            <w:rStyle w:val="affffff7"/>
            <w:noProof/>
          </w:rPr>
          <w:t>4.3.1</w:t>
        </w:r>
        <w:r w:rsidR="001C6ED0">
          <w:rPr>
            <w:rStyle w:val="affffff7"/>
            <w:noProof/>
          </w:rPr>
          <w:t xml:space="preserve"> </w:t>
        </w:r>
        <w:r w:rsidR="001C6ED0" w:rsidRPr="001C6ED0">
          <w:rPr>
            <w:rStyle w:val="affffff7"/>
            <w:noProof/>
          </w:rPr>
          <w:t xml:space="preserve"> 通用概念</w:t>
        </w:r>
        <w:r w:rsidR="001C6ED0" w:rsidRPr="001C6ED0">
          <w:rPr>
            <w:noProof/>
          </w:rPr>
          <w:tab/>
        </w:r>
        <w:r w:rsidRPr="001C6ED0">
          <w:rPr>
            <w:noProof/>
          </w:rPr>
          <w:fldChar w:fldCharType="begin"/>
        </w:r>
        <w:r w:rsidR="001C6ED0" w:rsidRPr="001C6ED0">
          <w:rPr>
            <w:noProof/>
          </w:rPr>
          <w:instrText xml:space="preserve"> PAGEREF _Toc112844826 \h </w:instrText>
        </w:r>
        <w:r w:rsidRPr="001C6ED0">
          <w:rPr>
            <w:noProof/>
          </w:rPr>
        </w:r>
        <w:r w:rsidRPr="001C6ED0">
          <w:rPr>
            <w:noProof/>
          </w:rPr>
          <w:fldChar w:fldCharType="separate"/>
        </w:r>
        <w:r w:rsidR="0014135C">
          <w:rPr>
            <w:noProof/>
          </w:rPr>
          <w:t>5</w:t>
        </w:r>
        <w:r w:rsidRPr="001C6ED0">
          <w:rPr>
            <w:noProof/>
          </w:rPr>
          <w:fldChar w:fldCharType="end"/>
        </w:r>
      </w:hyperlink>
    </w:p>
    <w:p w:rsidR="001C6ED0" w:rsidRPr="001C6ED0" w:rsidRDefault="00A0242A">
      <w:pPr>
        <w:pStyle w:val="30"/>
        <w:tabs>
          <w:tab w:val="right" w:leader="dot" w:pos="9344"/>
        </w:tabs>
        <w:rPr>
          <w:rFonts w:asciiTheme="minorHAnsi" w:eastAsiaTheme="minorEastAsia" w:hAnsiTheme="minorHAnsi" w:cstheme="minorBidi"/>
          <w:noProof/>
          <w:szCs w:val="22"/>
        </w:rPr>
      </w:pPr>
      <w:hyperlink w:anchor="_Toc112844827" w:history="1">
        <w:r w:rsidR="001C6ED0" w:rsidRPr="001C6ED0">
          <w:rPr>
            <w:rStyle w:val="affffff7"/>
            <w:noProof/>
          </w:rPr>
          <w:t>4.3.2</w:t>
        </w:r>
        <w:r w:rsidR="001C6ED0">
          <w:rPr>
            <w:rStyle w:val="affffff7"/>
            <w:noProof/>
          </w:rPr>
          <w:t xml:space="preserve"> </w:t>
        </w:r>
        <w:r w:rsidR="001C6ED0" w:rsidRPr="001C6ED0">
          <w:rPr>
            <w:rStyle w:val="affffff7"/>
            <w:noProof/>
          </w:rPr>
          <w:t xml:space="preserve"> 测量(GUM)方法中不确定度表达指南</w:t>
        </w:r>
        <w:r w:rsidR="001C6ED0" w:rsidRPr="001C6ED0">
          <w:rPr>
            <w:noProof/>
          </w:rPr>
          <w:tab/>
        </w:r>
        <w:r w:rsidRPr="001C6ED0">
          <w:rPr>
            <w:noProof/>
          </w:rPr>
          <w:fldChar w:fldCharType="begin"/>
        </w:r>
        <w:r w:rsidR="001C6ED0" w:rsidRPr="001C6ED0">
          <w:rPr>
            <w:noProof/>
          </w:rPr>
          <w:instrText xml:space="preserve"> PAGEREF _Toc112844827 \h </w:instrText>
        </w:r>
        <w:r w:rsidRPr="001C6ED0">
          <w:rPr>
            <w:noProof/>
          </w:rPr>
        </w:r>
        <w:r w:rsidRPr="001C6ED0">
          <w:rPr>
            <w:noProof/>
          </w:rPr>
          <w:fldChar w:fldCharType="separate"/>
        </w:r>
        <w:r w:rsidR="0014135C">
          <w:rPr>
            <w:noProof/>
          </w:rPr>
          <w:t>5</w:t>
        </w:r>
        <w:r w:rsidRPr="001C6ED0">
          <w:rPr>
            <w:noProof/>
          </w:rPr>
          <w:fldChar w:fldCharType="end"/>
        </w:r>
      </w:hyperlink>
    </w:p>
    <w:p w:rsidR="001C6ED0" w:rsidRPr="001C6ED0" w:rsidRDefault="00A0242A">
      <w:pPr>
        <w:pStyle w:val="30"/>
        <w:tabs>
          <w:tab w:val="right" w:leader="dot" w:pos="9344"/>
        </w:tabs>
        <w:rPr>
          <w:rFonts w:asciiTheme="minorHAnsi" w:eastAsiaTheme="minorEastAsia" w:hAnsiTheme="minorHAnsi" w:cstheme="minorBidi"/>
          <w:noProof/>
          <w:szCs w:val="22"/>
        </w:rPr>
      </w:pPr>
      <w:hyperlink w:anchor="_Toc112844828" w:history="1">
        <w:r w:rsidR="001C6ED0" w:rsidRPr="001C6ED0">
          <w:rPr>
            <w:rStyle w:val="affffff7"/>
            <w:noProof/>
          </w:rPr>
          <w:t>4.3.3</w:t>
        </w:r>
        <w:r w:rsidR="001C6ED0">
          <w:rPr>
            <w:rStyle w:val="affffff7"/>
            <w:noProof/>
          </w:rPr>
          <w:t xml:space="preserve"> </w:t>
        </w:r>
        <w:r w:rsidR="001C6ED0" w:rsidRPr="001C6ED0">
          <w:rPr>
            <w:rStyle w:val="affffff7"/>
            <w:noProof/>
          </w:rPr>
          <w:t xml:space="preserve"> 辐射灭菌的剂量测量不确定度的具体方面</w:t>
        </w:r>
        <w:r w:rsidR="001C6ED0" w:rsidRPr="001C6ED0">
          <w:rPr>
            <w:noProof/>
          </w:rPr>
          <w:tab/>
        </w:r>
        <w:r w:rsidRPr="001C6ED0">
          <w:rPr>
            <w:noProof/>
          </w:rPr>
          <w:fldChar w:fldCharType="begin"/>
        </w:r>
        <w:r w:rsidR="001C6ED0" w:rsidRPr="001C6ED0">
          <w:rPr>
            <w:noProof/>
          </w:rPr>
          <w:instrText xml:space="preserve"> PAGEREF _Toc112844828 \h </w:instrText>
        </w:r>
        <w:r w:rsidRPr="001C6ED0">
          <w:rPr>
            <w:noProof/>
          </w:rPr>
        </w:r>
        <w:r w:rsidRPr="001C6ED0">
          <w:rPr>
            <w:noProof/>
          </w:rPr>
          <w:fldChar w:fldCharType="separate"/>
        </w:r>
        <w:r w:rsidR="0014135C">
          <w:rPr>
            <w:noProof/>
          </w:rPr>
          <w:t>6</w:t>
        </w:r>
        <w:r w:rsidRPr="001C6ED0">
          <w:rPr>
            <w:noProof/>
          </w:rPr>
          <w:fldChar w:fldCharType="end"/>
        </w:r>
      </w:hyperlink>
    </w:p>
    <w:p w:rsidR="001C6ED0" w:rsidRPr="001C6ED0" w:rsidRDefault="00A0242A">
      <w:pPr>
        <w:pStyle w:val="10"/>
        <w:tabs>
          <w:tab w:val="right" w:leader="dot" w:pos="9344"/>
        </w:tabs>
        <w:rPr>
          <w:rFonts w:asciiTheme="minorHAnsi" w:eastAsiaTheme="minorEastAsia" w:hAnsiTheme="minorHAnsi" w:cstheme="minorBidi"/>
          <w:noProof/>
          <w:szCs w:val="22"/>
        </w:rPr>
      </w:pPr>
      <w:hyperlink w:anchor="_Toc112844829" w:history="1">
        <w:r w:rsidR="001C6ED0" w:rsidRPr="001C6ED0">
          <w:rPr>
            <w:rStyle w:val="affffff7"/>
            <w:noProof/>
          </w:rPr>
          <w:t>5</w:t>
        </w:r>
        <w:r w:rsidR="001C6ED0">
          <w:rPr>
            <w:rStyle w:val="affffff7"/>
            <w:noProof/>
          </w:rPr>
          <w:t xml:space="preserve"> </w:t>
        </w:r>
        <w:r w:rsidR="001C6ED0" w:rsidRPr="001C6ED0">
          <w:rPr>
            <w:rStyle w:val="affffff7"/>
            <w:noProof/>
          </w:rPr>
          <w:t xml:space="preserve"> 建立最大可接受剂量</w:t>
        </w:r>
        <w:r w:rsidR="001C6ED0" w:rsidRPr="001C6ED0">
          <w:rPr>
            <w:noProof/>
          </w:rPr>
          <w:tab/>
        </w:r>
        <w:r w:rsidRPr="001C6ED0">
          <w:rPr>
            <w:noProof/>
          </w:rPr>
          <w:fldChar w:fldCharType="begin"/>
        </w:r>
        <w:r w:rsidR="001C6ED0" w:rsidRPr="001C6ED0">
          <w:rPr>
            <w:noProof/>
          </w:rPr>
          <w:instrText xml:space="preserve"> PAGEREF _Toc112844829 \h </w:instrText>
        </w:r>
        <w:r w:rsidRPr="001C6ED0">
          <w:rPr>
            <w:noProof/>
          </w:rPr>
        </w:r>
        <w:r w:rsidRPr="001C6ED0">
          <w:rPr>
            <w:noProof/>
          </w:rPr>
          <w:fldChar w:fldCharType="separate"/>
        </w:r>
        <w:r w:rsidR="0014135C">
          <w:rPr>
            <w:noProof/>
          </w:rPr>
          <w:t>6</w:t>
        </w:r>
        <w:r w:rsidRPr="001C6ED0">
          <w:rPr>
            <w:noProof/>
          </w:rPr>
          <w:fldChar w:fldCharType="end"/>
        </w:r>
      </w:hyperlink>
    </w:p>
    <w:p w:rsidR="001C6ED0" w:rsidRPr="001C6ED0" w:rsidRDefault="00A0242A">
      <w:pPr>
        <w:pStyle w:val="10"/>
        <w:tabs>
          <w:tab w:val="right" w:leader="dot" w:pos="9344"/>
        </w:tabs>
        <w:rPr>
          <w:rFonts w:asciiTheme="minorHAnsi" w:eastAsiaTheme="minorEastAsia" w:hAnsiTheme="minorHAnsi" w:cstheme="minorBidi"/>
          <w:noProof/>
          <w:szCs w:val="22"/>
        </w:rPr>
      </w:pPr>
      <w:hyperlink w:anchor="_Toc112844830" w:history="1">
        <w:r w:rsidR="001C6ED0" w:rsidRPr="001C6ED0">
          <w:rPr>
            <w:rStyle w:val="affffff7"/>
            <w:noProof/>
          </w:rPr>
          <w:t>6</w:t>
        </w:r>
        <w:r w:rsidR="001C6ED0">
          <w:rPr>
            <w:rStyle w:val="affffff7"/>
            <w:noProof/>
          </w:rPr>
          <w:t xml:space="preserve"> </w:t>
        </w:r>
        <w:r w:rsidR="001C6ED0" w:rsidRPr="001C6ED0">
          <w:rPr>
            <w:rStyle w:val="affffff7"/>
            <w:noProof/>
          </w:rPr>
          <w:t xml:space="preserve"> 建立灭菌剂量</w:t>
        </w:r>
        <w:r w:rsidR="001C6ED0" w:rsidRPr="001C6ED0">
          <w:rPr>
            <w:noProof/>
          </w:rPr>
          <w:tab/>
        </w:r>
        <w:r w:rsidRPr="001C6ED0">
          <w:rPr>
            <w:noProof/>
          </w:rPr>
          <w:fldChar w:fldCharType="begin"/>
        </w:r>
        <w:r w:rsidR="001C6ED0" w:rsidRPr="001C6ED0">
          <w:rPr>
            <w:noProof/>
          </w:rPr>
          <w:instrText xml:space="preserve"> PAGEREF _Toc112844830 \h </w:instrText>
        </w:r>
        <w:r w:rsidRPr="001C6ED0">
          <w:rPr>
            <w:noProof/>
          </w:rPr>
        </w:r>
        <w:r w:rsidRPr="001C6ED0">
          <w:rPr>
            <w:noProof/>
          </w:rPr>
          <w:fldChar w:fldCharType="separate"/>
        </w:r>
        <w:r w:rsidR="0014135C">
          <w:rPr>
            <w:noProof/>
          </w:rPr>
          <w:t>7</w:t>
        </w:r>
        <w:r w:rsidRPr="001C6ED0">
          <w:rPr>
            <w:noProof/>
          </w:rPr>
          <w:fldChar w:fldCharType="end"/>
        </w:r>
      </w:hyperlink>
    </w:p>
    <w:p w:rsidR="001C6ED0" w:rsidRPr="001C6ED0" w:rsidRDefault="00A0242A">
      <w:pPr>
        <w:pStyle w:val="10"/>
        <w:tabs>
          <w:tab w:val="right" w:leader="dot" w:pos="9344"/>
        </w:tabs>
        <w:rPr>
          <w:rFonts w:asciiTheme="minorHAnsi" w:eastAsiaTheme="minorEastAsia" w:hAnsiTheme="minorHAnsi" w:cstheme="minorBidi"/>
          <w:noProof/>
          <w:szCs w:val="22"/>
        </w:rPr>
      </w:pPr>
      <w:hyperlink w:anchor="_Toc112844831" w:history="1">
        <w:r w:rsidR="001C6ED0" w:rsidRPr="001C6ED0">
          <w:rPr>
            <w:rStyle w:val="affffff7"/>
            <w:noProof/>
          </w:rPr>
          <w:t>7</w:t>
        </w:r>
        <w:r w:rsidR="001C6ED0">
          <w:rPr>
            <w:rStyle w:val="affffff7"/>
            <w:noProof/>
          </w:rPr>
          <w:t xml:space="preserve"> </w:t>
        </w:r>
        <w:r w:rsidR="001C6ED0" w:rsidRPr="001C6ED0">
          <w:rPr>
            <w:rStyle w:val="affffff7"/>
            <w:noProof/>
          </w:rPr>
          <w:t xml:space="preserve"> 安装鉴定</w:t>
        </w:r>
        <w:r w:rsidR="001C6ED0" w:rsidRPr="001C6ED0">
          <w:rPr>
            <w:noProof/>
          </w:rPr>
          <w:tab/>
        </w:r>
        <w:r w:rsidRPr="001C6ED0">
          <w:rPr>
            <w:noProof/>
          </w:rPr>
          <w:fldChar w:fldCharType="begin"/>
        </w:r>
        <w:r w:rsidR="001C6ED0" w:rsidRPr="001C6ED0">
          <w:rPr>
            <w:noProof/>
          </w:rPr>
          <w:instrText xml:space="preserve"> PAGEREF _Toc112844831 \h </w:instrText>
        </w:r>
        <w:r w:rsidRPr="001C6ED0">
          <w:rPr>
            <w:noProof/>
          </w:rPr>
        </w:r>
        <w:r w:rsidRPr="001C6ED0">
          <w:rPr>
            <w:noProof/>
          </w:rPr>
          <w:fldChar w:fldCharType="separate"/>
        </w:r>
        <w:r w:rsidR="0014135C">
          <w:rPr>
            <w:noProof/>
          </w:rPr>
          <w:t>8</w:t>
        </w:r>
        <w:r w:rsidRPr="001C6ED0">
          <w:rPr>
            <w:noProof/>
          </w:rPr>
          <w:fldChar w:fldCharType="end"/>
        </w:r>
      </w:hyperlink>
    </w:p>
    <w:p w:rsidR="001C6ED0" w:rsidRPr="001C6ED0" w:rsidRDefault="00A0242A">
      <w:pPr>
        <w:pStyle w:val="10"/>
        <w:tabs>
          <w:tab w:val="right" w:leader="dot" w:pos="9344"/>
        </w:tabs>
        <w:rPr>
          <w:rFonts w:asciiTheme="minorHAnsi" w:eastAsiaTheme="minorEastAsia" w:hAnsiTheme="minorHAnsi" w:cstheme="minorBidi"/>
          <w:noProof/>
          <w:szCs w:val="22"/>
        </w:rPr>
      </w:pPr>
      <w:hyperlink w:anchor="_Toc112844832" w:history="1">
        <w:r w:rsidR="001C6ED0" w:rsidRPr="001C6ED0">
          <w:rPr>
            <w:rStyle w:val="affffff7"/>
            <w:noProof/>
          </w:rPr>
          <w:t>8</w:t>
        </w:r>
        <w:r w:rsidR="001C6ED0">
          <w:rPr>
            <w:rStyle w:val="affffff7"/>
            <w:noProof/>
          </w:rPr>
          <w:t xml:space="preserve"> </w:t>
        </w:r>
        <w:r w:rsidR="001C6ED0" w:rsidRPr="001C6ED0">
          <w:rPr>
            <w:rStyle w:val="affffff7"/>
            <w:noProof/>
          </w:rPr>
          <w:t xml:space="preserve"> 运行鉴定</w:t>
        </w:r>
        <w:r w:rsidR="001C6ED0" w:rsidRPr="001C6ED0">
          <w:rPr>
            <w:noProof/>
          </w:rPr>
          <w:tab/>
        </w:r>
        <w:r w:rsidRPr="001C6ED0">
          <w:rPr>
            <w:noProof/>
          </w:rPr>
          <w:fldChar w:fldCharType="begin"/>
        </w:r>
        <w:r w:rsidR="001C6ED0" w:rsidRPr="001C6ED0">
          <w:rPr>
            <w:noProof/>
          </w:rPr>
          <w:instrText xml:space="preserve"> PAGEREF _Toc112844832 \h </w:instrText>
        </w:r>
        <w:r w:rsidRPr="001C6ED0">
          <w:rPr>
            <w:noProof/>
          </w:rPr>
        </w:r>
        <w:r w:rsidRPr="001C6ED0">
          <w:rPr>
            <w:noProof/>
          </w:rPr>
          <w:fldChar w:fldCharType="separate"/>
        </w:r>
        <w:r w:rsidR="0014135C">
          <w:rPr>
            <w:noProof/>
          </w:rPr>
          <w:t>8</w:t>
        </w:r>
        <w:r w:rsidRPr="001C6ED0">
          <w:rPr>
            <w:noProof/>
          </w:rPr>
          <w:fldChar w:fldCharType="end"/>
        </w:r>
      </w:hyperlink>
    </w:p>
    <w:p w:rsidR="001C6ED0" w:rsidRPr="001C6ED0" w:rsidRDefault="00A0242A">
      <w:pPr>
        <w:pStyle w:val="23"/>
        <w:rPr>
          <w:rFonts w:asciiTheme="minorHAnsi" w:eastAsiaTheme="minorEastAsia" w:hAnsiTheme="minorHAnsi" w:cstheme="minorBidi"/>
          <w:noProof/>
          <w:szCs w:val="22"/>
        </w:rPr>
      </w:pPr>
      <w:hyperlink w:anchor="_Toc112844833" w:history="1">
        <w:r w:rsidR="001C6ED0" w:rsidRPr="001C6ED0">
          <w:rPr>
            <w:rStyle w:val="affffff7"/>
            <w:noProof/>
          </w:rPr>
          <w:t>8.1</w:t>
        </w:r>
        <w:r w:rsidR="001C6ED0">
          <w:rPr>
            <w:rStyle w:val="affffff7"/>
            <w:noProof/>
          </w:rPr>
          <w:t xml:space="preserve"> </w:t>
        </w:r>
        <w:r w:rsidR="001C6ED0" w:rsidRPr="001C6ED0">
          <w:rPr>
            <w:rStyle w:val="affffff7"/>
            <w:noProof/>
          </w:rPr>
          <w:t xml:space="preserve"> 总则</w:t>
        </w:r>
        <w:r w:rsidR="001C6ED0" w:rsidRPr="001C6ED0">
          <w:rPr>
            <w:noProof/>
          </w:rPr>
          <w:tab/>
        </w:r>
        <w:r w:rsidRPr="001C6ED0">
          <w:rPr>
            <w:noProof/>
          </w:rPr>
          <w:fldChar w:fldCharType="begin"/>
        </w:r>
        <w:r w:rsidR="001C6ED0" w:rsidRPr="001C6ED0">
          <w:rPr>
            <w:noProof/>
          </w:rPr>
          <w:instrText xml:space="preserve"> PAGEREF _Toc112844833 \h </w:instrText>
        </w:r>
        <w:r w:rsidRPr="001C6ED0">
          <w:rPr>
            <w:noProof/>
          </w:rPr>
        </w:r>
        <w:r w:rsidRPr="001C6ED0">
          <w:rPr>
            <w:noProof/>
          </w:rPr>
          <w:fldChar w:fldCharType="separate"/>
        </w:r>
        <w:r w:rsidR="0014135C">
          <w:rPr>
            <w:noProof/>
          </w:rPr>
          <w:t>8</w:t>
        </w:r>
        <w:r w:rsidRPr="001C6ED0">
          <w:rPr>
            <w:noProof/>
          </w:rPr>
          <w:fldChar w:fldCharType="end"/>
        </w:r>
      </w:hyperlink>
    </w:p>
    <w:p w:rsidR="001C6ED0" w:rsidRPr="001C6ED0" w:rsidRDefault="00A0242A">
      <w:pPr>
        <w:pStyle w:val="23"/>
        <w:rPr>
          <w:rFonts w:asciiTheme="minorHAnsi" w:eastAsiaTheme="minorEastAsia" w:hAnsiTheme="minorHAnsi" w:cstheme="minorBidi"/>
          <w:noProof/>
          <w:szCs w:val="22"/>
        </w:rPr>
      </w:pPr>
      <w:hyperlink w:anchor="_Toc112844834" w:history="1">
        <w:r w:rsidR="001C6ED0" w:rsidRPr="001C6ED0">
          <w:rPr>
            <w:rStyle w:val="affffff7"/>
            <w:noProof/>
          </w:rPr>
          <w:t>8.2</w:t>
        </w:r>
        <w:r w:rsidR="001C6ED0">
          <w:rPr>
            <w:rStyle w:val="affffff7"/>
            <w:noProof/>
          </w:rPr>
          <w:t xml:space="preserve"> </w:t>
        </w:r>
        <w:r w:rsidR="001C6ED0" w:rsidRPr="001C6ED0">
          <w:rPr>
            <w:rStyle w:val="affffff7"/>
            <w:noProof/>
          </w:rPr>
          <w:t xml:space="preserve"> </w:t>
        </w:r>
        <w:r w:rsidR="001C6ED0" w:rsidRPr="001C6ED0">
          <w:rPr>
            <w:rStyle w:val="affffff7"/>
            <w:noProof/>
          </w:rPr>
          <w:t>γ</w:t>
        </w:r>
        <w:r w:rsidR="001C6ED0" w:rsidRPr="001C6ED0">
          <w:rPr>
            <w:rStyle w:val="affffff7"/>
            <w:noProof/>
          </w:rPr>
          <w:t>辐照装置</w:t>
        </w:r>
        <w:r w:rsidR="001C6ED0" w:rsidRPr="001C6ED0">
          <w:rPr>
            <w:noProof/>
          </w:rPr>
          <w:tab/>
        </w:r>
        <w:r w:rsidRPr="001C6ED0">
          <w:rPr>
            <w:noProof/>
          </w:rPr>
          <w:fldChar w:fldCharType="begin"/>
        </w:r>
        <w:r w:rsidR="001C6ED0" w:rsidRPr="001C6ED0">
          <w:rPr>
            <w:noProof/>
          </w:rPr>
          <w:instrText xml:space="preserve"> PAGEREF _Toc112844834 \h </w:instrText>
        </w:r>
        <w:r w:rsidRPr="001C6ED0">
          <w:rPr>
            <w:noProof/>
          </w:rPr>
        </w:r>
        <w:r w:rsidRPr="001C6ED0">
          <w:rPr>
            <w:noProof/>
          </w:rPr>
          <w:fldChar w:fldCharType="separate"/>
        </w:r>
        <w:r w:rsidR="0014135C">
          <w:rPr>
            <w:noProof/>
          </w:rPr>
          <w:t>9</w:t>
        </w:r>
        <w:r w:rsidRPr="001C6ED0">
          <w:rPr>
            <w:noProof/>
          </w:rPr>
          <w:fldChar w:fldCharType="end"/>
        </w:r>
      </w:hyperlink>
    </w:p>
    <w:p w:rsidR="001C6ED0" w:rsidRPr="001C6ED0" w:rsidRDefault="00A0242A">
      <w:pPr>
        <w:pStyle w:val="23"/>
        <w:rPr>
          <w:rFonts w:asciiTheme="minorHAnsi" w:eastAsiaTheme="minorEastAsia" w:hAnsiTheme="minorHAnsi" w:cstheme="minorBidi"/>
          <w:noProof/>
          <w:szCs w:val="22"/>
        </w:rPr>
      </w:pPr>
      <w:hyperlink w:anchor="_Toc112844835" w:history="1">
        <w:r w:rsidR="001C6ED0" w:rsidRPr="001C6ED0">
          <w:rPr>
            <w:rStyle w:val="affffff7"/>
            <w:noProof/>
          </w:rPr>
          <w:t>8.3</w:t>
        </w:r>
        <w:r w:rsidR="001C6ED0">
          <w:rPr>
            <w:rStyle w:val="affffff7"/>
            <w:noProof/>
          </w:rPr>
          <w:t xml:space="preserve"> </w:t>
        </w:r>
        <w:r w:rsidR="001C6ED0" w:rsidRPr="001C6ED0">
          <w:rPr>
            <w:rStyle w:val="affffff7"/>
            <w:noProof/>
          </w:rPr>
          <w:t xml:space="preserve"> 电子束辐照装置</w:t>
        </w:r>
        <w:r w:rsidR="001C6ED0" w:rsidRPr="001C6ED0">
          <w:rPr>
            <w:noProof/>
          </w:rPr>
          <w:tab/>
        </w:r>
        <w:r w:rsidRPr="001C6ED0">
          <w:rPr>
            <w:noProof/>
          </w:rPr>
          <w:fldChar w:fldCharType="begin"/>
        </w:r>
        <w:r w:rsidR="001C6ED0" w:rsidRPr="001C6ED0">
          <w:rPr>
            <w:noProof/>
          </w:rPr>
          <w:instrText xml:space="preserve"> PAGEREF _Toc112844835 \h </w:instrText>
        </w:r>
        <w:r w:rsidRPr="001C6ED0">
          <w:rPr>
            <w:noProof/>
          </w:rPr>
        </w:r>
        <w:r w:rsidRPr="001C6ED0">
          <w:rPr>
            <w:noProof/>
          </w:rPr>
          <w:fldChar w:fldCharType="separate"/>
        </w:r>
        <w:r w:rsidR="0014135C">
          <w:rPr>
            <w:noProof/>
          </w:rPr>
          <w:t>10</w:t>
        </w:r>
        <w:r w:rsidRPr="001C6ED0">
          <w:rPr>
            <w:noProof/>
          </w:rPr>
          <w:fldChar w:fldCharType="end"/>
        </w:r>
      </w:hyperlink>
    </w:p>
    <w:p w:rsidR="001C6ED0" w:rsidRPr="001C6ED0" w:rsidRDefault="00A0242A">
      <w:pPr>
        <w:pStyle w:val="23"/>
        <w:rPr>
          <w:rFonts w:asciiTheme="minorHAnsi" w:eastAsiaTheme="minorEastAsia" w:hAnsiTheme="minorHAnsi" w:cstheme="minorBidi"/>
          <w:noProof/>
          <w:szCs w:val="22"/>
        </w:rPr>
      </w:pPr>
      <w:hyperlink w:anchor="_Toc112844836" w:history="1">
        <w:r w:rsidR="001C6ED0" w:rsidRPr="001C6ED0">
          <w:rPr>
            <w:rStyle w:val="affffff7"/>
            <w:noProof/>
          </w:rPr>
          <w:t>8.4</w:t>
        </w:r>
        <w:r w:rsidR="001C6ED0">
          <w:rPr>
            <w:rStyle w:val="affffff7"/>
            <w:noProof/>
          </w:rPr>
          <w:t xml:space="preserve"> </w:t>
        </w:r>
        <w:r w:rsidR="001C6ED0" w:rsidRPr="001C6ED0">
          <w:rPr>
            <w:rStyle w:val="affffff7"/>
            <w:noProof/>
          </w:rPr>
          <w:t xml:space="preserve"> X射线辐照装置</w:t>
        </w:r>
        <w:r w:rsidR="001C6ED0" w:rsidRPr="001C6ED0">
          <w:rPr>
            <w:noProof/>
          </w:rPr>
          <w:tab/>
        </w:r>
        <w:r w:rsidRPr="001C6ED0">
          <w:rPr>
            <w:noProof/>
          </w:rPr>
          <w:fldChar w:fldCharType="begin"/>
        </w:r>
        <w:r w:rsidR="001C6ED0" w:rsidRPr="001C6ED0">
          <w:rPr>
            <w:noProof/>
          </w:rPr>
          <w:instrText xml:space="preserve"> PAGEREF _Toc112844836 \h </w:instrText>
        </w:r>
        <w:r w:rsidRPr="001C6ED0">
          <w:rPr>
            <w:noProof/>
          </w:rPr>
        </w:r>
        <w:r w:rsidRPr="001C6ED0">
          <w:rPr>
            <w:noProof/>
          </w:rPr>
          <w:fldChar w:fldCharType="separate"/>
        </w:r>
        <w:r w:rsidR="0014135C">
          <w:rPr>
            <w:noProof/>
          </w:rPr>
          <w:t>11</w:t>
        </w:r>
        <w:r w:rsidRPr="001C6ED0">
          <w:rPr>
            <w:noProof/>
          </w:rPr>
          <w:fldChar w:fldCharType="end"/>
        </w:r>
      </w:hyperlink>
    </w:p>
    <w:p w:rsidR="001C6ED0" w:rsidRPr="001C6ED0" w:rsidRDefault="00A0242A">
      <w:pPr>
        <w:pStyle w:val="10"/>
        <w:tabs>
          <w:tab w:val="right" w:leader="dot" w:pos="9344"/>
        </w:tabs>
        <w:rPr>
          <w:rFonts w:asciiTheme="minorHAnsi" w:eastAsiaTheme="minorEastAsia" w:hAnsiTheme="minorHAnsi" w:cstheme="minorBidi"/>
          <w:noProof/>
          <w:szCs w:val="22"/>
        </w:rPr>
      </w:pPr>
      <w:hyperlink w:anchor="_Toc112844837" w:history="1">
        <w:r w:rsidR="001C6ED0" w:rsidRPr="001C6ED0">
          <w:rPr>
            <w:rStyle w:val="affffff7"/>
            <w:noProof/>
          </w:rPr>
          <w:t>9</w:t>
        </w:r>
        <w:r w:rsidR="001C6ED0">
          <w:rPr>
            <w:rStyle w:val="affffff7"/>
            <w:noProof/>
          </w:rPr>
          <w:t xml:space="preserve"> </w:t>
        </w:r>
        <w:r w:rsidR="001C6ED0" w:rsidRPr="001C6ED0">
          <w:rPr>
            <w:rStyle w:val="affffff7"/>
            <w:noProof/>
          </w:rPr>
          <w:t xml:space="preserve"> 性能鉴定</w:t>
        </w:r>
        <w:r w:rsidR="001C6ED0" w:rsidRPr="001C6ED0">
          <w:rPr>
            <w:noProof/>
          </w:rPr>
          <w:tab/>
        </w:r>
        <w:r w:rsidRPr="001C6ED0">
          <w:rPr>
            <w:noProof/>
          </w:rPr>
          <w:fldChar w:fldCharType="begin"/>
        </w:r>
        <w:r w:rsidR="001C6ED0" w:rsidRPr="001C6ED0">
          <w:rPr>
            <w:noProof/>
          </w:rPr>
          <w:instrText xml:space="preserve"> PAGEREF _Toc112844837 \h </w:instrText>
        </w:r>
        <w:r w:rsidRPr="001C6ED0">
          <w:rPr>
            <w:noProof/>
          </w:rPr>
        </w:r>
        <w:r w:rsidRPr="001C6ED0">
          <w:rPr>
            <w:noProof/>
          </w:rPr>
          <w:fldChar w:fldCharType="separate"/>
        </w:r>
        <w:r w:rsidR="0014135C">
          <w:rPr>
            <w:noProof/>
          </w:rPr>
          <w:t>13</w:t>
        </w:r>
        <w:r w:rsidRPr="001C6ED0">
          <w:rPr>
            <w:noProof/>
          </w:rPr>
          <w:fldChar w:fldCharType="end"/>
        </w:r>
      </w:hyperlink>
    </w:p>
    <w:p w:rsidR="001C6ED0" w:rsidRPr="001C6ED0" w:rsidRDefault="00A0242A">
      <w:pPr>
        <w:pStyle w:val="23"/>
        <w:rPr>
          <w:rFonts w:asciiTheme="minorHAnsi" w:eastAsiaTheme="minorEastAsia" w:hAnsiTheme="minorHAnsi" w:cstheme="minorBidi"/>
          <w:noProof/>
          <w:szCs w:val="22"/>
        </w:rPr>
      </w:pPr>
      <w:hyperlink w:anchor="_Toc112844838" w:history="1">
        <w:r w:rsidR="001C6ED0" w:rsidRPr="001C6ED0">
          <w:rPr>
            <w:rStyle w:val="affffff7"/>
            <w:noProof/>
          </w:rPr>
          <w:t>9.1</w:t>
        </w:r>
        <w:r w:rsidR="001C6ED0">
          <w:rPr>
            <w:rStyle w:val="affffff7"/>
            <w:noProof/>
          </w:rPr>
          <w:t xml:space="preserve"> </w:t>
        </w:r>
        <w:r w:rsidR="001C6ED0" w:rsidRPr="001C6ED0">
          <w:rPr>
            <w:rStyle w:val="affffff7"/>
            <w:noProof/>
          </w:rPr>
          <w:t xml:space="preserve"> 总则</w:t>
        </w:r>
        <w:r w:rsidR="001C6ED0" w:rsidRPr="001C6ED0">
          <w:rPr>
            <w:noProof/>
          </w:rPr>
          <w:tab/>
        </w:r>
        <w:r w:rsidRPr="001C6ED0">
          <w:rPr>
            <w:noProof/>
          </w:rPr>
          <w:fldChar w:fldCharType="begin"/>
        </w:r>
        <w:r w:rsidR="001C6ED0" w:rsidRPr="001C6ED0">
          <w:rPr>
            <w:noProof/>
          </w:rPr>
          <w:instrText xml:space="preserve"> PAGEREF _Toc112844838 \h </w:instrText>
        </w:r>
        <w:r w:rsidRPr="001C6ED0">
          <w:rPr>
            <w:noProof/>
          </w:rPr>
        </w:r>
        <w:r w:rsidRPr="001C6ED0">
          <w:rPr>
            <w:noProof/>
          </w:rPr>
          <w:fldChar w:fldCharType="separate"/>
        </w:r>
        <w:r w:rsidR="0014135C">
          <w:rPr>
            <w:noProof/>
          </w:rPr>
          <w:t>13</w:t>
        </w:r>
        <w:r w:rsidRPr="001C6ED0">
          <w:rPr>
            <w:noProof/>
          </w:rPr>
          <w:fldChar w:fldCharType="end"/>
        </w:r>
      </w:hyperlink>
    </w:p>
    <w:p w:rsidR="001C6ED0" w:rsidRPr="001C6ED0" w:rsidRDefault="00A0242A">
      <w:pPr>
        <w:pStyle w:val="23"/>
        <w:rPr>
          <w:rFonts w:asciiTheme="minorHAnsi" w:eastAsiaTheme="minorEastAsia" w:hAnsiTheme="minorHAnsi" w:cstheme="minorBidi"/>
          <w:noProof/>
          <w:szCs w:val="22"/>
        </w:rPr>
      </w:pPr>
      <w:hyperlink w:anchor="_Toc112844839" w:history="1">
        <w:r w:rsidR="001C6ED0" w:rsidRPr="001C6ED0">
          <w:rPr>
            <w:rStyle w:val="affffff7"/>
            <w:noProof/>
          </w:rPr>
          <w:t>9.2</w:t>
        </w:r>
        <w:r w:rsidR="001C6ED0">
          <w:rPr>
            <w:rStyle w:val="affffff7"/>
            <w:noProof/>
          </w:rPr>
          <w:t xml:space="preserve"> </w:t>
        </w:r>
        <w:r w:rsidR="001C6ED0" w:rsidRPr="001C6ED0">
          <w:rPr>
            <w:rStyle w:val="affffff7"/>
            <w:noProof/>
          </w:rPr>
          <w:t xml:space="preserve"> </w:t>
        </w:r>
        <w:r w:rsidR="001C6ED0" w:rsidRPr="001C6ED0">
          <w:rPr>
            <w:rStyle w:val="affffff7"/>
            <w:noProof/>
          </w:rPr>
          <w:t>γ</w:t>
        </w:r>
        <w:r w:rsidR="001C6ED0" w:rsidRPr="001C6ED0">
          <w:rPr>
            <w:rStyle w:val="affffff7"/>
            <w:noProof/>
          </w:rPr>
          <w:t>辐照装置</w:t>
        </w:r>
        <w:r w:rsidR="001C6ED0" w:rsidRPr="001C6ED0">
          <w:rPr>
            <w:noProof/>
          </w:rPr>
          <w:tab/>
        </w:r>
        <w:r w:rsidRPr="001C6ED0">
          <w:rPr>
            <w:noProof/>
          </w:rPr>
          <w:fldChar w:fldCharType="begin"/>
        </w:r>
        <w:r w:rsidR="001C6ED0" w:rsidRPr="001C6ED0">
          <w:rPr>
            <w:noProof/>
          </w:rPr>
          <w:instrText xml:space="preserve"> PAGEREF _Toc112844839 \h </w:instrText>
        </w:r>
        <w:r w:rsidRPr="001C6ED0">
          <w:rPr>
            <w:noProof/>
          </w:rPr>
        </w:r>
        <w:r w:rsidRPr="001C6ED0">
          <w:rPr>
            <w:noProof/>
          </w:rPr>
          <w:fldChar w:fldCharType="separate"/>
        </w:r>
        <w:r w:rsidR="0014135C">
          <w:rPr>
            <w:noProof/>
          </w:rPr>
          <w:t>13</w:t>
        </w:r>
        <w:r w:rsidRPr="001C6ED0">
          <w:rPr>
            <w:noProof/>
          </w:rPr>
          <w:fldChar w:fldCharType="end"/>
        </w:r>
      </w:hyperlink>
    </w:p>
    <w:p w:rsidR="001C6ED0" w:rsidRPr="001C6ED0" w:rsidRDefault="00A0242A">
      <w:pPr>
        <w:pStyle w:val="30"/>
        <w:tabs>
          <w:tab w:val="right" w:leader="dot" w:pos="9344"/>
        </w:tabs>
        <w:rPr>
          <w:rFonts w:asciiTheme="minorHAnsi" w:eastAsiaTheme="minorEastAsia" w:hAnsiTheme="minorHAnsi" w:cstheme="minorBidi"/>
          <w:noProof/>
          <w:szCs w:val="22"/>
        </w:rPr>
      </w:pPr>
      <w:hyperlink w:anchor="_Toc112844840" w:history="1">
        <w:r w:rsidR="001C6ED0" w:rsidRPr="001C6ED0">
          <w:rPr>
            <w:rStyle w:val="affffff7"/>
            <w:noProof/>
          </w:rPr>
          <w:t>9.2.1</w:t>
        </w:r>
        <w:r w:rsidR="001C6ED0">
          <w:rPr>
            <w:rStyle w:val="affffff7"/>
            <w:noProof/>
          </w:rPr>
          <w:t xml:space="preserve"> </w:t>
        </w:r>
        <w:r w:rsidR="001C6ED0" w:rsidRPr="001C6ED0">
          <w:rPr>
            <w:rStyle w:val="affffff7"/>
            <w:noProof/>
          </w:rPr>
          <w:t xml:space="preserve"> 装载模式</w:t>
        </w:r>
        <w:r w:rsidR="001C6ED0" w:rsidRPr="001C6ED0">
          <w:rPr>
            <w:noProof/>
          </w:rPr>
          <w:tab/>
        </w:r>
        <w:r w:rsidRPr="001C6ED0">
          <w:rPr>
            <w:noProof/>
          </w:rPr>
          <w:fldChar w:fldCharType="begin"/>
        </w:r>
        <w:r w:rsidR="001C6ED0" w:rsidRPr="001C6ED0">
          <w:rPr>
            <w:noProof/>
          </w:rPr>
          <w:instrText xml:space="preserve"> PAGEREF _Toc112844840 \h </w:instrText>
        </w:r>
        <w:r w:rsidRPr="001C6ED0">
          <w:rPr>
            <w:noProof/>
          </w:rPr>
        </w:r>
        <w:r w:rsidRPr="001C6ED0">
          <w:rPr>
            <w:noProof/>
          </w:rPr>
          <w:fldChar w:fldCharType="separate"/>
        </w:r>
        <w:r w:rsidR="0014135C">
          <w:rPr>
            <w:noProof/>
          </w:rPr>
          <w:t>13</w:t>
        </w:r>
        <w:r w:rsidRPr="001C6ED0">
          <w:rPr>
            <w:noProof/>
          </w:rPr>
          <w:fldChar w:fldCharType="end"/>
        </w:r>
      </w:hyperlink>
    </w:p>
    <w:p w:rsidR="001C6ED0" w:rsidRPr="001C6ED0" w:rsidRDefault="00A0242A">
      <w:pPr>
        <w:pStyle w:val="30"/>
        <w:tabs>
          <w:tab w:val="right" w:leader="dot" w:pos="9344"/>
        </w:tabs>
        <w:rPr>
          <w:rFonts w:asciiTheme="minorHAnsi" w:eastAsiaTheme="minorEastAsia" w:hAnsiTheme="minorHAnsi" w:cstheme="minorBidi"/>
          <w:noProof/>
          <w:szCs w:val="22"/>
        </w:rPr>
      </w:pPr>
      <w:hyperlink w:anchor="_Toc112844841" w:history="1">
        <w:r w:rsidR="001C6ED0" w:rsidRPr="001C6ED0">
          <w:rPr>
            <w:rStyle w:val="affffff7"/>
            <w:noProof/>
          </w:rPr>
          <w:t>9.2.2</w:t>
        </w:r>
        <w:r w:rsidR="001C6ED0">
          <w:rPr>
            <w:rStyle w:val="affffff7"/>
            <w:noProof/>
          </w:rPr>
          <w:t xml:space="preserve"> </w:t>
        </w:r>
        <w:r w:rsidR="001C6ED0" w:rsidRPr="001C6ED0">
          <w:rPr>
            <w:rStyle w:val="affffff7"/>
            <w:noProof/>
          </w:rPr>
          <w:t xml:space="preserve"> 剂量学</w:t>
        </w:r>
        <w:r w:rsidR="001C6ED0" w:rsidRPr="001C6ED0">
          <w:rPr>
            <w:noProof/>
          </w:rPr>
          <w:tab/>
        </w:r>
        <w:r w:rsidRPr="001C6ED0">
          <w:rPr>
            <w:noProof/>
          </w:rPr>
          <w:fldChar w:fldCharType="begin"/>
        </w:r>
        <w:r w:rsidR="001C6ED0" w:rsidRPr="001C6ED0">
          <w:rPr>
            <w:noProof/>
          </w:rPr>
          <w:instrText xml:space="preserve"> PAGEREF _Toc112844841 \h </w:instrText>
        </w:r>
        <w:r w:rsidRPr="001C6ED0">
          <w:rPr>
            <w:noProof/>
          </w:rPr>
        </w:r>
        <w:r w:rsidRPr="001C6ED0">
          <w:rPr>
            <w:noProof/>
          </w:rPr>
          <w:fldChar w:fldCharType="separate"/>
        </w:r>
        <w:r w:rsidR="0014135C">
          <w:rPr>
            <w:noProof/>
          </w:rPr>
          <w:t>14</w:t>
        </w:r>
        <w:r w:rsidRPr="001C6ED0">
          <w:rPr>
            <w:noProof/>
          </w:rPr>
          <w:fldChar w:fldCharType="end"/>
        </w:r>
      </w:hyperlink>
    </w:p>
    <w:p w:rsidR="001C6ED0" w:rsidRPr="001C6ED0" w:rsidRDefault="00A0242A">
      <w:pPr>
        <w:pStyle w:val="30"/>
        <w:tabs>
          <w:tab w:val="right" w:leader="dot" w:pos="9344"/>
        </w:tabs>
        <w:rPr>
          <w:rFonts w:asciiTheme="minorHAnsi" w:eastAsiaTheme="minorEastAsia" w:hAnsiTheme="minorHAnsi" w:cstheme="minorBidi"/>
          <w:noProof/>
          <w:szCs w:val="22"/>
        </w:rPr>
      </w:pPr>
      <w:hyperlink w:anchor="_Toc112844842" w:history="1">
        <w:r w:rsidR="001C6ED0" w:rsidRPr="001C6ED0">
          <w:rPr>
            <w:rStyle w:val="affffff7"/>
            <w:noProof/>
          </w:rPr>
          <w:t>9.2.3</w:t>
        </w:r>
        <w:r w:rsidR="001C6ED0">
          <w:rPr>
            <w:rStyle w:val="affffff7"/>
            <w:noProof/>
          </w:rPr>
          <w:t xml:space="preserve"> </w:t>
        </w:r>
        <w:r w:rsidR="001C6ED0" w:rsidRPr="001C6ED0">
          <w:rPr>
            <w:rStyle w:val="affffff7"/>
            <w:noProof/>
          </w:rPr>
          <w:t xml:space="preserve"> 剂量分布数据分析</w:t>
        </w:r>
        <w:r w:rsidR="001C6ED0" w:rsidRPr="001C6ED0">
          <w:rPr>
            <w:noProof/>
          </w:rPr>
          <w:tab/>
        </w:r>
        <w:r w:rsidRPr="001C6ED0">
          <w:rPr>
            <w:noProof/>
          </w:rPr>
          <w:fldChar w:fldCharType="begin"/>
        </w:r>
        <w:r w:rsidR="001C6ED0" w:rsidRPr="001C6ED0">
          <w:rPr>
            <w:noProof/>
          </w:rPr>
          <w:instrText xml:space="preserve"> PAGEREF _Toc112844842 \h </w:instrText>
        </w:r>
        <w:r w:rsidRPr="001C6ED0">
          <w:rPr>
            <w:noProof/>
          </w:rPr>
        </w:r>
        <w:r w:rsidRPr="001C6ED0">
          <w:rPr>
            <w:noProof/>
          </w:rPr>
          <w:fldChar w:fldCharType="separate"/>
        </w:r>
        <w:r w:rsidR="0014135C">
          <w:rPr>
            <w:noProof/>
          </w:rPr>
          <w:t>15</w:t>
        </w:r>
        <w:r w:rsidRPr="001C6ED0">
          <w:rPr>
            <w:noProof/>
          </w:rPr>
          <w:fldChar w:fldCharType="end"/>
        </w:r>
      </w:hyperlink>
    </w:p>
    <w:p w:rsidR="001C6ED0" w:rsidRPr="001C6ED0" w:rsidRDefault="00A0242A">
      <w:pPr>
        <w:pStyle w:val="23"/>
        <w:rPr>
          <w:rFonts w:asciiTheme="minorHAnsi" w:eastAsiaTheme="minorEastAsia" w:hAnsiTheme="minorHAnsi" w:cstheme="minorBidi"/>
          <w:noProof/>
          <w:szCs w:val="22"/>
        </w:rPr>
      </w:pPr>
      <w:hyperlink w:anchor="_Toc112844843" w:history="1">
        <w:r w:rsidR="001C6ED0" w:rsidRPr="001C6ED0">
          <w:rPr>
            <w:rStyle w:val="affffff7"/>
            <w:noProof/>
          </w:rPr>
          <w:t>9.3</w:t>
        </w:r>
        <w:r w:rsidR="001C6ED0">
          <w:rPr>
            <w:rStyle w:val="affffff7"/>
            <w:noProof/>
          </w:rPr>
          <w:t xml:space="preserve"> </w:t>
        </w:r>
        <w:r w:rsidR="001C6ED0" w:rsidRPr="001C6ED0">
          <w:rPr>
            <w:rStyle w:val="affffff7"/>
            <w:noProof/>
          </w:rPr>
          <w:t xml:space="preserve"> 电子束辐照装置</w:t>
        </w:r>
        <w:r w:rsidR="001C6ED0" w:rsidRPr="001C6ED0">
          <w:rPr>
            <w:noProof/>
          </w:rPr>
          <w:tab/>
        </w:r>
        <w:r w:rsidRPr="001C6ED0">
          <w:rPr>
            <w:noProof/>
          </w:rPr>
          <w:fldChar w:fldCharType="begin"/>
        </w:r>
        <w:r w:rsidR="001C6ED0" w:rsidRPr="001C6ED0">
          <w:rPr>
            <w:noProof/>
          </w:rPr>
          <w:instrText xml:space="preserve"> PAGEREF _Toc112844843 \h </w:instrText>
        </w:r>
        <w:r w:rsidRPr="001C6ED0">
          <w:rPr>
            <w:noProof/>
          </w:rPr>
        </w:r>
        <w:r w:rsidRPr="001C6ED0">
          <w:rPr>
            <w:noProof/>
          </w:rPr>
          <w:fldChar w:fldCharType="separate"/>
        </w:r>
        <w:r w:rsidR="0014135C">
          <w:rPr>
            <w:noProof/>
          </w:rPr>
          <w:t>15</w:t>
        </w:r>
        <w:r w:rsidRPr="001C6ED0">
          <w:rPr>
            <w:noProof/>
          </w:rPr>
          <w:fldChar w:fldCharType="end"/>
        </w:r>
      </w:hyperlink>
    </w:p>
    <w:p w:rsidR="001C6ED0" w:rsidRPr="001C6ED0" w:rsidRDefault="00A0242A">
      <w:pPr>
        <w:pStyle w:val="30"/>
        <w:tabs>
          <w:tab w:val="right" w:leader="dot" w:pos="9344"/>
        </w:tabs>
        <w:rPr>
          <w:rFonts w:asciiTheme="minorHAnsi" w:eastAsiaTheme="minorEastAsia" w:hAnsiTheme="minorHAnsi" w:cstheme="minorBidi"/>
          <w:noProof/>
          <w:szCs w:val="22"/>
        </w:rPr>
      </w:pPr>
      <w:hyperlink w:anchor="_Toc112844844" w:history="1">
        <w:r w:rsidR="001C6ED0" w:rsidRPr="001C6ED0">
          <w:rPr>
            <w:rStyle w:val="affffff7"/>
            <w:noProof/>
          </w:rPr>
          <w:t>9.3.1</w:t>
        </w:r>
        <w:r w:rsidR="001C6ED0">
          <w:rPr>
            <w:rStyle w:val="affffff7"/>
            <w:noProof/>
          </w:rPr>
          <w:t xml:space="preserve"> </w:t>
        </w:r>
        <w:r w:rsidR="001C6ED0" w:rsidRPr="001C6ED0">
          <w:rPr>
            <w:rStyle w:val="affffff7"/>
            <w:noProof/>
          </w:rPr>
          <w:t xml:space="preserve"> 装载模式</w:t>
        </w:r>
        <w:r w:rsidR="001C6ED0" w:rsidRPr="001C6ED0">
          <w:rPr>
            <w:noProof/>
          </w:rPr>
          <w:tab/>
        </w:r>
        <w:r w:rsidRPr="001C6ED0">
          <w:rPr>
            <w:noProof/>
          </w:rPr>
          <w:fldChar w:fldCharType="begin"/>
        </w:r>
        <w:r w:rsidR="001C6ED0" w:rsidRPr="001C6ED0">
          <w:rPr>
            <w:noProof/>
          </w:rPr>
          <w:instrText xml:space="preserve"> PAGEREF _Toc112844844 \h </w:instrText>
        </w:r>
        <w:r w:rsidRPr="001C6ED0">
          <w:rPr>
            <w:noProof/>
          </w:rPr>
        </w:r>
        <w:r w:rsidRPr="001C6ED0">
          <w:rPr>
            <w:noProof/>
          </w:rPr>
          <w:fldChar w:fldCharType="separate"/>
        </w:r>
        <w:r w:rsidR="0014135C">
          <w:rPr>
            <w:noProof/>
          </w:rPr>
          <w:t>15</w:t>
        </w:r>
        <w:r w:rsidRPr="001C6ED0">
          <w:rPr>
            <w:noProof/>
          </w:rPr>
          <w:fldChar w:fldCharType="end"/>
        </w:r>
      </w:hyperlink>
    </w:p>
    <w:p w:rsidR="001C6ED0" w:rsidRPr="001C6ED0" w:rsidRDefault="00A0242A">
      <w:pPr>
        <w:pStyle w:val="30"/>
        <w:tabs>
          <w:tab w:val="right" w:leader="dot" w:pos="9344"/>
        </w:tabs>
        <w:rPr>
          <w:rFonts w:asciiTheme="minorHAnsi" w:eastAsiaTheme="minorEastAsia" w:hAnsiTheme="minorHAnsi" w:cstheme="minorBidi"/>
          <w:noProof/>
          <w:szCs w:val="22"/>
        </w:rPr>
      </w:pPr>
      <w:hyperlink w:anchor="_Toc112844845" w:history="1">
        <w:r w:rsidR="001C6ED0" w:rsidRPr="001C6ED0">
          <w:rPr>
            <w:rStyle w:val="affffff7"/>
            <w:noProof/>
          </w:rPr>
          <w:t>9.3.2</w:t>
        </w:r>
        <w:r w:rsidR="001C6ED0">
          <w:rPr>
            <w:rStyle w:val="affffff7"/>
            <w:noProof/>
          </w:rPr>
          <w:t xml:space="preserve"> </w:t>
        </w:r>
        <w:r w:rsidR="001C6ED0" w:rsidRPr="001C6ED0">
          <w:rPr>
            <w:rStyle w:val="affffff7"/>
            <w:noProof/>
          </w:rPr>
          <w:t xml:space="preserve"> 剂量学</w:t>
        </w:r>
        <w:r w:rsidR="001C6ED0" w:rsidRPr="001C6ED0">
          <w:rPr>
            <w:noProof/>
          </w:rPr>
          <w:tab/>
        </w:r>
        <w:r w:rsidRPr="001C6ED0">
          <w:rPr>
            <w:noProof/>
          </w:rPr>
          <w:fldChar w:fldCharType="begin"/>
        </w:r>
        <w:r w:rsidR="001C6ED0" w:rsidRPr="001C6ED0">
          <w:rPr>
            <w:noProof/>
          </w:rPr>
          <w:instrText xml:space="preserve"> PAGEREF _Toc112844845 \h </w:instrText>
        </w:r>
        <w:r w:rsidRPr="001C6ED0">
          <w:rPr>
            <w:noProof/>
          </w:rPr>
        </w:r>
        <w:r w:rsidRPr="001C6ED0">
          <w:rPr>
            <w:noProof/>
          </w:rPr>
          <w:fldChar w:fldCharType="separate"/>
        </w:r>
        <w:r w:rsidR="0014135C">
          <w:rPr>
            <w:noProof/>
          </w:rPr>
          <w:t>16</w:t>
        </w:r>
        <w:r w:rsidRPr="001C6ED0">
          <w:rPr>
            <w:noProof/>
          </w:rPr>
          <w:fldChar w:fldCharType="end"/>
        </w:r>
      </w:hyperlink>
    </w:p>
    <w:p w:rsidR="001C6ED0" w:rsidRPr="001C6ED0" w:rsidRDefault="00A0242A">
      <w:pPr>
        <w:pStyle w:val="30"/>
        <w:tabs>
          <w:tab w:val="right" w:leader="dot" w:pos="9344"/>
        </w:tabs>
        <w:rPr>
          <w:rFonts w:asciiTheme="minorHAnsi" w:eastAsiaTheme="minorEastAsia" w:hAnsiTheme="minorHAnsi" w:cstheme="minorBidi"/>
          <w:noProof/>
          <w:szCs w:val="22"/>
        </w:rPr>
      </w:pPr>
      <w:hyperlink w:anchor="_Toc112844846" w:history="1">
        <w:r w:rsidR="001C6ED0" w:rsidRPr="001C6ED0">
          <w:rPr>
            <w:rStyle w:val="affffff7"/>
            <w:noProof/>
          </w:rPr>
          <w:t>9.3.3</w:t>
        </w:r>
        <w:r w:rsidR="001C6ED0">
          <w:rPr>
            <w:rStyle w:val="affffff7"/>
            <w:noProof/>
          </w:rPr>
          <w:t xml:space="preserve"> </w:t>
        </w:r>
        <w:r w:rsidR="001C6ED0" w:rsidRPr="001C6ED0">
          <w:rPr>
            <w:rStyle w:val="affffff7"/>
            <w:noProof/>
          </w:rPr>
          <w:t xml:space="preserve"> 剂量分布数据分析</w:t>
        </w:r>
        <w:r w:rsidR="001C6ED0" w:rsidRPr="001C6ED0">
          <w:rPr>
            <w:noProof/>
          </w:rPr>
          <w:tab/>
        </w:r>
        <w:r w:rsidRPr="001C6ED0">
          <w:rPr>
            <w:noProof/>
          </w:rPr>
          <w:fldChar w:fldCharType="begin"/>
        </w:r>
        <w:r w:rsidR="001C6ED0" w:rsidRPr="001C6ED0">
          <w:rPr>
            <w:noProof/>
          </w:rPr>
          <w:instrText xml:space="preserve"> PAGEREF _Toc112844846 \h </w:instrText>
        </w:r>
        <w:r w:rsidRPr="001C6ED0">
          <w:rPr>
            <w:noProof/>
          </w:rPr>
        </w:r>
        <w:r w:rsidRPr="001C6ED0">
          <w:rPr>
            <w:noProof/>
          </w:rPr>
          <w:fldChar w:fldCharType="separate"/>
        </w:r>
        <w:r w:rsidR="0014135C">
          <w:rPr>
            <w:noProof/>
          </w:rPr>
          <w:t>17</w:t>
        </w:r>
        <w:r w:rsidRPr="001C6ED0">
          <w:rPr>
            <w:noProof/>
          </w:rPr>
          <w:fldChar w:fldCharType="end"/>
        </w:r>
      </w:hyperlink>
    </w:p>
    <w:p w:rsidR="001C6ED0" w:rsidRPr="001C6ED0" w:rsidRDefault="00A0242A">
      <w:pPr>
        <w:pStyle w:val="23"/>
        <w:rPr>
          <w:rFonts w:asciiTheme="minorHAnsi" w:eastAsiaTheme="minorEastAsia" w:hAnsiTheme="minorHAnsi" w:cstheme="minorBidi"/>
          <w:noProof/>
          <w:szCs w:val="22"/>
        </w:rPr>
      </w:pPr>
      <w:hyperlink w:anchor="_Toc112844847" w:history="1">
        <w:r w:rsidR="001C6ED0" w:rsidRPr="001C6ED0">
          <w:rPr>
            <w:rStyle w:val="affffff7"/>
            <w:noProof/>
          </w:rPr>
          <w:t>9.4</w:t>
        </w:r>
        <w:r w:rsidR="001C6ED0">
          <w:rPr>
            <w:rStyle w:val="affffff7"/>
            <w:noProof/>
          </w:rPr>
          <w:t xml:space="preserve"> </w:t>
        </w:r>
        <w:r w:rsidR="001C6ED0" w:rsidRPr="001C6ED0">
          <w:rPr>
            <w:rStyle w:val="affffff7"/>
            <w:noProof/>
          </w:rPr>
          <w:t xml:space="preserve"> X射线辐照装置</w:t>
        </w:r>
        <w:r w:rsidR="001C6ED0" w:rsidRPr="001C6ED0">
          <w:rPr>
            <w:noProof/>
          </w:rPr>
          <w:tab/>
        </w:r>
        <w:r w:rsidRPr="001C6ED0">
          <w:rPr>
            <w:noProof/>
          </w:rPr>
          <w:fldChar w:fldCharType="begin"/>
        </w:r>
        <w:r w:rsidR="001C6ED0" w:rsidRPr="001C6ED0">
          <w:rPr>
            <w:noProof/>
          </w:rPr>
          <w:instrText xml:space="preserve"> PAGEREF _Toc112844847 \h </w:instrText>
        </w:r>
        <w:r w:rsidRPr="001C6ED0">
          <w:rPr>
            <w:noProof/>
          </w:rPr>
        </w:r>
        <w:r w:rsidRPr="001C6ED0">
          <w:rPr>
            <w:noProof/>
          </w:rPr>
          <w:fldChar w:fldCharType="separate"/>
        </w:r>
        <w:r w:rsidR="0014135C">
          <w:rPr>
            <w:noProof/>
          </w:rPr>
          <w:t>17</w:t>
        </w:r>
        <w:r w:rsidRPr="001C6ED0">
          <w:rPr>
            <w:noProof/>
          </w:rPr>
          <w:fldChar w:fldCharType="end"/>
        </w:r>
      </w:hyperlink>
    </w:p>
    <w:p w:rsidR="001C6ED0" w:rsidRPr="001C6ED0" w:rsidRDefault="00A0242A">
      <w:pPr>
        <w:pStyle w:val="30"/>
        <w:tabs>
          <w:tab w:val="right" w:leader="dot" w:pos="9344"/>
        </w:tabs>
        <w:rPr>
          <w:rFonts w:asciiTheme="minorHAnsi" w:eastAsiaTheme="minorEastAsia" w:hAnsiTheme="minorHAnsi" w:cstheme="minorBidi"/>
          <w:noProof/>
          <w:szCs w:val="22"/>
        </w:rPr>
      </w:pPr>
      <w:hyperlink w:anchor="_Toc112844848" w:history="1">
        <w:r w:rsidR="001C6ED0" w:rsidRPr="001C6ED0">
          <w:rPr>
            <w:rStyle w:val="affffff7"/>
            <w:noProof/>
          </w:rPr>
          <w:t>9.4.1</w:t>
        </w:r>
        <w:r w:rsidR="001C6ED0">
          <w:rPr>
            <w:rStyle w:val="affffff7"/>
            <w:noProof/>
          </w:rPr>
          <w:t xml:space="preserve"> </w:t>
        </w:r>
        <w:r w:rsidR="001C6ED0" w:rsidRPr="001C6ED0">
          <w:rPr>
            <w:rStyle w:val="affffff7"/>
            <w:noProof/>
          </w:rPr>
          <w:t xml:space="preserve"> 装载模式</w:t>
        </w:r>
        <w:r w:rsidR="001C6ED0" w:rsidRPr="001C6ED0">
          <w:rPr>
            <w:noProof/>
          </w:rPr>
          <w:tab/>
        </w:r>
        <w:r w:rsidRPr="001C6ED0">
          <w:rPr>
            <w:noProof/>
          </w:rPr>
          <w:fldChar w:fldCharType="begin"/>
        </w:r>
        <w:r w:rsidR="001C6ED0" w:rsidRPr="001C6ED0">
          <w:rPr>
            <w:noProof/>
          </w:rPr>
          <w:instrText xml:space="preserve"> PAGEREF _Toc112844848 \h </w:instrText>
        </w:r>
        <w:r w:rsidRPr="001C6ED0">
          <w:rPr>
            <w:noProof/>
          </w:rPr>
        </w:r>
        <w:r w:rsidRPr="001C6ED0">
          <w:rPr>
            <w:noProof/>
          </w:rPr>
          <w:fldChar w:fldCharType="separate"/>
        </w:r>
        <w:r w:rsidR="0014135C">
          <w:rPr>
            <w:noProof/>
          </w:rPr>
          <w:t>17</w:t>
        </w:r>
        <w:r w:rsidRPr="001C6ED0">
          <w:rPr>
            <w:noProof/>
          </w:rPr>
          <w:fldChar w:fldCharType="end"/>
        </w:r>
      </w:hyperlink>
    </w:p>
    <w:p w:rsidR="001C6ED0" w:rsidRPr="001C6ED0" w:rsidRDefault="00A0242A">
      <w:pPr>
        <w:pStyle w:val="30"/>
        <w:tabs>
          <w:tab w:val="right" w:leader="dot" w:pos="9344"/>
        </w:tabs>
        <w:rPr>
          <w:rFonts w:asciiTheme="minorHAnsi" w:eastAsiaTheme="minorEastAsia" w:hAnsiTheme="minorHAnsi" w:cstheme="minorBidi"/>
          <w:noProof/>
          <w:szCs w:val="22"/>
        </w:rPr>
      </w:pPr>
      <w:hyperlink w:anchor="_Toc112844849" w:history="1">
        <w:r w:rsidR="001C6ED0" w:rsidRPr="001C6ED0">
          <w:rPr>
            <w:rStyle w:val="affffff7"/>
            <w:noProof/>
          </w:rPr>
          <w:t>9.4.2</w:t>
        </w:r>
        <w:r w:rsidR="001C6ED0">
          <w:rPr>
            <w:rStyle w:val="affffff7"/>
            <w:noProof/>
          </w:rPr>
          <w:t xml:space="preserve"> </w:t>
        </w:r>
        <w:r w:rsidR="001C6ED0" w:rsidRPr="001C6ED0">
          <w:rPr>
            <w:rStyle w:val="affffff7"/>
            <w:noProof/>
          </w:rPr>
          <w:t xml:space="preserve"> 剂量学</w:t>
        </w:r>
        <w:r w:rsidR="001C6ED0" w:rsidRPr="001C6ED0">
          <w:rPr>
            <w:noProof/>
          </w:rPr>
          <w:tab/>
        </w:r>
        <w:r w:rsidRPr="001C6ED0">
          <w:rPr>
            <w:noProof/>
          </w:rPr>
          <w:fldChar w:fldCharType="begin"/>
        </w:r>
        <w:r w:rsidR="001C6ED0" w:rsidRPr="001C6ED0">
          <w:rPr>
            <w:noProof/>
          </w:rPr>
          <w:instrText xml:space="preserve"> PAGEREF _Toc112844849 \h </w:instrText>
        </w:r>
        <w:r w:rsidRPr="001C6ED0">
          <w:rPr>
            <w:noProof/>
          </w:rPr>
        </w:r>
        <w:r w:rsidRPr="001C6ED0">
          <w:rPr>
            <w:noProof/>
          </w:rPr>
          <w:fldChar w:fldCharType="separate"/>
        </w:r>
        <w:r w:rsidR="0014135C">
          <w:rPr>
            <w:noProof/>
          </w:rPr>
          <w:t>18</w:t>
        </w:r>
        <w:r w:rsidRPr="001C6ED0">
          <w:rPr>
            <w:noProof/>
          </w:rPr>
          <w:fldChar w:fldCharType="end"/>
        </w:r>
      </w:hyperlink>
    </w:p>
    <w:p w:rsidR="001C6ED0" w:rsidRPr="001C6ED0" w:rsidRDefault="00A0242A">
      <w:pPr>
        <w:pStyle w:val="30"/>
        <w:tabs>
          <w:tab w:val="right" w:leader="dot" w:pos="9344"/>
        </w:tabs>
        <w:rPr>
          <w:rFonts w:asciiTheme="minorHAnsi" w:eastAsiaTheme="minorEastAsia" w:hAnsiTheme="minorHAnsi" w:cstheme="minorBidi"/>
          <w:noProof/>
          <w:szCs w:val="22"/>
        </w:rPr>
      </w:pPr>
      <w:hyperlink w:anchor="_Toc112844850" w:history="1">
        <w:r w:rsidR="001C6ED0" w:rsidRPr="001C6ED0">
          <w:rPr>
            <w:rStyle w:val="affffff7"/>
            <w:noProof/>
          </w:rPr>
          <w:t>9.4.3</w:t>
        </w:r>
        <w:r w:rsidR="001C6ED0">
          <w:rPr>
            <w:rStyle w:val="affffff7"/>
            <w:noProof/>
          </w:rPr>
          <w:t xml:space="preserve"> </w:t>
        </w:r>
        <w:r w:rsidR="001C6ED0" w:rsidRPr="001C6ED0">
          <w:rPr>
            <w:rStyle w:val="affffff7"/>
            <w:noProof/>
          </w:rPr>
          <w:t xml:space="preserve"> 剂量分布数据分析</w:t>
        </w:r>
        <w:r w:rsidR="001C6ED0" w:rsidRPr="001C6ED0">
          <w:rPr>
            <w:noProof/>
          </w:rPr>
          <w:tab/>
        </w:r>
        <w:r w:rsidRPr="001C6ED0">
          <w:rPr>
            <w:noProof/>
          </w:rPr>
          <w:fldChar w:fldCharType="begin"/>
        </w:r>
        <w:r w:rsidR="001C6ED0" w:rsidRPr="001C6ED0">
          <w:rPr>
            <w:noProof/>
          </w:rPr>
          <w:instrText xml:space="preserve"> PAGEREF _Toc112844850 \h </w:instrText>
        </w:r>
        <w:r w:rsidRPr="001C6ED0">
          <w:rPr>
            <w:noProof/>
          </w:rPr>
        </w:r>
        <w:r w:rsidRPr="001C6ED0">
          <w:rPr>
            <w:noProof/>
          </w:rPr>
          <w:fldChar w:fldCharType="separate"/>
        </w:r>
        <w:r w:rsidR="0014135C">
          <w:rPr>
            <w:noProof/>
          </w:rPr>
          <w:t>19</w:t>
        </w:r>
        <w:r w:rsidRPr="001C6ED0">
          <w:rPr>
            <w:noProof/>
          </w:rPr>
          <w:fldChar w:fldCharType="end"/>
        </w:r>
      </w:hyperlink>
    </w:p>
    <w:p w:rsidR="001C6ED0" w:rsidRPr="001C6ED0" w:rsidRDefault="00A0242A">
      <w:pPr>
        <w:pStyle w:val="10"/>
        <w:tabs>
          <w:tab w:val="right" w:leader="dot" w:pos="9344"/>
        </w:tabs>
        <w:rPr>
          <w:rFonts w:asciiTheme="minorHAnsi" w:eastAsiaTheme="minorEastAsia" w:hAnsiTheme="minorHAnsi" w:cstheme="minorBidi"/>
          <w:noProof/>
          <w:szCs w:val="22"/>
        </w:rPr>
      </w:pPr>
      <w:hyperlink w:anchor="_Toc112844851" w:history="1">
        <w:r w:rsidR="001C6ED0" w:rsidRPr="001C6ED0">
          <w:rPr>
            <w:rStyle w:val="affffff7"/>
            <w:noProof/>
          </w:rPr>
          <w:t>10</w:t>
        </w:r>
        <w:r w:rsidR="001C6ED0">
          <w:rPr>
            <w:rStyle w:val="affffff7"/>
            <w:noProof/>
          </w:rPr>
          <w:t xml:space="preserve"> </w:t>
        </w:r>
        <w:r w:rsidR="001C6ED0" w:rsidRPr="001C6ED0">
          <w:rPr>
            <w:rStyle w:val="affffff7"/>
            <w:noProof/>
          </w:rPr>
          <w:t xml:space="preserve"> 常规监测和控制</w:t>
        </w:r>
        <w:r w:rsidR="001C6ED0" w:rsidRPr="001C6ED0">
          <w:rPr>
            <w:noProof/>
          </w:rPr>
          <w:tab/>
        </w:r>
        <w:r w:rsidRPr="001C6ED0">
          <w:rPr>
            <w:noProof/>
          </w:rPr>
          <w:fldChar w:fldCharType="begin"/>
        </w:r>
        <w:r w:rsidR="001C6ED0" w:rsidRPr="001C6ED0">
          <w:rPr>
            <w:noProof/>
          </w:rPr>
          <w:instrText xml:space="preserve"> PAGEREF _Toc112844851 \h </w:instrText>
        </w:r>
        <w:r w:rsidRPr="001C6ED0">
          <w:rPr>
            <w:noProof/>
          </w:rPr>
        </w:r>
        <w:r w:rsidRPr="001C6ED0">
          <w:rPr>
            <w:noProof/>
          </w:rPr>
          <w:fldChar w:fldCharType="separate"/>
        </w:r>
        <w:r w:rsidR="0014135C">
          <w:rPr>
            <w:noProof/>
          </w:rPr>
          <w:t>19</w:t>
        </w:r>
        <w:r w:rsidRPr="001C6ED0">
          <w:rPr>
            <w:noProof/>
          </w:rPr>
          <w:fldChar w:fldCharType="end"/>
        </w:r>
      </w:hyperlink>
    </w:p>
    <w:p w:rsidR="001C6ED0" w:rsidRPr="001C6ED0" w:rsidRDefault="00A0242A">
      <w:pPr>
        <w:pStyle w:val="23"/>
        <w:rPr>
          <w:rFonts w:asciiTheme="minorHAnsi" w:eastAsiaTheme="minorEastAsia" w:hAnsiTheme="minorHAnsi" w:cstheme="minorBidi"/>
          <w:noProof/>
          <w:szCs w:val="22"/>
        </w:rPr>
      </w:pPr>
      <w:hyperlink w:anchor="_Toc112844852" w:history="1">
        <w:r w:rsidR="001C6ED0" w:rsidRPr="001C6ED0">
          <w:rPr>
            <w:rStyle w:val="affffff7"/>
            <w:noProof/>
          </w:rPr>
          <w:t>10.1</w:t>
        </w:r>
        <w:r w:rsidR="001C6ED0">
          <w:rPr>
            <w:rStyle w:val="affffff7"/>
            <w:noProof/>
          </w:rPr>
          <w:t xml:space="preserve"> </w:t>
        </w:r>
        <w:r w:rsidR="001C6ED0" w:rsidRPr="001C6ED0">
          <w:rPr>
            <w:rStyle w:val="affffff7"/>
            <w:noProof/>
          </w:rPr>
          <w:t xml:space="preserve"> 总则</w:t>
        </w:r>
        <w:r w:rsidR="001C6ED0" w:rsidRPr="001C6ED0">
          <w:rPr>
            <w:noProof/>
          </w:rPr>
          <w:tab/>
        </w:r>
        <w:r w:rsidRPr="001C6ED0">
          <w:rPr>
            <w:noProof/>
          </w:rPr>
          <w:fldChar w:fldCharType="begin"/>
        </w:r>
        <w:r w:rsidR="001C6ED0" w:rsidRPr="001C6ED0">
          <w:rPr>
            <w:noProof/>
          </w:rPr>
          <w:instrText xml:space="preserve"> PAGEREF _Toc112844852 \h </w:instrText>
        </w:r>
        <w:r w:rsidRPr="001C6ED0">
          <w:rPr>
            <w:noProof/>
          </w:rPr>
        </w:r>
        <w:r w:rsidRPr="001C6ED0">
          <w:rPr>
            <w:noProof/>
          </w:rPr>
          <w:fldChar w:fldCharType="separate"/>
        </w:r>
        <w:r w:rsidR="0014135C">
          <w:rPr>
            <w:noProof/>
          </w:rPr>
          <w:t>19</w:t>
        </w:r>
        <w:r w:rsidRPr="001C6ED0">
          <w:rPr>
            <w:noProof/>
          </w:rPr>
          <w:fldChar w:fldCharType="end"/>
        </w:r>
      </w:hyperlink>
    </w:p>
    <w:p w:rsidR="001C6ED0" w:rsidRPr="001C6ED0" w:rsidRDefault="00A0242A">
      <w:pPr>
        <w:pStyle w:val="23"/>
        <w:rPr>
          <w:rFonts w:asciiTheme="minorHAnsi" w:eastAsiaTheme="minorEastAsia" w:hAnsiTheme="minorHAnsi" w:cstheme="minorBidi"/>
          <w:noProof/>
          <w:szCs w:val="22"/>
        </w:rPr>
      </w:pPr>
      <w:hyperlink w:anchor="_Toc112844853" w:history="1">
        <w:r w:rsidR="001C6ED0" w:rsidRPr="001C6ED0">
          <w:rPr>
            <w:rStyle w:val="affffff7"/>
            <w:noProof/>
          </w:rPr>
          <w:t>10.2</w:t>
        </w:r>
        <w:r w:rsidR="001C6ED0">
          <w:rPr>
            <w:rStyle w:val="affffff7"/>
            <w:noProof/>
          </w:rPr>
          <w:t xml:space="preserve"> </w:t>
        </w:r>
        <w:r w:rsidR="001C6ED0" w:rsidRPr="001C6ED0">
          <w:rPr>
            <w:rStyle w:val="affffff7"/>
            <w:noProof/>
          </w:rPr>
          <w:t xml:space="preserve"> 剂量测量的频率</w:t>
        </w:r>
        <w:r w:rsidR="001C6ED0" w:rsidRPr="001C6ED0">
          <w:rPr>
            <w:noProof/>
          </w:rPr>
          <w:tab/>
        </w:r>
        <w:r w:rsidRPr="001C6ED0">
          <w:rPr>
            <w:noProof/>
          </w:rPr>
          <w:fldChar w:fldCharType="begin"/>
        </w:r>
        <w:r w:rsidR="001C6ED0" w:rsidRPr="001C6ED0">
          <w:rPr>
            <w:noProof/>
          </w:rPr>
          <w:instrText xml:space="preserve"> PAGEREF _Toc112844853 \h </w:instrText>
        </w:r>
        <w:r w:rsidRPr="001C6ED0">
          <w:rPr>
            <w:noProof/>
          </w:rPr>
        </w:r>
        <w:r w:rsidRPr="001C6ED0">
          <w:rPr>
            <w:noProof/>
          </w:rPr>
          <w:fldChar w:fldCharType="separate"/>
        </w:r>
        <w:r w:rsidR="0014135C">
          <w:rPr>
            <w:noProof/>
          </w:rPr>
          <w:t>19</w:t>
        </w:r>
        <w:r w:rsidRPr="001C6ED0">
          <w:rPr>
            <w:noProof/>
          </w:rPr>
          <w:fldChar w:fldCharType="end"/>
        </w:r>
      </w:hyperlink>
    </w:p>
    <w:p w:rsidR="001C6ED0" w:rsidRPr="001C6ED0" w:rsidRDefault="00A0242A">
      <w:pPr>
        <w:pStyle w:val="10"/>
        <w:tabs>
          <w:tab w:val="right" w:leader="dot" w:pos="9344"/>
        </w:tabs>
        <w:rPr>
          <w:rFonts w:asciiTheme="minorHAnsi" w:eastAsiaTheme="minorEastAsia" w:hAnsiTheme="minorHAnsi" w:cstheme="minorBidi"/>
          <w:noProof/>
          <w:szCs w:val="22"/>
        </w:rPr>
      </w:pPr>
      <w:hyperlink w:anchor="_Toc112844854" w:history="1">
        <w:r w:rsidR="001C6ED0" w:rsidRPr="001C6ED0">
          <w:rPr>
            <w:rStyle w:val="affffff7"/>
            <w:noProof/>
          </w:rPr>
          <w:t>附录A（资料性附</w:t>
        </w:r>
        <w:r w:rsidR="001C6ED0">
          <w:rPr>
            <w:rStyle w:val="affffff7"/>
            <w:noProof/>
          </w:rPr>
          <w:t xml:space="preserve"> </w:t>
        </w:r>
        <w:r w:rsidR="001C6ED0" w:rsidRPr="001C6ED0">
          <w:rPr>
            <w:rStyle w:val="affffff7"/>
            <w:noProof/>
          </w:rPr>
          <w:t>录） 数学模型</w:t>
        </w:r>
        <w:r w:rsidR="001C6ED0" w:rsidRPr="001C6ED0">
          <w:rPr>
            <w:noProof/>
          </w:rPr>
          <w:tab/>
        </w:r>
        <w:r w:rsidRPr="001C6ED0">
          <w:rPr>
            <w:noProof/>
          </w:rPr>
          <w:fldChar w:fldCharType="begin"/>
        </w:r>
        <w:r w:rsidR="001C6ED0" w:rsidRPr="001C6ED0">
          <w:rPr>
            <w:noProof/>
          </w:rPr>
          <w:instrText xml:space="preserve"> PAGEREF _Toc112844854 \h </w:instrText>
        </w:r>
        <w:r w:rsidRPr="001C6ED0">
          <w:rPr>
            <w:noProof/>
          </w:rPr>
        </w:r>
        <w:r w:rsidRPr="001C6ED0">
          <w:rPr>
            <w:noProof/>
          </w:rPr>
          <w:fldChar w:fldCharType="separate"/>
        </w:r>
        <w:r w:rsidR="0014135C">
          <w:rPr>
            <w:noProof/>
          </w:rPr>
          <w:t>20</w:t>
        </w:r>
        <w:r w:rsidRPr="001C6ED0">
          <w:rPr>
            <w:noProof/>
          </w:rPr>
          <w:fldChar w:fldCharType="end"/>
        </w:r>
      </w:hyperlink>
    </w:p>
    <w:p w:rsidR="001C6ED0" w:rsidRPr="001C6ED0" w:rsidRDefault="00A0242A">
      <w:pPr>
        <w:pStyle w:val="10"/>
        <w:tabs>
          <w:tab w:val="right" w:leader="dot" w:pos="9344"/>
        </w:tabs>
        <w:rPr>
          <w:rFonts w:asciiTheme="minorHAnsi" w:eastAsiaTheme="minorEastAsia" w:hAnsiTheme="minorHAnsi" w:cstheme="minorBidi"/>
          <w:noProof/>
          <w:szCs w:val="22"/>
        </w:rPr>
      </w:pPr>
      <w:hyperlink w:anchor="_Toc112844864" w:history="1">
        <w:r w:rsidR="001C6ED0" w:rsidRPr="001C6ED0">
          <w:rPr>
            <w:rStyle w:val="affffff7"/>
            <w:noProof/>
          </w:rPr>
          <w:t>附录B（资料性附</w:t>
        </w:r>
        <w:r w:rsidR="001C6ED0">
          <w:rPr>
            <w:rStyle w:val="affffff7"/>
            <w:noProof/>
          </w:rPr>
          <w:t xml:space="preserve"> </w:t>
        </w:r>
        <w:r w:rsidR="001C6ED0" w:rsidRPr="001C6ED0">
          <w:rPr>
            <w:rStyle w:val="affffff7"/>
            <w:noProof/>
          </w:rPr>
          <w:t>录） 安装鉴定/运行鉴定/性能鉴定期间剂量学相关测试参考表</w:t>
        </w:r>
        <w:r w:rsidR="001C6ED0" w:rsidRPr="001C6ED0">
          <w:rPr>
            <w:noProof/>
          </w:rPr>
          <w:tab/>
        </w:r>
        <w:r w:rsidRPr="001C6ED0">
          <w:rPr>
            <w:noProof/>
          </w:rPr>
          <w:fldChar w:fldCharType="begin"/>
        </w:r>
        <w:r w:rsidR="001C6ED0" w:rsidRPr="001C6ED0">
          <w:rPr>
            <w:noProof/>
          </w:rPr>
          <w:instrText xml:space="preserve"> PAGEREF _Toc112844864 \h </w:instrText>
        </w:r>
        <w:r w:rsidRPr="001C6ED0">
          <w:rPr>
            <w:noProof/>
          </w:rPr>
        </w:r>
        <w:r w:rsidRPr="001C6ED0">
          <w:rPr>
            <w:noProof/>
          </w:rPr>
          <w:fldChar w:fldCharType="separate"/>
        </w:r>
        <w:r w:rsidR="0014135C">
          <w:rPr>
            <w:noProof/>
          </w:rPr>
          <w:t>22</w:t>
        </w:r>
        <w:r w:rsidRPr="001C6ED0">
          <w:rPr>
            <w:noProof/>
          </w:rPr>
          <w:fldChar w:fldCharType="end"/>
        </w:r>
      </w:hyperlink>
    </w:p>
    <w:p w:rsidR="001C6ED0" w:rsidRPr="001C6ED0" w:rsidRDefault="00A0242A">
      <w:pPr>
        <w:pStyle w:val="10"/>
        <w:tabs>
          <w:tab w:val="right" w:leader="dot" w:pos="9344"/>
        </w:tabs>
        <w:rPr>
          <w:rFonts w:asciiTheme="minorHAnsi" w:eastAsiaTheme="minorEastAsia" w:hAnsiTheme="minorHAnsi" w:cstheme="minorBidi"/>
          <w:noProof/>
          <w:szCs w:val="22"/>
        </w:rPr>
      </w:pPr>
      <w:hyperlink w:anchor="_Toc112844868" w:history="1">
        <w:r w:rsidR="001C6ED0" w:rsidRPr="001C6ED0">
          <w:rPr>
            <w:rStyle w:val="affffff7"/>
            <w:noProof/>
          </w:rPr>
          <w:t>附录C（资料性附</w:t>
        </w:r>
        <w:r w:rsidR="001C6ED0">
          <w:rPr>
            <w:rStyle w:val="affffff7"/>
            <w:noProof/>
          </w:rPr>
          <w:t xml:space="preserve"> </w:t>
        </w:r>
        <w:r w:rsidR="001C6ED0" w:rsidRPr="001C6ED0">
          <w:rPr>
            <w:rStyle w:val="affffff7"/>
            <w:noProof/>
          </w:rPr>
          <w:t>录） ISO 11137-2和ISO/TS 13004中灭菌剂量设定/证实中使用剂量的公差</w:t>
        </w:r>
        <w:r w:rsidR="001C6ED0" w:rsidRPr="001C6ED0">
          <w:rPr>
            <w:noProof/>
          </w:rPr>
          <w:tab/>
        </w:r>
        <w:r w:rsidRPr="001C6ED0">
          <w:rPr>
            <w:noProof/>
          </w:rPr>
          <w:fldChar w:fldCharType="begin"/>
        </w:r>
        <w:r w:rsidR="001C6ED0" w:rsidRPr="001C6ED0">
          <w:rPr>
            <w:noProof/>
          </w:rPr>
          <w:instrText xml:space="preserve"> PAGEREF _Toc112844868 \h </w:instrText>
        </w:r>
        <w:r w:rsidRPr="001C6ED0">
          <w:rPr>
            <w:noProof/>
          </w:rPr>
        </w:r>
        <w:r w:rsidRPr="001C6ED0">
          <w:rPr>
            <w:noProof/>
          </w:rPr>
          <w:fldChar w:fldCharType="separate"/>
        </w:r>
        <w:r w:rsidR="0014135C">
          <w:rPr>
            <w:noProof/>
          </w:rPr>
          <w:t>24</w:t>
        </w:r>
        <w:r w:rsidRPr="001C6ED0">
          <w:rPr>
            <w:noProof/>
          </w:rPr>
          <w:fldChar w:fldCharType="end"/>
        </w:r>
      </w:hyperlink>
    </w:p>
    <w:p w:rsidR="001C6ED0" w:rsidRPr="001C6ED0" w:rsidRDefault="00A0242A">
      <w:pPr>
        <w:pStyle w:val="10"/>
        <w:tabs>
          <w:tab w:val="right" w:leader="dot" w:pos="9344"/>
        </w:tabs>
        <w:rPr>
          <w:rFonts w:asciiTheme="minorHAnsi" w:eastAsiaTheme="minorEastAsia" w:hAnsiTheme="minorHAnsi" w:cstheme="minorBidi"/>
          <w:noProof/>
          <w:szCs w:val="22"/>
        </w:rPr>
      </w:pPr>
      <w:hyperlink w:anchor="_Toc112844869" w:history="1">
        <w:r w:rsidR="001C6ED0" w:rsidRPr="001C6ED0">
          <w:rPr>
            <w:rStyle w:val="affffff7"/>
            <w:noProof/>
          </w:rPr>
          <w:t>附录D（资料性附</w:t>
        </w:r>
        <w:r w:rsidR="001C6ED0">
          <w:rPr>
            <w:rStyle w:val="affffff7"/>
            <w:noProof/>
          </w:rPr>
          <w:t xml:space="preserve"> </w:t>
        </w:r>
        <w:r w:rsidR="001C6ED0" w:rsidRPr="001C6ED0">
          <w:rPr>
            <w:rStyle w:val="affffff7"/>
            <w:noProof/>
          </w:rPr>
          <w:t>录） 剂量测量不确定度在过程目标剂量设定中的应用</w:t>
        </w:r>
        <w:r w:rsidR="001C6ED0" w:rsidRPr="001C6ED0">
          <w:rPr>
            <w:noProof/>
          </w:rPr>
          <w:tab/>
        </w:r>
        <w:r w:rsidRPr="001C6ED0">
          <w:rPr>
            <w:noProof/>
          </w:rPr>
          <w:fldChar w:fldCharType="begin"/>
        </w:r>
        <w:r w:rsidR="001C6ED0" w:rsidRPr="001C6ED0">
          <w:rPr>
            <w:noProof/>
          </w:rPr>
          <w:instrText xml:space="preserve"> PAGEREF _Toc112844869 \h </w:instrText>
        </w:r>
        <w:r w:rsidRPr="001C6ED0">
          <w:rPr>
            <w:noProof/>
          </w:rPr>
        </w:r>
        <w:r w:rsidRPr="001C6ED0">
          <w:rPr>
            <w:noProof/>
          </w:rPr>
          <w:fldChar w:fldCharType="separate"/>
        </w:r>
        <w:r w:rsidR="0014135C">
          <w:rPr>
            <w:noProof/>
          </w:rPr>
          <w:t>25</w:t>
        </w:r>
        <w:r w:rsidRPr="001C6ED0">
          <w:rPr>
            <w:noProof/>
          </w:rPr>
          <w:fldChar w:fldCharType="end"/>
        </w:r>
      </w:hyperlink>
    </w:p>
    <w:p w:rsidR="001C6ED0" w:rsidRPr="001C6ED0" w:rsidRDefault="00A0242A">
      <w:pPr>
        <w:pStyle w:val="10"/>
        <w:tabs>
          <w:tab w:val="right" w:leader="dot" w:pos="9344"/>
        </w:tabs>
        <w:rPr>
          <w:rFonts w:asciiTheme="minorHAnsi" w:eastAsiaTheme="minorEastAsia" w:hAnsiTheme="minorHAnsi" w:cstheme="minorBidi"/>
          <w:noProof/>
          <w:szCs w:val="22"/>
        </w:rPr>
      </w:pPr>
      <w:hyperlink w:anchor="_Toc112844875" w:history="1">
        <w:r w:rsidR="001C6ED0" w:rsidRPr="001C6ED0">
          <w:rPr>
            <w:rStyle w:val="affffff7"/>
            <w:noProof/>
          </w:rPr>
          <w:t>参考文献</w:t>
        </w:r>
        <w:r w:rsidR="001C6ED0" w:rsidRPr="001C6ED0">
          <w:rPr>
            <w:noProof/>
          </w:rPr>
          <w:tab/>
        </w:r>
        <w:r w:rsidRPr="001C6ED0">
          <w:rPr>
            <w:noProof/>
          </w:rPr>
          <w:fldChar w:fldCharType="begin"/>
        </w:r>
        <w:r w:rsidR="001C6ED0" w:rsidRPr="001C6ED0">
          <w:rPr>
            <w:noProof/>
          </w:rPr>
          <w:instrText xml:space="preserve"> PAGEREF _Toc112844875 \h </w:instrText>
        </w:r>
        <w:r w:rsidRPr="001C6ED0">
          <w:rPr>
            <w:noProof/>
          </w:rPr>
        </w:r>
        <w:r w:rsidRPr="001C6ED0">
          <w:rPr>
            <w:noProof/>
          </w:rPr>
          <w:fldChar w:fldCharType="separate"/>
        </w:r>
        <w:r w:rsidR="0014135C">
          <w:rPr>
            <w:noProof/>
          </w:rPr>
          <w:t>29</w:t>
        </w:r>
        <w:r w:rsidRPr="001C6ED0">
          <w:rPr>
            <w:noProof/>
          </w:rPr>
          <w:fldChar w:fldCharType="end"/>
        </w:r>
      </w:hyperlink>
    </w:p>
    <w:p w:rsidR="001C6ED0" w:rsidRPr="001C6ED0" w:rsidRDefault="00A0242A" w:rsidP="001C6ED0">
      <w:pPr>
        <w:pStyle w:val="afffffc"/>
        <w:spacing w:after="468"/>
        <w:sectPr w:rsidR="001C6ED0" w:rsidRPr="001C6ED0" w:rsidSect="001C6ED0">
          <w:headerReference w:type="even" r:id="rId16"/>
          <w:headerReference w:type="default" r:id="rId17"/>
          <w:footerReference w:type="even" r:id="rId18"/>
          <w:footerReference w:type="default" r:id="rId19"/>
          <w:pgSz w:w="11906" w:h="16838" w:code="9"/>
          <w:pgMar w:top="1928" w:right="1134" w:bottom="1134" w:left="1134" w:header="1418" w:footer="1134" w:gutter="284"/>
          <w:pgNumType w:fmt="upperRoman" w:start="1"/>
          <w:cols w:space="425"/>
          <w:formProt w:val="0"/>
          <w:docGrid w:type="lines" w:linePitch="312"/>
        </w:sectPr>
      </w:pPr>
      <w:r w:rsidRPr="001C6ED0">
        <w:fldChar w:fldCharType="end"/>
      </w:r>
    </w:p>
    <w:p w:rsidR="00EF4DA7" w:rsidRDefault="00EF4DA7" w:rsidP="00EF4DA7">
      <w:pPr>
        <w:pStyle w:val="a6"/>
        <w:spacing w:before="900" w:after="468"/>
      </w:pPr>
      <w:bookmarkStart w:id="21" w:name="_Toc112844809"/>
      <w:bookmarkStart w:id="22" w:name="BookMark2"/>
      <w:bookmarkEnd w:id="19"/>
      <w:r w:rsidRPr="00EF4DA7">
        <w:rPr>
          <w:spacing w:val="320"/>
        </w:rPr>
        <w:lastRenderedPageBreak/>
        <w:t>前</w:t>
      </w:r>
      <w:r>
        <w:t>言</w:t>
      </w:r>
      <w:bookmarkEnd w:id="20"/>
      <w:bookmarkEnd w:id="21"/>
    </w:p>
    <w:p w:rsidR="00EF4DA7" w:rsidRDefault="00EF4DA7" w:rsidP="00EF4DA7">
      <w:pPr>
        <w:pStyle w:val="affff6"/>
        <w:ind w:firstLine="420"/>
      </w:pPr>
      <w:r>
        <w:rPr>
          <w:rFonts w:hint="eastAsia"/>
        </w:rPr>
        <w:t>本文件按照GB/T 1.1—2020《标准化工作导则  第1部分：标准化文件的结构和起草规则》的规定起草。</w:t>
      </w:r>
    </w:p>
    <w:p w:rsidR="00F37A15" w:rsidRDefault="00F37A15" w:rsidP="00F37A15">
      <w:pPr>
        <w:pStyle w:val="affff6"/>
        <w:ind w:firstLine="420"/>
      </w:pPr>
      <w:r>
        <w:rPr>
          <w:rFonts w:hint="eastAsia"/>
        </w:rPr>
        <w:t>GB/T 18280《医疗保健产品灭菌 辐射》由以下3部分组成：</w:t>
      </w:r>
    </w:p>
    <w:p w:rsidR="00F37A15" w:rsidRDefault="00F37A15" w:rsidP="00F37A15">
      <w:pPr>
        <w:pStyle w:val="affff6"/>
        <w:ind w:firstLine="420"/>
      </w:pPr>
      <w:r>
        <w:rPr>
          <w:rFonts w:hint="eastAsia"/>
        </w:rPr>
        <w:t>——第1部分：医疗器械灭菌过程的开发、确认和常规控制要求；</w:t>
      </w:r>
    </w:p>
    <w:p w:rsidR="00F37A15" w:rsidRDefault="00F37A15" w:rsidP="00F37A15">
      <w:pPr>
        <w:pStyle w:val="affff6"/>
        <w:ind w:firstLine="420"/>
      </w:pPr>
      <w:r>
        <w:rPr>
          <w:rFonts w:hint="eastAsia"/>
        </w:rPr>
        <w:t>——第2部分：建立灭菌剂量；</w:t>
      </w:r>
    </w:p>
    <w:p w:rsidR="00F37A15" w:rsidRDefault="00F37A15" w:rsidP="00F37A15">
      <w:pPr>
        <w:pStyle w:val="affff6"/>
        <w:ind w:firstLine="420"/>
      </w:pPr>
      <w:r>
        <w:rPr>
          <w:rFonts w:hint="eastAsia"/>
        </w:rPr>
        <w:t>——第3部分：</w:t>
      </w:r>
      <w:r w:rsidR="00A31286" w:rsidRPr="00A31286">
        <w:rPr>
          <w:rFonts w:hint="eastAsia"/>
        </w:rPr>
        <w:t>开发、确认和常规控制的</w:t>
      </w:r>
      <w:r>
        <w:rPr>
          <w:rFonts w:hint="eastAsia"/>
        </w:rPr>
        <w:t>剂量测量指南。</w:t>
      </w:r>
    </w:p>
    <w:p w:rsidR="00F37A15" w:rsidRDefault="00F37A15" w:rsidP="00F37A15">
      <w:pPr>
        <w:pStyle w:val="affff6"/>
        <w:ind w:firstLine="420"/>
      </w:pPr>
      <w:r>
        <w:rPr>
          <w:rFonts w:hint="eastAsia"/>
        </w:rPr>
        <w:t>本部分为GB/T 18280的第3部分。</w:t>
      </w:r>
    </w:p>
    <w:p w:rsidR="001C10B3" w:rsidRDefault="00F37A15" w:rsidP="001C10B3">
      <w:pPr>
        <w:pStyle w:val="affff6"/>
        <w:ind w:firstLine="420"/>
      </w:pPr>
      <w:r>
        <w:rPr>
          <w:rFonts w:hint="eastAsia"/>
        </w:rPr>
        <w:t>——</w:t>
      </w:r>
      <w:r w:rsidR="001C10B3">
        <w:rPr>
          <w:rFonts w:hint="eastAsia"/>
        </w:rPr>
        <w:t>明确开发、确认和常规控制的剂量测量指南。</w:t>
      </w:r>
    </w:p>
    <w:p w:rsidR="001C10B3" w:rsidRDefault="00F37A15" w:rsidP="001C10B3">
      <w:pPr>
        <w:pStyle w:val="affff6"/>
        <w:ind w:firstLine="420"/>
      </w:pPr>
      <w:r>
        <w:rPr>
          <w:rFonts w:hint="eastAsia"/>
        </w:rPr>
        <w:t>——</w:t>
      </w:r>
      <w:r w:rsidR="001C10B3">
        <w:rPr>
          <w:rFonts w:hint="eastAsia"/>
        </w:rPr>
        <w:t>新增ISO/TS13004和ISO 13485引用。</w:t>
      </w:r>
    </w:p>
    <w:p w:rsidR="001C10B3" w:rsidRDefault="00F37A15" w:rsidP="001C10B3">
      <w:pPr>
        <w:pStyle w:val="affff6"/>
        <w:ind w:firstLine="420"/>
      </w:pPr>
      <w:r>
        <w:rPr>
          <w:rFonts w:hint="eastAsia"/>
        </w:rPr>
        <w:t>——</w:t>
      </w:r>
      <w:r w:rsidR="001C10B3">
        <w:rPr>
          <w:rFonts w:hint="eastAsia"/>
        </w:rPr>
        <w:t>更新对GB/T 18280.3标准的引用。</w:t>
      </w:r>
    </w:p>
    <w:p w:rsidR="001C10B3" w:rsidRDefault="00F37A15" w:rsidP="001C10B3">
      <w:pPr>
        <w:pStyle w:val="affff6"/>
        <w:ind w:firstLine="420"/>
      </w:pPr>
      <w:r>
        <w:rPr>
          <w:rFonts w:hint="eastAsia"/>
        </w:rPr>
        <w:t>——</w:t>
      </w:r>
      <w:r w:rsidR="001C10B3">
        <w:rPr>
          <w:rFonts w:hint="eastAsia"/>
        </w:rPr>
        <w:t>新增直接剂量测量术语。</w:t>
      </w:r>
    </w:p>
    <w:p w:rsidR="001C10B3" w:rsidRDefault="00F37A15" w:rsidP="001C10B3">
      <w:pPr>
        <w:pStyle w:val="affff6"/>
        <w:ind w:firstLine="420"/>
      </w:pPr>
      <w:r>
        <w:rPr>
          <w:rFonts w:hint="eastAsia"/>
        </w:rPr>
        <w:t>——</w:t>
      </w:r>
      <w:r w:rsidR="001C10B3">
        <w:rPr>
          <w:rFonts w:hint="eastAsia"/>
        </w:rPr>
        <w:t>新增间接剂量测量术语。</w:t>
      </w:r>
    </w:p>
    <w:p w:rsidR="001C10B3" w:rsidRDefault="00F37A15" w:rsidP="001C10B3">
      <w:pPr>
        <w:pStyle w:val="affff6"/>
        <w:ind w:firstLine="420"/>
      </w:pPr>
      <w:r>
        <w:rPr>
          <w:rFonts w:hint="eastAsia"/>
        </w:rPr>
        <w:t>——</w:t>
      </w:r>
      <w:r w:rsidR="001C10B3">
        <w:rPr>
          <w:rFonts w:hint="eastAsia"/>
        </w:rPr>
        <w:t>新增符号。</w:t>
      </w:r>
    </w:p>
    <w:p w:rsidR="001C10B3" w:rsidRDefault="00F37A15" w:rsidP="001C10B3">
      <w:pPr>
        <w:pStyle w:val="affff6"/>
        <w:ind w:firstLine="420"/>
      </w:pPr>
      <w:r>
        <w:rPr>
          <w:rFonts w:hint="eastAsia"/>
        </w:rPr>
        <w:t>——</w:t>
      </w:r>
      <w:r w:rsidR="001C10B3">
        <w:rPr>
          <w:rFonts w:hint="eastAsia"/>
        </w:rPr>
        <w:t>结构性调整，合并上版本中的第4节和第5节为本文</w:t>
      </w:r>
      <w:r w:rsidR="00DE3E4A">
        <w:rPr>
          <w:rFonts w:hint="eastAsia"/>
        </w:rPr>
        <w:t>件</w:t>
      </w:r>
      <w:r w:rsidR="001C10B3">
        <w:rPr>
          <w:rFonts w:hint="eastAsia"/>
        </w:rPr>
        <w:t>第4节。</w:t>
      </w:r>
    </w:p>
    <w:p w:rsidR="00EF4DA7" w:rsidRDefault="00843353" w:rsidP="001C10B3">
      <w:pPr>
        <w:pStyle w:val="affff6"/>
        <w:ind w:firstLine="420"/>
      </w:pPr>
      <w:r>
        <w:rPr>
          <w:rFonts w:hint="eastAsia"/>
        </w:rPr>
        <w:t>——</w:t>
      </w:r>
      <w:r w:rsidR="001C10B3">
        <w:rPr>
          <w:rFonts w:hint="eastAsia"/>
        </w:rPr>
        <w:t>新增附录B、附录C、附录D。</w:t>
      </w:r>
    </w:p>
    <w:p w:rsidR="001C10B3" w:rsidRDefault="001C10B3" w:rsidP="001C10B3">
      <w:pPr>
        <w:pStyle w:val="affff6"/>
        <w:ind w:firstLine="420"/>
      </w:pPr>
      <w:r>
        <w:rPr>
          <w:rFonts w:hint="eastAsia"/>
        </w:rPr>
        <w:t>本部分使用翻译法等同采用ISO 11137-3：2017《医疗保健产品灭菌 辐射 第3部分：开发、确认和常规控制的剂量测量指南》(英文版)。</w:t>
      </w:r>
    </w:p>
    <w:p w:rsidR="001C10B3" w:rsidRDefault="001C10B3" w:rsidP="001C10B3">
      <w:pPr>
        <w:pStyle w:val="affff6"/>
        <w:ind w:firstLine="420"/>
      </w:pPr>
      <w:r>
        <w:rPr>
          <w:rFonts w:hint="eastAsia"/>
        </w:rPr>
        <w:t>与本部分规范性引用的国际文件有一致性对应关系的我国文件如下：</w:t>
      </w:r>
    </w:p>
    <w:p w:rsidR="001C10B3" w:rsidRDefault="00A31286" w:rsidP="001C10B3">
      <w:pPr>
        <w:pStyle w:val="affff6"/>
        <w:ind w:firstLine="420"/>
      </w:pPr>
      <w:r>
        <w:rPr>
          <w:rFonts w:hint="eastAsia"/>
        </w:rPr>
        <w:t>——</w:t>
      </w:r>
      <w:r w:rsidR="001C10B3">
        <w:rPr>
          <w:rFonts w:hint="eastAsia"/>
        </w:rPr>
        <w:t>GB 18280.1-20XX医疗保健产品的灭菌 辐射 第1部分：医疗器械灭菌过程的开发、确认和常规控制要求(ISO 11137-1:2006/Amd.1:2013及ISO 11137-1:2006/Amd.2:2018</w:t>
      </w:r>
      <w:r w:rsidR="003D160F">
        <w:rPr>
          <w:rFonts w:hint="eastAsia"/>
        </w:rPr>
        <w:t>，</w:t>
      </w:r>
      <w:r w:rsidR="001C10B3">
        <w:rPr>
          <w:rFonts w:hint="eastAsia"/>
        </w:rPr>
        <w:t>IDT)</w:t>
      </w:r>
    </w:p>
    <w:p w:rsidR="001C10B3" w:rsidRDefault="00A31286" w:rsidP="001C10B3">
      <w:pPr>
        <w:pStyle w:val="affff6"/>
        <w:ind w:firstLine="420"/>
      </w:pPr>
      <w:r>
        <w:rPr>
          <w:rFonts w:hint="eastAsia"/>
        </w:rPr>
        <w:t>——</w:t>
      </w:r>
      <w:r w:rsidR="001C10B3">
        <w:rPr>
          <w:rFonts w:hint="eastAsia"/>
        </w:rPr>
        <w:t>GB 18280.2-20XX医疗保健产品的灭</w:t>
      </w:r>
      <w:r w:rsidR="002B2415">
        <w:rPr>
          <w:rFonts w:hint="eastAsia"/>
        </w:rPr>
        <w:t>菌</w:t>
      </w:r>
      <w:r w:rsidR="001C10B3">
        <w:rPr>
          <w:rFonts w:hint="eastAsia"/>
        </w:rPr>
        <w:t xml:space="preserve"> 辐射 第2部分：建立灭菌剂量(ISO 11137-2:2013 Amd 1 2022</w:t>
      </w:r>
      <w:r w:rsidR="003D160F">
        <w:rPr>
          <w:rFonts w:hint="eastAsia"/>
        </w:rPr>
        <w:t>，</w:t>
      </w:r>
      <w:r w:rsidR="001C10B3">
        <w:rPr>
          <w:rFonts w:hint="eastAsia"/>
        </w:rPr>
        <w:t>IDT)</w:t>
      </w:r>
    </w:p>
    <w:p w:rsidR="00EF4DA7" w:rsidRDefault="001C10B3" w:rsidP="001C10B3">
      <w:pPr>
        <w:pStyle w:val="affff6"/>
        <w:ind w:firstLine="420"/>
      </w:pPr>
      <w:r>
        <w:rPr>
          <w:rFonts w:hint="eastAsia"/>
        </w:rPr>
        <w:t>请注意本文件的某些内容可能涉及专利。本文件的发行机构不承担识别这些专利的责任。</w:t>
      </w:r>
    </w:p>
    <w:p w:rsidR="00EF4DA7" w:rsidRDefault="00EF4DA7" w:rsidP="00EF4DA7">
      <w:pPr>
        <w:pStyle w:val="affff6"/>
        <w:ind w:firstLine="420"/>
      </w:pPr>
      <w:r>
        <w:rPr>
          <w:rFonts w:hint="eastAsia"/>
        </w:rPr>
        <w:t>本文件由</w:t>
      </w:r>
      <w:r w:rsidR="002B2415" w:rsidRPr="002B2415">
        <w:rPr>
          <w:rFonts w:hint="eastAsia"/>
        </w:rPr>
        <w:t>国家药品监督管理局</w:t>
      </w:r>
      <w:r>
        <w:rPr>
          <w:rFonts w:hint="eastAsia"/>
        </w:rPr>
        <w:t>提出。</w:t>
      </w:r>
    </w:p>
    <w:p w:rsidR="00EF4DA7" w:rsidRDefault="00EF4DA7" w:rsidP="00EF4DA7">
      <w:pPr>
        <w:pStyle w:val="affff6"/>
        <w:ind w:firstLine="420"/>
      </w:pPr>
      <w:r>
        <w:rPr>
          <w:rFonts w:hint="eastAsia"/>
        </w:rPr>
        <w:t>本文件由</w:t>
      </w:r>
      <w:r w:rsidR="00055CAA" w:rsidRPr="00055CAA">
        <w:rPr>
          <w:rFonts w:hint="eastAsia"/>
        </w:rPr>
        <w:t>全国消毒技术与设备标准化技术委员会(SAC/TC 200)</w:t>
      </w:r>
      <w:r>
        <w:rPr>
          <w:rFonts w:hint="eastAsia"/>
        </w:rPr>
        <w:t>归口。</w:t>
      </w:r>
    </w:p>
    <w:p w:rsidR="00EF4DA7" w:rsidRDefault="00EF4DA7" w:rsidP="00EF4DA7">
      <w:pPr>
        <w:pStyle w:val="affff6"/>
        <w:ind w:firstLine="420"/>
      </w:pPr>
      <w:r>
        <w:rPr>
          <w:rFonts w:hint="eastAsia"/>
        </w:rPr>
        <w:t>本文件起草单位：</w:t>
      </w:r>
      <w:bookmarkStart w:id="23" w:name="_Hlk112782807"/>
      <w:r w:rsidR="002B2415" w:rsidRPr="002B2415">
        <w:rPr>
          <w:rFonts w:hint="eastAsia"/>
        </w:rPr>
        <w:t>中金辐照股份有限公司、广东省医疗器械质量监督检验所、北京市射线应用研究中心有限公司</w:t>
      </w:r>
      <w:r w:rsidR="00F37A15">
        <w:rPr>
          <w:rFonts w:hint="eastAsia"/>
        </w:rPr>
        <w:t>、</w:t>
      </w:r>
      <w:r w:rsidR="002B2415" w:rsidRPr="002B2415">
        <w:rPr>
          <w:rFonts w:hint="eastAsia"/>
        </w:rPr>
        <w:t>上海辐新辐照技术有限公司</w:t>
      </w:r>
      <w:bookmarkEnd w:id="23"/>
      <w:r w:rsidR="009567B1">
        <w:rPr>
          <w:rFonts w:hint="eastAsia"/>
        </w:rPr>
        <w:t>、天津金鹏源辐照技术有限公司</w:t>
      </w:r>
      <w:r w:rsidR="002B2415">
        <w:rPr>
          <w:rFonts w:hint="eastAsia"/>
        </w:rPr>
        <w:t>。</w:t>
      </w:r>
    </w:p>
    <w:p w:rsidR="00EF4DA7" w:rsidRDefault="00EF4DA7" w:rsidP="00EF4DA7">
      <w:pPr>
        <w:pStyle w:val="affff6"/>
        <w:ind w:firstLine="420"/>
      </w:pPr>
      <w:r>
        <w:rPr>
          <w:rFonts w:hint="eastAsia"/>
        </w:rPr>
        <w:t>本文件主要起草人：</w:t>
      </w:r>
    </w:p>
    <w:p w:rsidR="00A31286" w:rsidRDefault="00A31286" w:rsidP="00A31286">
      <w:pPr>
        <w:pStyle w:val="affff6"/>
        <w:ind w:firstLine="420"/>
      </w:pPr>
      <w:r>
        <w:rPr>
          <w:rFonts w:hint="eastAsia"/>
        </w:rPr>
        <w:t>本部分所代替标准的历次版本发布情况为：</w:t>
      </w:r>
    </w:p>
    <w:p w:rsidR="00A31286" w:rsidRDefault="00A31286" w:rsidP="003565AF">
      <w:pPr>
        <w:pStyle w:val="af2"/>
      </w:pPr>
      <w:r>
        <w:t>GB 18280</w:t>
      </w:r>
      <w:r>
        <w:t>—</w:t>
      </w:r>
      <w:r>
        <w:t>2000</w:t>
      </w:r>
    </w:p>
    <w:p w:rsidR="00EF4DA7" w:rsidRDefault="00A31286" w:rsidP="003565AF">
      <w:pPr>
        <w:pStyle w:val="af2"/>
      </w:pPr>
      <w:r>
        <w:t>GB/T 18280.3</w:t>
      </w:r>
      <w:r>
        <w:t>—</w:t>
      </w:r>
      <w:r>
        <w:t>2015</w:t>
      </w:r>
    </w:p>
    <w:p w:rsidR="00EF4DA7" w:rsidRPr="00EF4DA7" w:rsidRDefault="00EF4DA7" w:rsidP="00EF4DA7">
      <w:pPr>
        <w:pStyle w:val="affff6"/>
        <w:ind w:firstLine="420"/>
        <w:sectPr w:rsidR="00EF4DA7" w:rsidRPr="00EF4DA7" w:rsidSect="00BF2D77">
          <w:pgSz w:w="11906" w:h="16838" w:code="9"/>
          <w:pgMar w:top="1928" w:right="1134" w:bottom="1134" w:left="1134" w:header="1418" w:footer="1134" w:gutter="284"/>
          <w:pgNumType w:fmt="upperRoman"/>
          <w:cols w:space="425"/>
          <w:formProt w:val="0"/>
          <w:docGrid w:type="lines" w:linePitch="312"/>
        </w:sectPr>
      </w:pPr>
    </w:p>
    <w:p w:rsidR="00A31286" w:rsidRDefault="00A31286" w:rsidP="00A31286">
      <w:pPr>
        <w:pStyle w:val="a6"/>
        <w:spacing w:after="468"/>
      </w:pPr>
      <w:bookmarkStart w:id="24" w:name="_Toc112783013"/>
      <w:bookmarkStart w:id="25" w:name="_Toc112844810"/>
      <w:bookmarkStart w:id="26" w:name="BookMark3"/>
      <w:bookmarkEnd w:id="22"/>
      <w:r w:rsidRPr="00A31286">
        <w:rPr>
          <w:spacing w:val="320"/>
        </w:rPr>
        <w:lastRenderedPageBreak/>
        <w:t>引</w:t>
      </w:r>
      <w:r>
        <w:t>言</w:t>
      </w:r>
      <w:bookmarkEnd w:id="24"/>
      <w:bookmarkEnd w:id="25"/>
    </w:p>
    <w:p w:rsidR="00A31286" w:rsidRDefault="00A31286" w:rsidP="00A31286">
      <w:pPr>
        <w:pStyle w:val="affff6"/>
        <w:ind w:firstLine="420"/>
      </w:pPr>
      <w:r>
        <w:rPr>
          <w:rFonts w:hint="eastAsia"/>
        </w:rPr>
        <w:t>剂量测量能力是辐射灭菌不可分割的部分。剂量测量贯穿于灭菌过程开发、确认和常规监测的各个阶段。应证明的是，剂量测量可溯源到某个国家或国际标准；测量不确定度以及剂量计响应受温度、湿度和其他环境因素影响已经被证实或并被考虑。以剂量测量结果为依据建立并应用于过程参数的设置。本文</w:t>
      </w:r>
      <w:r w:rsidR="00BA2C76">
        <w:rPr>
          <w:rFonts w:hint="eastAsia"/>
        </w:rPr>
        <w:t>件</w:t>
      </w:r>
      <w:r>
        <w:rPr>
          <w:rFonts w:hint="eastAsia"/>
        </w:rPr>
        <w:t>提供了灭菌过程在开发、确认和常规控制的全过程剂量测量应用指南。</w:t>
      </w:r>
    </w:p>
    <w:p w:rsidR="00A31286" w:rsidRDefault="00A31286" w:rsidP="00A31286">
      <w:pPr>
        <w:pStyle w:val="affff6"/>
        <w:ind w:firstLine="420"/>
      </w:pPr>
      <w:r>
        <w:rPr>
          <w:rFonts w:hint="eastAsia"/>
        </w:rPr>
        <w:t>ISO 11137-1、ISO 11137-2和ISO/TS13004规定了剂量测量的相关要求。本文</w:t>
      </w:r>
      <w:r w:rsidR="00052956">
        <w:rPr>
          <w:rFonts w:hint="eastAsia"/>
        </w:rPr>
        <w:t>件</w:t>
      </w:r>
      <w:r>
        <w:rPr>
          <w:rFonts w:hint="eastAsia"/>
        </w:rPr>
        <w:t>给出这些要求的指南。给出的指南不是规范性的，不作为检查清单提供给审核员。指南提供了符合要求的说明和合适的方法。如果指南以外的方法能有效地满足ISO 11137-1、ISO 11137-2和ISO/TS13004的要求</w:t>
      </w:r>
      <w:r w:rsidR="00052956">
        <w:rPr>
          <w:rFonts w:hint="eastAsia"/>
        </w:rPr>
        <w:t>。</w:t>
      </w:r>
      <w:r>
        <w:rPr>
          <w:rFonts w:hint="eastAsia"/>
        </w:rPr>
        <w:t>这些方法也可以使用。</w:t>
      </w:r>
    </w:p>
    <w:p w:rsidR="00A31286" w:rsidRPr="00A31286" w:rsidRDefault="00A31286" w:rsidP="00A31286">
      <w:pPr>
        <w:pStyle w:val="affff6"/>
        <w:ind w:firstLine="420"/>
        <w:sectPr w:rsidR="00A31286" w:rsidRPr="00A31286" w:rsidSect="00BF2D77">
          <w:headerReference w:type="even" r:id="rId20"/>
          <w:headerReference w:type="default" r:id="rId21"/>
          <w:footerReference w:type="even" r:id="rId22"/>
          <w:footerReference w:type="default" r:id="rId23"/>
          <w:pgSz w:w="11906" w:h="16838" w:code="9"/>
          <w:pgMar w:top="1928" w:right="1134" w:bottom="1134" w:left="1134" w:header="1418" w:footer="1134" w:gutter="284"/>
          <w:pgNumType w:fmt="upperRoman"/>
          <w:cols w:space="425"/>
          <w:formProt w:val="0"/>
          <w:docGrid w:type="lines" w:linePitch="312"/>
        </w:sectPr>
      </w:pPr>
    </w:p>
    <w:p w:rsidR="00894836" w:rsidRPr="00934C12" w:rsidRDefault="00894836" w:rsidP="00093D25">
      <w:pPr>
        <w:spacing w:line="20" w:lineRule="exact"/>
        <w:jc w:val="center"/>
        <w:rPr>
          <w:rFonts w:ascii="黑体" w:eastAsia="黑体" w:hAnsi="黑体"/>
          <w:sz w:val="32"/>
          <w:szCs w:val="32"/>
        </w:rPr>
      </w:pPr>
      <w:bookmarkStart w:id="27" w:name="BookMark4"/>
      <w:bookmarkEnd w:id="26"/>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BA77BAB6469740FC8866DF23DD24BF25"/>
        </w:placeholder>
      </w:sdtPr>
      <w:sdtContent>
        <w:bookmarkStart w:id="28" w:name="NEW_STAND_NAME" w:displacedByCustomXml="prev"/>
        <w:p w:rsidR="00A05E9D" w:rsidRDefault="00A05E9D" w:rsidP="008D2259">
          <w:pPr>
            <w:pStyle w:val="afffffffff1"/>
            <w:spacing w:beforeLines="1" w:afterLines="1"/>
          </w:pPr>
          <w:r>
            <w:rPr>
              <w:rFonts w:hint="eastAsia"/>
            </w:rPr>
            <w:t>医疗保健产品灭菌</w:t>
          </w:r>
          <w:r>
            <w:t xml:space="preserve"> </w:t>
          </w:r>
        </w:p>
        <w:p w:rsidR="00F26B7E" w:rsidRPr="00F26B7E" w:rsidRDefault="00A05E9D" w:rsidP="008D2259">
          <w:pPr>
            <w:pStyle w:val="afffffffff1"/>
            <w:spacing w:beforeLines="1" w:after="680"/>
          </w:pPr>
          <w:r>
            <w:rPr>
              <w:rFonts w:hint="eastAsia"/>
            </w:rPr>
            <w:t>辐射</w:t>
          </w:r>
          <w:r>
            <w:t xml:space="preserve"> 第3部分：开发、确认和常规控制的剂量测量指南</w:t>
          </w:r>
        </w:p>
      </w:sdtContent>
    </w:sdt>
    <w:bookmarkEnd w:id="28" w:displacedByCustomXml="prev"/>
    <w:p w:rsidR="00E2552F" w:rsidRDefault="00E2552F" w:rsidP="00A77CCB">
      <w:pPr>
        <w:pStyle w:val="affc"/>
        <w:spacing w:before="312" w:after="312"/>
      </w:pPr>
      <w:bookmarkStart w:id="29" w:name="_Toc17233325"/>
      <w:bookmarkStart w:id="30" w:name="_Toc17233333"/>
      <w:bookmarkStart w:id="31" w:name="_Toc24884211"/>
      <w:bookmarkStart w:id="32" w:name="_Toc24884218"/>
      <w:bookmarkStart w:id="33" w:name="_Toc26648465"/>
      <w:bookmarkStart w:id="34" w:name="_Toc26718930"/>
      <w:bookmarkStart w:id="35" w:name="_Toc26986530"/>
      <w:bookmarkStart w:id="36" w:name="_Toc26986771"/>
      <w:bookmarkStart w:id="37" w:name="_Toc97190718"/>
      <w:bookmarkStart w:id="38" w:name="_Toc112783014"/>
      <w:bookmarkStart w:id="39" w:name="_Toc112844811"/>
      <w:r>
        <w:rPr>
          <w:rFonts w:hint="eastAsia"/>
        </w:rPr>
        <w:t>范围</w:t>
      </w:r>
      <w:bookmarkEnd w:id="29"/>
      <w:bookmarkEnd w:id="30"/>
      <w:bookmarkEnd w:id="31"/>
      <w:bookmarkEnd w:id="32"/>
      <w:bookmarkEnd w:id="33"/>
      <w:bookmarkEnd w:id="34"/>
      <w:bookmarkEnd w:id="35"/>
      <w:bookmarkEnd w:id="36"/>
      <w:bookmarkEnd w:id="37"/>
      <w:bookmarkEnd w:id="38"/>
      <w:bookmarkEnd w:id="39"/>
    </w:p>
    <w:p w:rsidR="008B0C9C" w:rsidRDefault="00DE3E4A" w:rsidP="008B0C9C">
      <w:pPr>
        <w:pStyle w:val="affff6"/>
        <w:ind w:firstLine="420"/>
      </w:pPr>
      <w:bookmarkStart w:id="40" w:name="_Toc17233326"/>
      <w:bookmarkStart w:id="41" w:name="_Toc17233334"/>
      <w:bookmarkStart w:id="42" w:name="_Toc24884212"/>
      <w:bookmarkStart w:id="43" w:name="_Toc24884219"/>
      <w:bookmarkStart w:id="44" w:name="_Toc26648466"/>
      <w:r w:rsidRPr="00DE3E4A">
        <w:rPr>
          <w:rFonts w:hint="eastAsia"/>
        </w:rPr>
        <w:t>本文件对满足ISO11137-1和ISO11137-2以及ISO/TS13004中与剂量测量相关及其在辐射灭菌过程的开发、确认和常规控制相关的指南。</w:t>
      </w:r>
    </w:p>
    <w:p w:rsidR="00E2552F" w:rsidRDefault="00E2552F" w:rsidP="00A77CCB">
      <w:pPr>
        <w:pStyle w:val="affc"/>
        <w:spacing w:before="312" w:after="312"/>
      </w:pPr>
      <w:bookmarkStart w:id="45" w:name="_Toc26718931"/>
      <w:bookmarkStart w:id="46" w:name="_Toc26986531"/>
      <w:bookmarkStart w:id="47" w:name="_Toc26986772"/>
      <w:bookmarkStart w:id="48" w:name="_Toc97190719"/>
      <w:bookmarkStart w:id="49" w:name="_Toc112783015"/>
      <w:bookmarkStart w:id="50" w:name="_Toc112844812"/>
      <w:r>
        <w:rPr>
          <w:rFonts w:hint="eastAsia"/>
        </w:rPr>
        <w:t>规范性引用文件</w:t>
      </w:r>
      <w:bookmarkEnd w:id="40"/>
      <w:bookmarkEnd w:id="41"/>
      <w:bookmarkEnd w:id="42"/>
      <w:bookmarkEnd w:id="43"/>
      <w:bookmarkEnd w:id="44"/>
      <w:bookmarkEnd w:id="45"/>
      <w:bookmarkEnd w:id="46"/>
      <w:bookmarkEnd w:id="47"/>
      <w:bookmarkEnd w:id="48"/>
      <w:bookmarkEnd w:id="49"/>
      <w:bookmarkEnd w:id="50"/>
    </w:p>
    <w:sdt>
      <w:sdtPr>
        <w:rPr>
          <w:rFonts w:hint="eastAsia"/>
        </w:rPr>
        <w:id w:val="715848253"/>
        <w:placeholder>
          <w:docPart w:val="0E554894BB6148FE9A090B1F8FE39DD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0C3E10" w:rsidRPr="000C3E10" w:rsidRDefault="000C3E10" w:rsidP="00F65893">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612D76" w:rsidRDefault="00612D76" w:rsidP="00612D76">
      <w:pPr>
        <w:pStyle w:val="affff6"/>
        <w:ind w:firstLine="420"/>
      </w:pPr>
      <w:r>
        <w:rPr>
          <w:rFonts w:hint="eastAsia"/>
        </w:rPr>
        <w:t>ISO 11137-1医疗保健产品灭菌 辐射 第1部分：医疗器械灭菌过程的开发、确认和常规控制耍求(Sterilization of health care products—Radiation—Part 1: Requirements for development. validation and routine control of a sterilization process for medical devices)</w:t>
      </w:r>
    </w:p>
    <w:p w:rsidR="00612D76" w:rsidRDefault="00612D76" w:rsidP="00612D76">
      <w:pPr>
        <w:pStyle w:val="affff6"/>
        <w:ind w:firstLine="420"/>
      </w:pPr>
      <w:r>
        <w:rPr>
          <w:rFonts w:hint="eastAsia"/>
        </w:rPr>
        <w:t>ISO 11137-2医疗保健产品灭菌 辐射 第2部分：建立灭菌剂量(Sterilization of health care products Radiation Part 2: Establishing the sterilization dose)</w:t>
      </w:r>
    </w:p>
    <w:p w:rsidR="00612D76" w:rsidRDefault="00612D76" w:rsidP="00612D76">
      <w:pPr>
        <w:pStyle w:val="affff6"/>
        <w:ind w:firstLine="420"/>
      </w:pPr>
      <w:r>
        <w:rPr>
          <w:rFonts w:hint="eastAsia"/>
        </w:rPr>
        <w:t>ISO/TS13004 医疗保健产品的灭菌 辐射 对选定的灭菌剂量的证实：方法VDmaxSD （Sterilization of health care products — Radiation — Substantiation of a selected sterilization dose: Method VDmaxSD）</w:t>
      </w:r>
    </w:p>
    <w:p w:rsidR="00AA6EC9" w:rsidRPr="00C14D87" w:rsidRDefault="00612D76" w:rsidP="00612D76">
      <w:pPr>
        <w:pStyle w:val="affff6"/>
        <w:ind w:firstLine="420"/>
      </w:pPr>
      <w:r>
        <w:rPr>
          <w:rFonts w:hint="eastAsia"/>
        </w:rPr>
        <w:t>ISO13485 医疗器械 质量管理体系 用于法规的要求（Medical devices — Quality management systems — Requirements for regulatory purposes）</w:t>
      </w:r>
    </w:p>
    <w:p w:rsidR="00B265BC" w:rsidRPr="00E030F9" w:rsidRDefault="00FD59EB" w:rsidP="00FD59EB">
      <w:pPr>
        <w:pStyle w:val="affc"/>
        <w:spacing w:before="312" w:after="312"/>
      </w:pPr>
      <w:bookmarkStart w:id="51" w:name="_Toc97190720"/>
      <w:bookmarkStart w:id="52" w:name="_Toc112783016"/>
      <w:bookmarkStart w:id="53" w:name="_Toc112844813"/>
      <w:r>
        <w:rPr>
          <w:rFonts w:hint="eastAsia"/>
          <w:szCs w:val="21"/>
        </w:rPr>
        <w:t>术语</w:t>
      </w:r>
      <w:r w:rsidR="006A4B92">
        <w:rPr>
          <w:rFonts w:hint="eastAsia"/>
          <w:szCs w:val="21"/>
        </w:rPr>
        <w:t>、</w:t>
      </w:r>
      <w:r>
        <w:rPr>
          <w:rFonts w:hint="eastAsia"/>
          <w:szCs w:val="21"/>
        </w:rPr>
        <w:t>定义</w:t>
      </w:r>
      <w:bookmarkEnd w:id="51"/>
      <w:bookmarkEnd w:id="52"/>
      <w:r w:rsidR="006A4B92">
        <w:rPr>
          <w:rFonts w:hint="eastAsia"/>
          <w:szCs w:val="21"/>
        </w:rPr>
        <w:t>和符号</w:t>
      </w:r>
      <w:bookmarkEnd w:id="53"/>
    </w:p>
    <w:bookmarkStart w:id="54" w:name="_Toc26986532" w:displacedByCustomXml="next"/>
    <w:bookmarkEnd w:id="54" w:displacedByCustomXml="next"/>
    <w:sdt>
      <w:sdtPr>
        <w:id w:val="-1909835108"/>
        <w:placeholder>
          <w:docPart w:val="0E554894BB6148FE9A090B1F8FE39DD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C010C" w:rsidRDefault="00612D76" w:rsidP="00BA263B">
          <w:pPr>
            <w:pStyle w:val="affff6"/>
            <w:ind w:firstLine="420"/>
          </w:pPr>
          <w:r>
            <w:rPr>
              <w:rFonts w:hint="eastAsia"/>
            </w:rPr>
            <w:t>ISO 11137-1和ISO 11137-2</w:t>
          </w:r>
          <w:r w:rsidRPr="00612D76">
            <w:t>界定的以及下列术语和定义适用于本文件。</w:t>
          </w:r>
        </w:p>
      </w:sdtContent>
    </w:sdt>
    <w:p w:rsidR="00EA3351" w:rsidRPr="00EA3351" w:rsidRDefault="00EA3351" w:rsidP="00EA3351">
      <w:pPr>
        <w:pStyle w:val="affd"/>
        <w:spacing w:before="156" w:after="156"/>
      </w:pPr>
      <w:bookmarkStart w:id="55" w:name="_Toc112783017"/>
      <w:bookmarkStart w:id="56" w:name="_Toc112844814"/>
      <w:r w:rsidRPr="00EA3351">
        <w:rPr>
          <w:rFonts w:hint="eastAsia"/>
        </w:rPr>
        <w:t>总则</w:t>
      </w:r>
      <w:bookmarkEnd w:id="55"/>
      <w:bookmarkEnd w:id="56"/>
    </w:p>
    <w:p w:rsidR="00EA3351" w:rsidRPr="00137539" w:rsidRDefault="00EA3351" w:rsidP="00137539">
      <w:pPr>
        <w:pStyle w:val="afffffffffff"/>
        <w:ind w:left="420" w:hangingChars="200" w:hanging="420"/>
        <w:rPr>
          <w:rFonts w:ascii="黑体" w:eastAsia="黑体" w:hAnsi="黑体"/>
        </w:rPr>
      </w:pPr>
      <w:r w:rsidRPr="00137539">
        <w:rPr>
          <w:rFonts w:ascii="黑体" w:eastAsia="黑体" w:hAnsi="黑体"/>
        </w:rPr>
        <w:br/>
      </w:r>
      <w:r w:rsidRPr="00137539">
        <w:rPr>
          <w:rFonts w:ascii="黑体" w:eastAsia="黑体" w:hAnsi="黑体" w:hint="eastAsia"/>
        </w:rPr>
        <w:t>吸收剂量absorbed dose</w:t>
      </w:r>
    </w:p>
    <w:p w:rsidR="00EA3351" w:rsidRPr="00137539" w:rsidRDefault="00EA3351" w:rsidP="00137539">
      <w:pPr>
        <w:pStyle w:val="afffffffffff"/>
        <w:numPr>
          <w:ilvl w:val="0"/>
          <w:numId w:val="0"/>
        </w:numPr>
        <w:ind w:left="420"/>
        <w:rPr>
          <w:rFonts w:ascii="黑体" w:eastAsia="黑体" w:hAnsi="黑体"/>
        </w:rPr>
      </w:pPr>
      <w:r w:rsidRPr="00137539">
        <w:rPr>
          <w:rFonts w:ascii="黑体" w:eastAsia="黑体" w:hAnsi="黑体" w:hint="eastAsia"/>
        </w:rPr>
        <w:t>剂量dose</w:t>
      </w:r>
    </w:p>
    <w:p w:rsidR="00EA3351" w:rsidRDefault="00EA3351" w:rsidP="00EA3351">
      <w:pPr>
        <w:pStyle w:val="affff6"/>
        <w:ind w:firstLine="420"/>
      </w:pPr>
      <w:r>
        <w:rPr>
          <w:rFonts w:hint="eastAsia"/>
        </w:rPr>
        <w:t>传输到物质单位质量上的电离辐射能的量。</w:t>
      </w:r>
    </w:p>
    <w:p w:rsidR="00EA3351" w:rsidRDefault="003F559F" w:rsidP="00EA3351">
      <w:pPr>
        <w:pStyle w:val="affff6"/>
        <w:ind w:firstLine="420"/>
      </w:pPr>
      <w:r>
        <w:rPr>
          <w:rFonts w:hint="eastAsia"/>
        </w:rPr>
        <w:t>[来源：</w:t>
      </w:r>
      <w:r w:rsidRPr="003F559F">
        <w:rPr>
          <w:rFonts w:hint="eastAsia"/>
        </w:rPr>
        <w:t>ISO11137-1：2006,3.1，修改</w:t>
      </w:r>
      <w:r>
        <w:rPr>
          <w:rFonts w:hint="eastAsia"/>
        </w:rPr>
        <w:t>]</w:t>
      </w:r>
    </w:p>
    <w:p w:rsidR="00EA3351" w:rsidRDefault="00EA3351" w:rsidP="001246F6">
      <w:pPr>
        <w:pStyle w:val="a5"/>
      </w:pPr>
      <w:r>
        <w:rPr>
          <w:rFonts w:hint="eastAsia"/>
        </w:rPr>
        <w:t>本部分中，“剂量”一词是指“吸收剂量”。</w:t>
      </w:r>
    </w:p>
    <w:p w:rsidR="00EA3351" w:rsidRPr="00137539" w:rsidRDefault="00137539" w:rsidP="00137539">
      <w:pPr>
        <w:pStyle w:val="afffffffffff"/>
        <w:ind w:left="420" w:hangingChars="200" w:hanging="420"/>
        <w:rPr>
          <w:rFonts w:ascii="黑体" w:eastAsia="黑体" w:hAnsi="黑体"/>
        </w:rPr>
      </w:pPr>
      <w:r w:rsidRPr="00137539">
        <w:rPr>
          <w:rFonts w:ascii="黑体" w:eastAsia="黑体" w:hAnsi="黑体"/>
        </w:rPr>
        <w:br/>
      </w:r>
      <w:r w:rsidR="00EA3351" w:rsidRPr="00137539">
        <w:rPr>
          <w:rFonts w:ascii="黑体" w:eastAsia="黑体" w:hAnsi="黑体" w:hint="eastAsia"/>
        </w:rPr>
        <w:t>合成标准测量不确定度combined standard measurement uncertainty</w:t>
      </w:r>
    </w:p>
    <w:p w:rsidR="00EA3351" w:rsidRDefault="00EA3351" w:rsidP="00EA3351">
      <w:pPr>
        <w:pStyle w:val="affff6"/>
        <w:ind w:firstLine="420"/>
      </w:pPr>
      <w:r>
        <w:rPr>
          <w:rFonts w:hint="eastAsia"/>
        </w:rPr>
        <w:t>标准测量不确定度(3.1.13)，使用与测量模型中的输入量相关的单个标准测量不确定度获得。</w:t>
      </w:r>
    </w:p>
    <w:p w:rsidR="00EA3351" w:rsidRDefault="003F559F" w:rsidP="00EA3351">
      <w:pPr>
        <w:pStyle w:val="affff6"/>
        <w:ind w:firstLine="420"/>
      </w:pPr>
      <w:r>
        <w:rPr>
          <w:rFonts w:hint="eastAsia"/>
        </w:rPr>
        <w:t>[来源：</w:t>
      </w:r>
      <w:r w:rsidRPr="003F559F">
        <w:t>VIM2012,2.31</w:t>
      </w:r>
      <w:r>
        <w:rPr>
          <w:rFonts w:hint="eastAsia"/>
        </w:rPr>
        <w:t>]</w:t>
      </w:r>
    </w:p>
    <w:p w:rsidR="00EA3351" w:rsidRPr="00137539" w:rsidRDefault="00137539" w:rsidP="00137539">
      <w:pPr>
        <w:pStyle w:val="afffffffffff"/>
        <w:ind w:left="420" w:hangingChars="200" w:hanging="420"/>
        <w:rPr>
          <w:rFonts w:ascii="黑体" w:eastAsia="黑体" w:hAnsi="黑体"/>
        </w:rPr>
      </w:pPr>
      <w:r w:rsidRPr="00137539">
        <w:rPr>
          <w:rFonts w:ascii="黑体" w:eastAsia="黑体" w:hAnsi="黑体"/>
        </w:rPr>
        <w:br/>
      </w:r>
      <w:r w:rsidR="00EA3351" w:rsidRPr="00137539">
        <w:rPr>
          <w:rFonts w:ascii="黑体" w:eastAsia="黑体" w:hAnsi="黑体" w:hint="eastAsia"/>
        </w:rPr>
        <w:t>覆盖因子coverage factor</w:t>
      </w:r>
    </w:p>
    <w:p w:rsidR="00EA3351" w:rsidRDefault="00EA3351" w:rsidP="00EA3351">
      <w:pPr>
        <w:pStyle w:val="affff6"/>
        <w:ind w:firstLine="420"/>
      </w:pPr>
      <w:r>
        <w:rPr>
          <w:rFonts w:hint="eastAsia"/>
        </w:rPr>
        <w:lastRenderedPageBreak/>
        <w:t>乘以合成标准测量不确定度（3.1.2） 得到扩展测量不确定度（3.1.7） 的数字。</w:t>
      </w:r>
    </w:p>
    <w:p w:rsidR="00EA3351" w:rsidRDefault="00EA3351">
      <w:pPr>
        <w:pStyle w:val="a5"/>
        <w:numPr>
          <w:ilvl w:val="0"/>
          <w:numId w:val="46"/>
        </w:numPr>
      </w:pPr>
      <w:r>
        <w:rPr>
          <w:rFonts w:hint="eastAsia"/>
        </w:rPr>
        <w:t>一个覆盖因子通常被表示为“k”(见GUM：1995,2.3.6)。</w:t>
      </w:r>
    </w:p>
    <w:p w:rsidR="00EA3351" w:rsidRPr="00137539" w:rsidRDefault="00137539" w:rsidP="00137539">
      <w:pPr>
        <w:pStyle w:val="afffffffffff"/>
        <w:ind w:left="420" w:hangingChars="200" w:hanging="420"/>
        <w:rPr>
          <w:rFonts w:ascii="黑体" w:eastAsia="黑体" w:hAnsi="黑体"/>
        </w:rPr>
      </w:pPr>
      <w:r w:rsidRPr="00137539">
        <w:rPr>
          <w:rFonts w:ascii="黑体" w:eastAsia="黑体" w:hAnsi="黑体"/>
        </w:rPr>
        <w:br/>
      </w:r>
      <w:r w:rsidR="00EA3351" w:rsidRPr="00137539">
        <w:rPr>
          <w:rFonts w:ascii="黑体" w:eastAsia="黑体" w:hAnsi="黑体" w:hint="eastAsia"/>
        </w:rPr>
        <w:t>直接剂量测量direct dose measurement</w:t>
      </w:r>
    </w:p>
    <w:p w:rsidR="00EA3351" w:rsidRDefault="00EA3351" w:rsidP="00EA3351">
      <w:pPr>
        <w:pStyle w:val="affff6"/>
        <w:ind w:firstLine="420"/>
      </w:pPr>
      <w:r>
        <w:rPr>
          <w:rFonts w:hint="eastAsia"/>
        </w:rPr>
        <w:t>在相应的位置用剂量计测量吸收剂量（3.1.1）。</w:t>
      </w:r>
    </w:p>
    <w:p w:rsidR="00EA3351" w:rsidRDefault="00EA3351">
      <w:pPr>
        <w:pStyle w:val="a5"/>
        <w:numPr>
          <w:ilvl w:val="0"/>
          <w:numId w:val="45"/>
        </w:numPr>
      </w:pPr>
      <w:r>
        <w:rPr>
          <w:rFonts w:hint="eastAsia"/>
        </w:rPr>
        <w:t>例如，在照射容器中的最小剂量位置，用剂量计直接测量最小剂量。</w:t>
      </w:r>
    </w:p>
    <w:p w:rsidR="00EA3351" w:rsidRPr="00137539" w:rsidRDefault="00137539" w:rsidP="00137539">
      <w:pPr>
        <w:pStyle w:val="afffffffffff"/>
        <w:ind w:left="420" w:hangingChars="200" w:hanging="420"/>
        <w:rPr>
          <w:rFonts w:ascii="黑体" w:eastAsia="黑体" w:hAnsi="黑体"/>
        </w:rPr>
      </w:pPr>
      <w:r w:rsidRPr="00137539">
        <w:rPr>
          <w:rFonts w:ascii="黑体" w:eastAsia="黑体" w:hAnsi="黑体"/>
        </w:rPr>
        <w:br/>
      </w:r>
      <w:r w:rsidR="00EA3351" w:rsidRPr="00137539">
        <w:rPr>
          <w:rFonts w:ascii="黑体" w:eastAsia="黑体" w:hAnsi="黑体" w:hint="eastAsia"/>
        </w:rPr>
        <w:t>剂量不均匀度dose uniformity ratio</w:t>
      </w:r>
    </w:p>
    <w:p w:rsidR="00EA3351" w:rsidRDefault="00EA3351" w:rsidP="00EA3351">
      <w:pPr>
        <w:pStyle w:val="affff6"/>
        <w:ind w:firstLine="420"/>
      </w:pPr>
      <w:r>
        <w:rPr>
          <w:rFonts w:hint="eastAsia"/>
        </w:rPr>
        <w:t>辐照容器内最大与最小吸收剂量（3.1.1）之比。</w:t>
      </w:r>
    </w:p>
    <w:p w:rsidR="00EA3351" w:rsidRPr="00DF41FA" w:rsidRDefault="00DF41FA" w:rsidP="00DF41FA">
      <w:pPr>
        <w:pStyle w:val="afffffffffff"/>
        <w:ind w:left="420" w:hangingChars="200" w:hanging="420"/>
        <w:rPr>
          <w:rFonts w:ascii="黑体" w:eastAsia="黑体" w:hAnsi="黑体"/>
        </w:rPr>
      </w:pPr>
      <w:r w:rsidRPr="00DF41FA">
        <w:rPr>
          <w:rFonts w:ascii="黑体" w:eastAsia="黑体" w:hAnsi="黑体"/>
        </w:rPr>
        <w:br/>
      </w:r>
      <w:r w:rsidR="00EA3351" w:rsidRPr="00DF41FA">
        <w:rPr>
          <w:rFonts w:ascii="黑体" w:eastAsia="黑体" w:hAnsi="黑体" w:hint="eastAsia"/>
        </w:rPr>
        <w:t>剂量测量系统 dosimetry system</w:t>
      </w:r>
    </w:p>
    <w:p w:rsidR="006A4B92" w:rsidRDefault="00EA3351" w:rsidP="00EA3351">
      <w:pPr>
        <w:pStyle w:val="affff6"/>
        <w:ind w:firstLine="420"/>
      </w:pPr>
      <w:r>
        <w:rPr>
          <w:rFonts w:hint="eastAsia"/>
        </w:rPr>
        <w:t>用于确定吸收剂量的系统</w:t>
      </w:r>
      <w:r w:rsidR="00917A23">
        <w:rPr>
          <w:rFonts w:hint="eastAsia"/>
        </w:rPr>
        <w:t>，</w:t>
      </w:r>
      <w:r>
        <w:rPr>
          <w:rFonts w:hint="eastAsia"/>
        </w:rPr>
        <w:t xml:space="preserve">包括剂量计、测量仪器、相关参考标准和供该系统使用的程序。 </w:t>
      </w:r>
    </w:p>
    <w:p w:rsidR="00EA3351" w:rsidRDefault="006A4B92" w:rsidP="00EA3351">
      <w:pPr>
        <w:pStyle w:val="affff6"/>
        <w:ind w:firstLine="420"/>
      </w:pPr>
      <w:r>
        <w:rPr>
          <w:rFonts w:hint="eastAsia"/>
        </w:rPr>
        <w:t>[来源：1SO/TS 11139:200</w:t>
      </w:r>
      <w:r>
        <w:t>6</w:t>
      </w:r>
      <w:r>
        <w:rPr>
          <w:rFonts w:hint="eastAsia"/>
        </w:rPr>
        <w:t>，2</w:t>
      </w:r>
      <w:r>
        <w:t>.15</w:t>
      </w:r>
      <w:r>
        <w:rPr>
          <w:rFonts w:hint="eastAsia"/>
        </w:rPr>
        <w:t>]</w:t>
      </w:r>
    </w:p>
    <w:p w:rsidR="00EA3351" w:rsidRPr="00DF41FA" w:rsidRDefault="00DF41FA" w:rsidP="00DF41FA">
      <w:pPr>
        <w:pStyle w:val="afffffffffff"/>
        <w:ind w:left="420" w:hangingChars="200" w:hanging="420"/>
        <w:rPr>
          <w:rFonts w:ascii="黑体" w:eastAsia="黑体" w:hAnsi="黑体"/>
        </w:rPr>
      </w:pPr>
      <w:r w:rsidRPr="00DF41FA">
        <w:rPr>
          <w:rFonts w:ascii="黑体" w:eastAsia="黑体" w:hAnsi="黑体"/>
        </w:rPr>
        <w:br/>
      </w:r>
      <w:r w:rsidR="00EA3351" w:rsidRPr="00DF41FA">
        <w:rPr>
          <w:rFonts w:ascii="黑体" w:eastAsia="黑体" w:hAnsi="黑体" w:hint="eastAsia"/>
        </w:rPr>
        <w:t>扩展测量不确定度expanded measurement uncertainty</w:t>
      </w:r>
    </w:p>
    <w:p w:rsidR="00EA3351" w:rsidRDefault="00EA3351" w:rsidP="00EA3351">
      <w:pPr>
        <w:pStyle w:val="affff6"/>
        <w:ind w:firstLine="420"/>
      </w:pPr>
      <w:r>
        <w:rPr>
          <w:rFonts w:hint="eastAsia"/>
        </w:rPr>
        <w:t>合成标准测量不确定度（3.1.2） 和大于数字1的因子乘积。</w:t>
      </w:r>
    </w:p>
    <w:p w:rsidR="00EA3351" w:rsidRDefault="00EA3351">
      <w:pPr>
        <w:pStyle w:val="a5"/>
        <w:numPr>
          <w:ilvl w:val="0"/>
          <w:numId w:val="44"/>
        </w:numPr>
      </w:pPr>
      <w:r>
        <w:rPr>
          <w:rFonts w:hint="eastAsia"/>
        </w:rPr>
        <w:t>该因子取决于测量模型中输出量的概率分布类型和所选择的覆盖概率。</w:t>
      </w:r>
    </w:p>
    <w:p w:rsidR="00EA3351" w:rsidRDefault="00EA3351" w:rsidP="001246F6">
      <w:pPr>
        <w:pStyle w:val="a5"/>
      </w:pPr>
      <w:r>
        <w:rPr>
          <w:rFonts w:hint="eastAsia"/>
        </w:rPr>
        <w:t>本定义中的术语“因子”指的是一个覆盖因子。</w:t>
      </w:r>
    </w:p>
    <w:p w:rsidR="00EA3351" w:rsidRPr="00DF41FA" w:rsidRDefault="00DF41FA" w:rsidP="00DF41FA">
      <w:pPr>
        <w:pStyle w:val="afffffffffff"/>
        <w:ind w:left="420" w:hangingChars="200" w:hanging="420"/>
        <w:rPr>
          <w:rFonts w:ascii="黑体" w:eastAsia="黑体" w:hAnsi="黑体"/>
        </w:rPr>
      </w:pPr>
      <w:r w:rsidRPr="00DF41FA">
        <w:rPr>
          <w:rFonts w:ascii="黑体" w:eastAsia="黑体" w:hAnsi="黑体"/>
        </w:rPr>
        <w:br/>
      </w:r>
      <w:r w:rsidR="00EA3351" w:rsidRPr="00DF41FA">
        <w:rPr>
          <w:rFonts w:ascii="黑体" w:eastAsia="黑体" w:hAnsi="黑体" w:hint="eastAsia"/>
        </w:rPr>
        <w:t>间接剂量测量indirect dose measurement</w:t>
      </w:r>
    </w:p>
    <w:p w:rsidR="00EA3351" w:rsidRDefault="00EA3351" w:rsidP="00EA3351">
      <w:pPr>
        <w:pStyle w:val="affff6"/>
        <w:ind w:firstLine="420"/>
      </w:pPr>
      <w:r>
        <w:rPr>
          <w:rFonts w:hint="eastAsia"/>
        </w:rPr>
        <w:t>通过适用的因子计算，在远离直接测量的剂量计的位置测量吸收剂量（3.1.1）。</w:t>
      </w:r>
    </w:p>
    <w:p w:rsidR="00EA3351" w:rsidRDefault="00EA3351">
      <w:pPr>
        <w:pStyle w:val="a5"/>
        <w:numPr>
          <w:ilvl w:val="0"/>
          <w:numId w:val="43"/>
        </w:numPr>
      </w:pPr>
      <w:r>
        <w:rPr>
          <w:rFonts w:hint="eastAsia"/>
        </w:rPr>
        <w:t>例如，如果辐照容器中的最小剂量不能轻易直接测量，则可以测量放置在偏远位置的剂量计，并应用于该测量的因子以计算最小剂量。</w:t>
      </w:r>
    </w:p>
    <w:p w:rsidR="00EA3351" w:rsidRPr="00DF41FA" w:rsidRDefault="00DF41FA" w:rsidP="00DF41FA">
      <w:pPr>
        <w:pStyle w:val="afffffffffff"/>
        <w:ind w:left="420" w:hangingChars="200" w:hanging="420"/>
        <w:rPr>
          <w:rFonts w:ascii="黑体" w:eastAsia="黑体" w:hAnsi="黑体"/>
        </w:rPr>
      </w:pPr>
      <w:r w:rsidRPr="00DF41FA">
        <w:rPr>
          <w:rFonts w:ascii="黑体" w:eastAsia="黑体" w:hAnsi="黑体"/>
        </w:rPr>
        <w:br/>
      </w:r>
      <w:r w:rsidR="00EA3351" w:rsidRPr="00DF41FA">
        <w:rPr>
          <w:rFonts w:ascii="黑体" w:eastAsia="黑体" w:hAnsi="黑体" w:hint="eastAsia"/>
        </w:rPr>
        <w:t>扫描长度scan length</w:t>
      </w:r>
    </w:p>
    <w:p w:rsidR="00EA3351" w:rsidRDefault="00EA3351" w:rsidP="00EA3351">
      <w:pPr>
        <w:pStyle w:val="affff6"/>
        <w:ind w:firstLine="420"/>
      </w:pPr>
      <w:r>
        <w:rPr>
          <w:rFonts w:hint="eastAsia"/>
        </w:rPr>
        <w:t>辐照区的尺寸，垂直于扫描宽度和电子束在距离加速器窗口的指定距离处的方向。</w:t>
      </w:r>
    </w:p>
    <w:p w:rsidR="00EA3351" w:rsidRDefault="00EA3351">
      <w:pPr>
        <w:pStyle w:val="a5"/>
        <w:numPr>
          <w:ilvl w:val="0"/>
          <w:numId w:val="42"/>
        </w:numPr>
      </w:pPr>
      <w:r>
        <w:rPr>
          <w:rFonts w:hint="eastAsia"/>
        </w:rPr>
        <w:t>ISO/ASTM标准使用“波束长度”与本文档中“扫描长度”的相同。本文档使用“扫描长度”，以符合ISO11137-1。</w:t>
      </w:r>
    </w:p>
    <w:p w:rsidR="00EA3351" w:rsidRPr="00DF41FA" w:rsidRDefault="00DF41FA" w:rsidP="00DF41FA">
      <w:pPr>
        <w:pStyle w:val="afffffffffff"/>
        <w:ind w:left="420" w:hangingChars="200" w:hanging="420"/>
        <w:rPr>
          <w:rFonts w:ascii="黑体" w:eastAsia="黑体" w:hAnsi="黑体"/>
        </w:rPr>
      </w:pPr>
      <w:r w:rsidRPr="00DF41FA">
        <w:rPr>
          <w:rFonts w:ascii="黑体" w:eastAsia="黑体" w:hAnsi="黑体"/>
        </w:rPr>
        <w:br/>
      </w:r>
      <w:r w:rsidR="00EA3351" w:rsidRPr="00DF41FA">
        <w:rPr>
          <w:rFonts w:ascii="黑体" w:eastAsia="黑体" w:hAnsi="黑体" w:hint="eastAsia"/>
        </w:rPr>
        <w:t>扫描宽度scan width</w:t>
      </w:r>
    </w:p>
    <w:p w:rsidR="00EA3351" w:rsidRDefault="00EA3351" w:rsidP="00EA3351">
      <w:pPr>
        <w:pStyle w:val="affff6"/>
        <w:ind w:firstLine="420"/>
      </w:pPr>
      <w:r>
        <w:rPr>
          <w:rFonts w:hint="eastAsia"/>
        </w:rPr>
        <w:t>电子束扫描方向上的辐照区尺寸，垂直于电子束的扫描长度和距离加速器窗口指定距离的方向。</w:t>
      </w:r>
    </w:p>
    <w:p w:rsidR="00EA3351" w:rsidRDefault="00EA3351">
      <w:pPr>
        <w:pStyle w:val="a5"/>
        <w:numPr>
          <w:ilvl w:val="0"/>
          <w:numId w:val="41"/>
        </w:numPr>
      </w:pPr>
      <w:r>
        <w:rPr>
          <w:rFonts w:hint="eastAsia"/>
        </w:rPr>
        <w:t>ISO/ASTM标准使用“光束宽度”与本文档中“扫描宽度”的相同。</w:t>
      </w:r>
    </w:p>
    <w:p w:rsidR="00EA3351" w:rsidRPr="00DF41FA" w:rsidRDefault="00DF41FA" w:rsidP="00DF41FA">
      <w:pPr>
        <w:pStyle w:val="afffffffffff"/>
        <w:ind w:left="420" w:hangingChars="200" w:hanging="420"/>
        <w:rPr>
          <w:rFonts w:ascii="黑体" w:eastAsia="黑体" w:hAnsi="黑体"/>
        </w:rPr>
      </w:pPr>
      <w:r w:rsidRPr="00DF41FA">
        <w:rPr>
          <w:rFonts w:ascii="黑体" w:eastAsia="黑体" w:hAnsi="黑体"/>
        </w:rPr>
        <w:br/>
      </w:r>
      <w:r w:rsidR="00EA3351" w:rsidRPr="00DF41FA">
        <w:rPr>
          <w:rFonts w:ascii="黑体" w:eastAsia="黑体" w:hAnsi="黑体" w:hint="eastAsia"/>
        </w:rPr>
        <w:t>模拟产品simulated product</w:t>
      </w:r>
    </w:p>
    <w:p w:rsidR="00EA3351" w:rsidRDefault="00EA3351" w:rsidP="00EA3351">
      <w:pPr>
        <w:pStyle w:val="affff6"/>
        <w:ind w:firstLine="420"/>
      </w:pPr>
      <w:r>
        <w:rPr>
          <w:rFonts w:hint="eastAsia"/>
        </w:rPr>
        <w:t>与待照射的产品、材料或物质具有相似衰减和散射特性的材料。</w:t>
      </w:r>
    </w:p>
    <w:p w:rsidR="00EA3351" w:rsidRDefault="00EA3351">
      <w:pPr>
        <w:pStyle w:val="a5"/>
        <w:numPr>
          <w:ilvl w:val="0"/>
          <w:numId w:val="40"/>
        </w:numPr>
      </w:pPr>
      <w:r>
        <w:rPr>
          <w:rFonts w:hint="eastAsia"/>
        </w:rPr>
        <w:t>模拟产品被用作为实际产品、材料或物质的替代品。当在常规生产运行中使用，以弥补产品的缺失时，模拟产品有时被称为替代产品。当用于吸收剂量分布时，模拟产品有时被称为“替代材料”。</w:t>
      </w:r>
    </w:p>
    <w:p w:rsidR="00EA3351" w:rsidRDefault="00EA3351" w:rsidP="001246F6">
      <w:pPr>
        <w:pStyle w:val="a5"/>
      </w:pPr>
      <w:r>
        <w:rPr>
          <w:rFonts w:hint="eastAsia"/>
        </w:rPr>
        <w:t>在本文件中，“剂量分布”用于“吸收剂量分布”。</w:t>
      </w:r>
    </w:p>
    <w:p w:rsidR="00EA3351" w:rsidRPr="00DF41FA" w:rsidRDefault="00DF41FA" w:rsidP="00DF41FA">
      <w:pPr>
        <w:pStyle w:val="afffffffffff"/>
        <w:ind w:left="420" w:hangingChars="200" w:hanging="420"/>
        <w:rPr>
          <w:rFonts w:ascii="黑体" w:eastAsia="黑体" w:hAnsi="黑体"/>
        </w:rPr>
      </w:pPr>
      <w:r w:rsidRPr="00DF41FA">
        <w:rPr>
          <w:rFonts w:ascii="黑体" w:eastAsia="黑体" w:hAnsi="黑体"/>
        </w:rPr>
        <w:br/>
      </w:r>
      <w:r w:rsidR="00EA3351" w:rsidRPr="00DF41FA">
        <w:rPr>
          <w:rFonts w:ascii="黑体" w:eastAsia="黑体" w:hAnsi="黑体" w:hint="eastAsia"/>
        </w:rPr>
        <w:t>空间分辨率spatial resolution</w:t>
      </w:r>
    </w:p>
    <w:p w:rsidR="00EA3351" w:rsidRDefault="00EA3351" w:rsidP="00EA3351">
      <w:pPr>
        <w:pStyle w:val="affff6"/>
        <w:ind w:firstLine="420"/>
      </w:pPr>
      <w:r>
        <w:rPr>
          <w:rFonts w:hint="eastAsia"/>
        </w:rPr>
        <w:t>二维空间分辨率。</w:t>
      </w:r>
    </w:p>
    <w:p w:rsidR="00EA3351" w:rsidRDefault="00EA3351">
      <w:pPr>
        <w:pStyle w:val="a5"/>
        <w:numPr>
          <w:ilvl w:val="0"/>
          <w:numId w:val="39"/>
        </w:numPr>
      </w:pPr>
      <w:r>
        <w:rPr>
          <w:rFonts w:hint="eastAsia"/>
        </w:rPr>
        <w:t>在二维空间上检测剂量变化的能力。</w:t>
      </w:r>
    </w:p>
    <w:p w:rsidR="00EA3351" w:rsidRPr="00DF41FA" w:rsidRDefault="00DF41FA" w:rsidP="00DF41FA">
      <w:pPr>
        <w:pStyle w:val="afffffffffff"/>
        <w:ind w:left="420" w:hangingChars="200" w:hanging="420"/>
        <w:rPr>
          <w:rFonts w:ascii="黑体" w:eastAsia="黑体" w:hAnsi="黑体"/>
        </w:rPr>
      </w:pPr>
      <w:r w:rsidRPr="00DF41FA">
        <w:rPr>
          <w:rFonts w:ascii="黑体" w:eastAsia="黑体" w:hAnsi="黑体"/>
        </w:rPr>
        <w:br/>
      </w:r>
      <w:r w:rsidR="00EA3351" w:rsidRPr="00DF41FA">
        <w:rPr>
          <w:rFonts w:ascii="黑体" w:eastAsia="黑体" w:hAnsi="黑体" w:hint="eastAsia"/>
        </w:rPr>
        <w:t>标准测量不确定度standard measurement uncertainty</w:t>
      </w:r>
    </w:p>
    <w:p w:rsidR="00EA3351" w:rsidRDefault="00EA3351" w:rsidP="00EA3351">
      <w:pPr>
        <w:pStyle w:val="affff6"/>
        <w:ind w:firstLine="420"/>
      </w:pPr>
      <w:r>
        <w:rPr>
          <w:rFonts w:hint="eastAsia"/>
        </w:rPr>
        <w:lastRenderedPageBreak/>
        <w:t>以标准偏差表示测量结果的不确定度。</w:t>
      </w:r>
    </w:p>
    <w:p w:rsidR="00EA3351" w:rsidRDefault="003F559F" w:rsidP="00EA3351">
      <w:pPr>
        <w:pStyle w:val="affff6"/>
        <w:ind w:firstLine="420"/>
      </w:pPr>
      <w:r>
        <w:rPr>
          <w:rFonts w:hint="eastAsia"/>
        </w:rPr>
        <w:t>[来源：</w:t>
      </w:r>
      <w:r w:rsidRPr="003F559F">
        <w:rPr>
          <w:rFonts w:hint="eastAsia"/>
        </w:rPr>
        <w:t>VIM2012,2.30,修改</w:t>
      </w:r>
      <w:r>
        <w:rPr>
          <w:rFonts w:hint="eastAsia"/>
        </w:rPr>
        <w:t>]</w:t>
      </w:r>
    </w:p>
    <w:p w:rsidR="00EA3351" w:rsidRPr="00DF41FA" w:rsidRDefault="00DF41FA" w:rsidP="00DF41FA">
      <w:pPr>
        <w:pStyle w:val="afffffffffff"/>
        <w:ind w:left="420" w:hangingChars="200" w:hanging="420"/>
        <w:rPr>
          <w:rFonts w:ascii="黑体" w:eastAsia="黑体" w:hAnsi="黑体"/>
        </w:rPr>
      </w:pPr>
      <w:r w:rsidRPr="00DF41FA">
        <w:rPr>
          <w:rFonts w:ascii="黑体" w:eastAsia="黑体" w:hAnsi="黑体"/>
        </w:rPr>
        <w:br/>
      </w:r>
      <w:r w:rsidR="00EA3351" w:rsidRPr="00DF41FA">
        <w:rPr>
          <w:rFonts w:ascii="黑体" w:eastAsia="黑体" w:hAnsi="黑体" w:hint="eastAsia"/>
        </w:rPr>
        <w:t>不确定度预算uncertainty budget（不确定度报告或报表）</w:t>
      </w:r>
    </w:p>
    <w:p w:rsidR="00EA3351" w:rsidRDefault="00EA3351" w:rsidP="00EA3351">
      <w:pPr>
        <w:pStyle w:val="affff6"/>
        <w:ind w:firstLine="420"/>
      </w:pPr>
      <w:r>
        <w:rPr>
          <w:rFonts w:hint="eastAsia"/>
        </w:rPr>
        <w:t>对测量不确定度的陈述，该测量不确定度的组成部分，以及它们的计算和组合。</w:t>
      </w:r>
    </w:p>
    <w:p w:rsidR="00EA3351" w:rsidRDefault="00EA3351">
      <w:pPr>
        <w:pStyle w:val="a5"/>
        <w:numPr>
          <w:ilvl w:val="0"/>
          <w:numId w:val="38"/>
        </w:numPr>
      </w:pPr>
      <w:r>
        <w:rPr>
          <w:rFonts w:hint="eastAsia"/>
        </w:rPr>
        <w:t>不确定度预算应包括与测量模型中的数量相关的测量模型、估计值和测量不确定度、协方差、应用的概率密度函数的类型、自由度、测量不确定度的评估类型和任何覆盖因子。</w:t>
      </w:r>
    </w:p>
    <w:p w:rsidR="004B3E93" w:rsidRDefault="003F559F" w:rsidP="00EA3351">
      <w:pPr>
        <w:pStyle w:val="affff6"/>
        <w:ind w:firstLine="420"/>
      </w:pPr>
      <w:r>
        <w:rPr>
          <w:rFonts w:hint="eastAsia"/>
        </w:rPr>
        <w:t>[来源：</w:t>
      </w:r>
      <w:r w:rsidRPr="003F559F">
        <w:t>VIM2012,2.33</w:t>
      </w:r>
      <w:r>
        <w:rPr>
          <w:rFonts w:hint="eastAsia"/>
        </w:rPr>
        <w:t>]</w:t>
      </w:r>
    </w:p>
    <w:p w:rsidR="002A1260" w:rsidRDefault="00DF41FA" w:rsidP="00DF41FA">
      <w:pPr>
        <w:pStyle w:val="affd"/>
        <w:spacing w:before="156" w:after="156"/>
      </w:pPr>
      <w:bookmarkStart w:id="57" w:name="_Toc112783018"/>
      <w:bookmarkStart w:id="58" w:name="_Toc112844815"/>
      <w:r w:rsidRPr="00DF41FA">
        <w:rPr>
          <w:rFonts w:hint="eastAsia"/>
        </w:rPr>
        <w:t>符号</w:t>
      </w:r>
      <w:bookmarkEnd w:id="57"/>
      <w:bookmarkEnd w:id="58"/>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3528"/>
        <w:gridCol w:w="5698"/>
      </w:tblGrid>
      <w:tr w:rsidR="00DF41FA" w:rsidTr="00417CDE">
        <w:tc>
          <w:tcPr>
            <w:tcW w:w="3528" w:type="dxa"/>
            <w:shd w:val="clear" w:color="auto" w:fill="auto"/>
          </w:tcPr>
          <w:p w:rsidR="00DF41FA" w:rsidRDefault="00DF41FA" w:rsidP="001A7C2D">
            <w:pPr>
              <w:pStyle w:val="afffffffffff3"/>
              <w:ind w:firstLineChars="0" w:firstLine="0"/>
            </w:pPr>
            <w:r>
              <w:rPr>
                <w:rFonts w:hint="eastAsia"/>
              </w:rPr>
              <w:t>符号</w:t>
            </w:r>
          </w:p>
        </w:tc>
        <w:tc>
          <w:tcPr>
            <w:tcW w:w="5698" w:type="dxa"/>
            <w:shd w:val="clear" w:color="auto" w:fill="auto"/>
          </w:tcPr>
          <w:p w:rsidR="00DF41FA" w:rsidRDefault="00DF41FA" w:rsidP="001A7C2D">
            <w:pPr>
              <w:pStyle w:val="afffffffffff3"/>
              <w:ind w:firstLineChars="0" w:firstLine="0"/>
            </w:pPr>
            <w:r>
              <w:rPr>
                <w:rFonts w:hint="eastAsia"/>
              </w:rPr>
              <w:t>意义</w:t>
            </w:r>
          </w:p>
        </w:tc>
      </w:tr>
      <w:tr w:rsidR="00417CDE" w:rsidTr="00417CDE">
        <w:tc>
          <w:tcPr>
            <w:tcW w:w="3528" w:type="dxa"/>
            <w:shd w:val="clear" w:color="auto" w:fill="auto"/>
          </w:tcPr>
          <w:p w:rsidR="00417CDE" w:rsidRDefault="00417CDE" w:rsidP="00417CDE">
            <w:pPr>
              <w:pStyle w:val="afffffffffff3"/>
              <w:ind w:firstLineChars="0" w:firstLine="0"/>
            </w:pPr>
            <w:r>
              <w:rPr>
                <w:rFonts w:hint="eastAsia"/>
              </w:rPr>
              <w:t>D</w:t>
            </w:r>
            <w:r w:rsidRPr="003E79D1">
              <w:rPr>
                <w:rFonts w:hint="eastAsia"/>
                <w:vertAlign w:val="subscript"/>
              </w:rPr>
              <w:t>max,acc</w:t>
            </w:r>
          </w:p>
        </w:tc>
        <w:tc>
          <w:tcPr>
            <w:tcW w:w="5698" w:type="dxa"/>
            <w:shd w:val="clear" w:color="auto" w:fill="auto"/>
          </w:tcPr>
          <w:p w:rsidR="00417CDE" w:rsidRDefault="00417CDE" w:rsidP="00417CDE">
            <w:pPr>
              <w:pStyle w:val="afffffffffff3"/>
              <w:ind w:firstLineChars="0" w:firstLine="0"/>
            </w:pPr>
            <w:r>
              <w:rPr>
                <w:rFonts w:hint="eastAsia"/>
              </w:rPr>
              <w:t>根据ISO11137-1：2006,8.1确定的最大可接受剂量。</w:t>
            </w:r>
          </w:p>
        </w:tc>
      </w:tr>
      <w:tr w:rsidR="00417CDE" w:rsidTr="00417CDE">
        <w:tc>
          <w:tcPr>
            <w:tcW w:w="3528" w:type="dxa"/>
            <w:shd w:val="clear" w:color="auto" w:fill="auto"/>
          </w:tcPr>
          <w:p w:rsidR="00417CDE" w:rsidRDefault="00417CDE" w:rsidP="00417CDE">
            <w:pPr>
              <w:pStyle w:val="afffffffffff3"/>
              <w:ind w:firstLineChars="0" w:firstLine="0"/>
            </w:pPr>
            <w:r>
              <w:rPr>
                <w:rFonts w:hint="eastAsia"/>
              </w:rPr>
              <w:t>D</w:t>
            </w:r>
            <w:r w:rsidRPr="003E79D1">
              <w:rPr>
                <w:rFonts w:hint="eastAsia"/>
                <w:vertAlign w:val="subscript"/>
              </w:rPr>
              <w:t>ster</w:t>
            </w:r>
          </w:p>
        </w:tc>
        <w:tc>
          <w:tcPr>
            <w:tcW w:w="5698" w:type="dxa"/>
            <w:shd w:val="clear" w:color="auto" w:fill="auto"/>
          </w:tcPr>
          <w:p w:rsidR="00417CDE" w:rsidRDefault="00417CDE" w:rsidP="00417CDE">
            <w:pPr>
              <w:pStyle w:val="afffffffffff3"/>
              <w:ind w:firstLineChars="0" w:firstLine="0"/>
            </w:pPr>
            <w:r>
              <w:rPr>
                <w:rFonts w:hint="eastAsia"/>
              </w:rPr>
              <w:t>根据ISO11137-1：2006,8.2确定的灭菌剂量。</w:t>
            </w:r>
          </w:p>
        </w:tc>
      </w:tr>
      <w:tr w:rsidR="00417CDE" w:rsidTr="00417CDE">
        <w:tc>
          <w:tcPr>
            <w:tcW w:w="3528" w:type="dxa"/>
            <w:shd w:val="clear" w:color="auto" w:fill="auto"/>
          </w:tcPr>
          <w:p w:rsidR="00417CDE" w:rsidRDefault="00417CDE" w:rsidP="00417CDE">
            <w:pPr>
              <w:pStyle w:val="afffffffffff3"/>
              <w:ind w:firstLineChars="0" w:firstLine="0"/>
            </w:pPr>
            <w:r>
              <w:rPr>
                <w:rFonts w:hint="eastAsia"/>
              </w:rPr>
              <w:t>D</w:t>
            </w:r>
            <w:r w:rsidRPr="003E79D1">
              <w:rPr>
                <w:rFonts w:hint="eastAsia"/>
                <w:vertAlign w:val="subscript"/>
              </w:rPr>
              <w:t>max</w:t>
            </w:r>
          </w:p>
        </w:tc>
        <w:tc>
          <w:tcPr>
            <w:tcW w:w="5698" w:type="dxa"/>
            <w:shd w:val="clear" w:color="auto" w:fill="auto"/>
          </w:tcPr>
          <w:p w:rsidR="00417CDE" w:rsidRDefault="00417CDE" w:rsidP="00417CDE">
            <w:pPr>
              <w:pStyle w:val="afffffffffff3"/>
              <w:ind w:firstLineChars="0" w:firstLine="0"/>
            </w:pPr>
            <w:r>
              <w:rPr>
                <w:rFonts w:hint="eastAsia"/>
              </w:rPr>
              <w:t>给定辐照容器中的直接测量最大剂量。</w:t>
            </w:r>
          </w:p>
        </w:tc>
      </w:tr>
      <w:tr w:rsidR="00417CDE" w:rsidTr="00417CDE">
        <w:tc>
          <w:tcPr>
            <w:tcW w:w="3528" w:type="dxa"/>
            <w:shd w:val="clear" w:color="auto" w:fill="auto"/>
          </w:tcPr>
          <w:p w:rsidR="00417CDE" w:rsidRDefault="00417CDE" w:rsidP="00417CDE">
            <w:pPr>
              <w:pStyle w:val="afffffffffff3"/>
              <w:ind w:firstLineChars="0" w:firstLine="0"/>
            </w:pPr>
            <w:r>
              <w:rPr>
                <w:rFonts w:hint="eastAsia"/>
              </w:rPr>
              <w:t>D</w:t>
            </w:r>
            <w:r w:rsidRPr="003E79D1">
              <w:rPr>
                <w:rFonts w:hint="eastAsia"/>
                <w:vertAlign w:val="subscript"/>
              </w:rPr>
              <w:t>min</w:t>
            </w:r>
          </w:p>
        </w:tc>
        <w:tc>
          <w:tcPr>
            <w:tcW w:w="5698" w:type="dxa"/>
            <w:shd w:val="clear" w:color="auto" w:fill="auto"/>
          </w:tcPr>
          <w:p w:rsidR="00417CDE" w:rsidRDefault="00417CDE" w:rsidP="00417CDE">
            <w:pPr>
              <w:pStyle w:val="afffffffffff3"/>
              <w:ind w:firstLineChars="0" w:firstLine="0"/>
            </w:pPr>
            <w:r>
              <w:rPr>
                <w:rFonts w:hint="eastAsia"/>
              </w:rPr>
              <w:t>给定辐照容器中的直接测量最小剂量。</w:t>
            </w:r>
          </w:p>
        </w:tc>
      </w:tr>
      <w:tr w:rsidR="00417CDE" w:rsidTr="00417CDE">
        <w:tc>
          <w:tcPr>
            <w:tcW w:w="3528" w:type="dxa"/>
            <w:shd w:val="clear" w:color="auto" w:fill="auto"/>
          </w:tcPr>
          <w:p w:rsidR="00417CDE" w:rsidRDefault="00417CDE" w:rsidP="00417CDE">
            <w:pPr>
              <w:pStyle w:val="afffffffffff3"/>
              <w:ind w:firstLineChars="0" w:firstLine="0"/>
            </w:pPr>
            <w:r>
              <w:rPr>
                <w:rFonts w:hint="eastAsia"/>
              </w:rPr>
              <w:t>D</w:t>
            </w:r>
            <w:r w:rsidRPr="003E79D1">
              <w:rPr>
                <w:rFonts w:hint="eastAsia"/>
                <w:vertAlign w:val="subscript"/>
              </w:rPr>
              <w:t>mon</w:t>
            </w:r>
          </w:p>
        </w:tc>
        <w:tc>
          <w:tcPr>
            <w:tcW w:w="5698" w:type="dxa"/>
            <w:shd w:val="clear" w:color="auto" w:fill="auto"/>
          </w:tcPr>
          <w:p w:rsidR="00417CDE" w:rsidRDefault="00417CDE" w:rsidP="00417CDE">
            <w:pPr>
              <w:pStyle w:val="afffffffffff3"/>
              <w:ind w:firstLineChars="0" w:firstLine="0"/>
            </w:pPr>
            <w:r>
              <w:rPr>
                <w:rFonts w:hint="eastAsia"/>
              </w:rPr>
              <w:t>在常规监测位置上的直接测量剂量。</w:t>
            </w:r>
          </w:p>
        </w:tc>
      </w:tr>
      <w:tr w:rsidR="00417CDE" w:rsidTr="00417CDE">
        <w:tc>
          <w:tcPr>
            <w:tcW w:w="3528" w:type="dxa"/>
            <w:shd w:val="clear" w:color="auto" w:fill="auto"/>
          </w:tcPr>
          <w:p w:rsidR="00417CDE" w:rsidRDefault="00417CDE" w:rsidP="00417CDE">
            <w:pPr>
              <w:pStyle w:val="afffffffffff3"/>
              <w:ind w:firstLineChars="0" w:firstLine="0"/>
            </w:pPr>
            <w:r>
              <w:rPr>
                <w:rFonts w:hint="eastAsia"/>
              </w:rPr>
              <w:t>R</w:t>
            </w:r>
            <w:r w:rsidRPr="003E79D1">
              <w:rPr>
                <w:rFonts w:hint="eastAsia"/>
                <w:vertAlign w:val="subscript"/>
              </w:rPr>
              <w:t>max/min</w:t>
            </w:r>
          </w:p>
        </w:tc>
        <w:tc>
          <w:tcPr>
            <w:tcW w:w="5698" w:type="dxa"/>
            <w:shd w:val="clear" w:color="auto" w:fill="auto"/>
          </w:tcPr>
          <w:p w:rsidR="00417CDE" w:rsidRDefault="00417CDE" w:rsidP="00417CDE">
            <w:pPr>
              <w:pStyle w:val="afffffffffff3"/>
              <w:ind w:firstLineChars="0" w:firstLine="0"/>
            </w:pPr>
            <w:r>
              <w:rPr>
                <w:rFonts w:hint="eastAsia"/>
              </w:rPr>
              <w:t>通过剂量分布确定的最大与最小剂量比值（</w:t>
            </w:r>
            <w:r w:rsidR="004E341B">
              <w:rPr>
                <w:rFonts w:hint="eastAsia"/>
              </w:rPr>
              <w:t>D</w:t>
            </w:r>
            <w:r w:rsidR="004E341B" w:rsidRPr="00994D57">
              <w:rPr>
                <w:rFonts w:hint="eastAsia"/>
                <w:vertAlign w:val="subscript"/>
              </w:rPr>
              <w:t>max</w:t>
            </w:r>
            <w:r w:rsidR="004E341B">
              <w:rPr>
                <w:rFonts w:hint="eastAsia"/>
              </w:rPr>
              <w:t>/D</w:t>
            </w:r>
            <w:r w:rsidR="004E341B" w:rsidRPr="00994D57">
              <w:rPr>
                <w:rFonts w:hint="eastAsia"/>
                <w:vertAlign w:val="subscript"/>
              </w:rPr>
              <w:t>min</w:t>
            </w:r>
            <w:r>
              <w:rPr>
                <w:rFonts w:hint="eastAsia"/>
              </w:rPr>
              <w:t>）。</w:t>
            </w:r>
          </w:p>
        </w:tc>
      </w:tr>
      <w:tr w:rsidR="00417CDE" w:rsidTr="00417CDE">
        <w:tc>
          <w:tcPr>
            <w:tcW w:w="3528" w:type="dxa"/>
            <w:shd w:val="clear" w:color="auto" w:fill="auto"/>
          </w:tcPr>
          <w:p w:rsidR="00417CDE" w:rsidRDefault="00417CDE" w:rsidP="00417CDE">
            <w:pPr>
              <w:pStyle w:val="afffffffffff3"/>
              <w:ind w:firstLineChars="0" w:firstLine="0"/>
            </w:pPr>
            <w:r>
              <w:rPr>
                <w:rFonts w:hint="eastAsia"/>
              </w:rPr>
              <w:t>R</w:t>
            </w:r>
            <w:r w:rsidRPr="003E79D1">
              <w:rPr>
                <w:rFonts w:hint="eastAsia"/>
                <w:vertAlign w:val="subscript"/>
              </w:rPr>
              <w:t>max/mon</w:t>
            </w:r>
          </w:p>
        </w:tc>
        <w:tc>
          <w:tcPr>
            <w:tcW w:w="5698" w:type="dxa"/>
            <w:shd w:val="clear" w:color="auto" w:fill="auto"/>
          </w:tcPr>
          <w:p w:rsidR="00417CDE" w:rsidRDefault="00417CDE" w:rsidP="00417CDE">
            <w:pPr>
              <w:pStyle w:val="afffffffffff3"/>
              <w:ind w:firstLineChars="0" w:firstLine="0"/>
            </w:pPr>
            <w:r>
              <w:rPr>
                <w:rFonts w:hint="eastAsia"/>
              </w:rPr>
              <w:t>通过剂量分布确定的最大与监测剂量比值（</w:t>
            </w:r>
            <w:r w:rsidR="004E341B">
              <w:rPr>
                <w:rFonts w:hint="eastAsia"/>
              </w:rPr>
              <w:t>D</w:t>
            </w:r>
            <w:r w:rsidR="004E341B" w:rsidRPr="00994D57">
              <w:rPr>
                <w:rFonts w:hint="eastAsia"/>
                <w:vertAlign w:val="subscript"/>
              </w:rPr>
              <w:t>max</w:t>
            </w:r>
            <w:r w:rsidR="004E341B">
              <w:rPr>
                <w:rFonts w:hint="eastAsia"/>
              </w:rPr>
              <w:t>/D</w:t>
            </w:r>
            <w:r w:rsidR="004E341B" w:rsidRPr="00994D57">
              <w:rPr>
                <w:rFonts w:hint="eastAsia"/>
                <w:vertAlign w:val="subscript"/>
              </w:rPr>
              <w:t>mon</w:t>
            </w:r>
            <w:r>
              <w:rPr>
                <w:rFonts w:hint="eastAsia"/>
              </w:rPr>
              <w:t>）。</w:t>
            </w:r>
          </w:p>
        </w:tc>
      </w:tr>
      <w:tr w:rsidR="00417CDE" w:rsidTr="00417CDE">
        <w:tc>
          <w:tcPr>
            <w:tcW w:w="3528" w:type="dxa"/>
            <w:shd w:val="clear" w:color="auto" w:fill="auto"/>
          </w:tcPr>
          <w:p w:rsidR="00417CDE" w:rsidRDefault="00417CDE" w:rsidP="00417CDE">
            <w:pPr>
              <w:pStyle w:val="afffffffffff3"/>
              <w:ind w:firstLineChars="0" w:firstLine="0"/>
            </w:pPr>
            <w:r>
              <w:rPr>
                <w:rFonts w:hint="eastAsia"/>
              </w:rPr>
              <w:t>R</w:t>
            </w:r>
            <w:r w:rsidRPr="003E79D1">
              <w:rPr>
                <w:rFonts w:hint="eastAsia"/>
                <w:vertAlign w:val="subscript"/>
              </w:rPr>
              <w:t>min/mon</w:t>
            </w:r>
          </w:p>
        </w:tc>
        <w:tc>
          <w:tcPr>
            <w:tcW w:w="5698" w:type="dxa"/>
            <w:shd w:val="clear" w:color="auto" w:fill="auto"/>
          </w:tcPr>
          <w:p w:rsidR="00417CDE" w:rsidRDefault="00417CDE" w:rsidP="00417CDE">
            <w:pPr>
              <w:pStyle w:val="afffffffffff3"/>
              <w:ind w:firstLineChars="0" w:firstLine="0"/>
            </w:pPr>
            <w:r>
              <w:rPr>
                <w:rFonts w:hint="eastAsia"/>
              </w:rPr>
              <w:t>通过剂量分布确定的最小与监测剂量比值（</w:t>
            </w:r>
            <w:r w:rsidR="004E341B">
              <w:rPr>
                <w:rFonts w:hint="eastAsia"/>
              </w:rPr>
              <w:t>D</w:t>
            </w:r>
            <w:r w:rsidR="004E341B" w:rsidRPr="00994D57">
              <w:rPr>
                <w:rFonts w:hint="eastAsia"/>
                <w:vertAlign w:val="subscript"/>
              </w:rPr>
              <w:t>min</w:t>
            </w:r>
            <w:r w:rsidR="004E341B">
              <w:rPr>
                <w:rFonts w:hint="eastAsia"/>
              </w:rPr>
              <w:t>/D</w:t>
            </w:r>
            <w:r w:rsidR="004E341B" w:rsidRPr="00994D57">
              <w:rPr>
                <w:rFonts w:hint="eastAsia"/>
                <w:vertAlign w:val="subscript"/>
              </w:rPr>
              <w:t>mon</w:t>
            </w:r>
            <w:r>
              <w:rPr>
                <w:rFonts w:hint="eastAsia"/>
              </w:rPr>
              <w:t>）。</w:t>
            </w:r>
          </w:p>
        </w:tc>
      </w:tr>
      <w:tr w:rsidR="00417CDE" w:rsidTr="00417CDE">
        <w:tc>
          <w:tcPr>
            <w:tcW w:w="3528" w:type="dxa"/>
            <w:shd w:val="clear" w:color="auto" w:fill="auto"/>
          </w:tcPr>
          <w:p w:rsidR="00417CDE" w:rsidRDefault="00417CDE" w:rsidP="00417CDE">
            <w:pPr>
              <w:pStyle w:val="afffffffffff3"/>
              <w:ind w:firstLineChars="0" w:firstLine="0"/>
            </w:pPr>
            <w:r>
              <w:rPr>
                <w:rFonts w:hint="eastAsia"/>
              </w:rPr>
              <w:t>D</w:t>
            </w:r>
            <w:r w:rsidRPr="003E79D1">
              <w:rPr>
                <w:rFonts w:hint="eastAsia"/>
                <w:vertAlign w:val="subscript"/>
              </w:rPr>
              <w:t>mon</w:t>
            </w:r>
            <w:r w:rsidRPr="003E79D1">
              <w:rPr>
                <w:rFonts w:hint="eastAsia"/>
                <w:vertAlign w:val="superscript"/>
              </w:rPr>
              <w:t>ster</w:t>
            </w:r>
            <w:r>
              <w:rPr>
                <w:rFonts w:hint="eastAsia"/>
              </w:rPr>
              <w:t>=D</w:t>
            </w:r>
            <w:r w:rsidRPr="003E79D1">
              <w:rPr>
                <w:rFonts w:hint="eastAsia"/>
                <w:vertAlign w:val="subscript"/>
              </w:rPr>
              <w:t>ster</w:t>
            </w:r>
            <w:r>
              <w:rPr>
                <w:rFonts w:hint="eastAsia"/>
              </w:rPr>
              <w:t>/R</w:t>
            </w:r>
            <w:r w:rsidRPr="003E79D1">
              <w:rPr>
                <w:rFonts w:hint="eastAsia"/>
                <w:vertAlign w:val="subscript"/>
              </w:rPr>
              <w:t>min/mon</w:t>
            </w:r>
          </w:p>
        </w:tc>
        <w:tc>
          <w:tcPr>
            <w:tcW w:w="5698" w:type="dxa"/>
            <w:vMerge w:val="restart"/>
            <w:shd w:val="clear" w:color="auto" w:fill="auto"/>
          </w:tcPr>
          <w:p w:rsidR="00417CDE" w:rsidRDefault="00417CDE" w:rsidP="00417CDE">
            <w:pPr>
              <w:pStyle w:val="afffffffffff3"/>
              <w:ind w:firstLineChars="0" w:firstLine="0"/>
            </w:pPr>
            <w:r>
              <w:rPr>
                <w:rFonts w:hint="eastAsia"/>
              </w:rPr>
              <w:t>在与剂量要求相关的监测位置上的剂量。</w:t>
            </w:r>
          </w:p>
        </w:tc>
      </w:tr>
      <w:tr w:rsidR="00417CDE" w:rsidRPr="009567B1" w:rsidTr="00417CDE">
        <w:tc>
          <w:tcPr>
            <w:tcW w:w="3528" w:type="dxa"/>
            <w:shd w:val="clear" w:color="auto" w:fill="auto"/>
          </w:tcPr>
          <w:p w:rsidR="00417CDE" w:rsidRPr="0070741D" w:rsidRDefault="00417CDE" w:rsidP="00417CDE">
            <w:pPr>
              <w:pStyle w:val="afffffffffff3"/>
              <w:ind w:firstLineChars="0" w:firstLine="0"/>
              <w:rPr>
                <w:lang w:val="fr-FR"/>
              </w:rPr>
            </w:pPr>
            <w:r w:rsidRPr="0070741D">
              <w:rPr>
                <w:lang w:val="fr-FR"/>
              </w:rPr>
              <w:t>D</w:t>
            </w:r>
            <w:r w:rsidRPr="0070741D">
              <w:rPr>
                <w:vertAlign w:val="subscript"/>
                <w:lang w:val="fr-FR"/>
              </w:rPr>
              <w:t>mon</w:t>
            </w:r>
            <w:r w:rsidRPr="0070741D">
              <w:rPr>
                <w:vertAlign w:val="superscript"/>
                <w:lang w:val="fr-FR"/>
              </w:rPr>
              <w:t>max,acc</w:t>
            </w:r>
            <w:r w:rsidRPr="0070741D">
              <w:rPr>
                <w:lang w:val="fr-FR"/>
              </w:rPr>
              <w:t>=D</w:t>
            </w:r>
            <w:r w:rsidRPr="0070741D">
              <w:rPr>
                <w:vertAlign w:val="subscript"/>
                <w:lang w:val="fr-FR"/>
              </w:rPr>
              <w:t>max,acc</w:t>
            </w:r>
            <w:r w:rsidRPr="0070741D">
              <w:rPr>
                <w:lang w:val="fr-FR"/>
              </w:rPr>
              <w:t>/R</w:t>
            </w:r>
            <w:r w:rsidRPr="0070741D">
              <w:rPr>
                <w:vertAlign w:val="subscript"/>
                <w:lang w:val="fr-FR"/>
              </w:rPr>
              <w:t>max/mon</w:t>
            </w:r>
          </w:p>
        </w:tc>
        <w:tc>
          <w:tcPr>
            <w:tcW w:w="5698" w:type="dxa"/>
            <w:vMerge/>
            <w:shd w:val="clear" w:color="auto" w:fill="auto"/>
          </w:tcPr>
          <w:p w:rsidR="00417CDE" w:rsidRPr="0070741D" w:rsidRDefault="00417CDE" w:rsidP="00417CDE">
            <w:pPr>
              <w:pStyle w:val="afffffffffff3"/>
              <w:ind w:firstLineChars="0" w:firstLine="0"/>
              <w:rPr>
                <w:lang w:val="fr-FR"/>
              </w:rPr>
            </w:pPr>
          </w:p>
        </w:tc>
      </w:tr>
      <w:tr w:rsidR="00417CDE" w:rsidTr="00417CDE">
        <w:tc>
          <w:tcPr>
            <w:tcW w:w="3528" w:type="dxa"/>
            <w:shd w:val="clear" w:color="auto" w:fill="auto"/>
          </w:tcPr>
          <w:p w:rsidR="00417CDE" w:rsidRDefault="00417CDE" w:rsidP="00417CDE">
            <w:pPr>
              <w:pStyle w:val="afffffffffff3"/>
              <w:ind w:firstLineChars="0" w:firstLine="0"/>
            </w:pPr>
            <w:r>
              <w:rPr>
                <w:rFonts w:hint="eastAsia"/>
              </w:rPr>
              <w:t>D</w:t>
            </w:r>
            <w:r w:rsidRPr="003E79D1">
              <w:rPr>
                <w:rFonts w:hint="eastAsia"/>
                <w:vertAlign w:val="subscript"/>
              </w:rPr>
              <w:t>target</w:t>
            </w:r>
            <w:r w:rsidRPr="003E79D1">
              <w:rPr>
                <w:rFonts w:hint="eastAsia"/>
                <w:vertAlign w:val="superscript"/>
              </w:rPr>
              <w:t>lower</w:t>
            </w:r>
          </w:p>
        </w:tc>
        <w:tc>
          <w:tcPr>
            <w:tcW w:w="5698" w:type="dxa"/>
            <w:shd w:val="clear" w:color="auto" w:fill="auto"/>
          </w:tcPr>
          <w:p w:rsidR="00417CDE" w:rsidRDefault="00417CDE" w:rsidP="00417CDE">
            <w:pPr>
              <w:pStyle w:val="afffffffffff3"/>
              <w:ind w:firstLineChars="0" w:firstLine="0"/>
            </w:pPr>
            <w:r>
              <w:rPr>
                <w:rFonts w:hint="eastAsia"/>
              </w:rPr>
              <w:t>在常规监测位置的计算剂量，用于建立工艺参数，以确保在一定置信水平下的常规加工过程中满足或超过灭菌剂量。</w:t>
            </w:r>
          </w:p>
        </w:tc>
      </w:tr>
      <w:tr w:rsidR="00417CDE" w:rsidTr="00417CDE">
        <w:tc>
          <w:tcPr>
            <w:tcW w:w="3528" w:type="dxa"/>
            <w:shd w:val="clear" w:color="auto" w:fill="auto"/>
          </w:tcPr>
          <w:p w:rsidR="00417CDE" w:rsidRDefault="00417CDE" w:rsidP="00417CDE">
            <w:pPr>
              <w:pStyle w:val="afffffffffff3"/>
              <w:ind w:firstLineChars="0" w:firstLine="0"/>
            </w:pPr>
            <w:r>
              <w:rPr>
                <w:rFonts w:hint="eastAsia"/>
              </w:rPr>
              <w:t>D</w:t>
            </w:r>
            <w:r w:rsidRPr="003E79D1">
              <w:rPr>
                <w:rFonts w:hint="eastAsia"/>
                <w:vertAlign w:val="subscript"/>
              </w:rPr>
              <w:t>target</w:t>
            </w:r>
            <w:r w:rsidRPr="003E79D1">
              <w:rPr>
                <w:rFonts w:hint="eastAsia"/>
                <w:vertAlign w:val="superscript"/>
              </w:rPr>
              <w:t>upper</w:t>
            </w:r>
          </w:p>
        </w:tc>
        <w:tc>
          <w:tcPr>
            <w:tcW w:w="5698" w:type="dxa"/>
            <w:shd w:val="clear" w:color="auto" w:fill="auto"/>
          </w:tcPr>
          <w:p w:rsidR="00417CDE" w:rsidRDefault="00417CDE" w:rsidP="00417CDE">
            <w:pPr>
              <w:pStyle w:val="afffffffffff3"/>
              <w:ind w:firstLineChars="0" w:firstLine="0"/>
            </w:pPr>
            <w:r>
              <w:rPr>
                <w:rFonts w:hint="eastAsia"/>
              </w:rPr>
              <w:t>在常规监测位置的计算剂量，用于建立工艺参数，以确保在一定置信水平下的常规加工过程中不超过最大可接受剂量。</w:t>
            </w:r>
          </w:p>
        </w:tc>
      </w:tr>
    </w:tbl>
    <w:p w:rsidR="001D212F" w:rsidRDefault="008D01D8" w:rsidP="008D01D8">
      <w:pPr>
        <w:pStyle w:val="affc"/>
        <w:spacing w:before="312" w:after="312"/>
      </w:pPr>
      <w:bookmarkStart w:id="59" w:name="_Toc112783019"/>
      <w:bookmarkStart w:id="60" w:name="_Toc112844816"/>
      <w:r>
        <w:rPr>
          <w:rFonts w:hint="eastAsia"/>
        </w:rPr>
        <w:t>剂量测量</w:t>
      </w:r>
      <w:bookmarkEnd w:id="59"/>
      <w:bookmarkEnd w:id="60"/>
    </w:p>
    <w:p w:rsidR="00212109" w:rsidRDefault="008D01D8" w:rsidP="008D01D8">
      <w:pPr>
        <w:pStyle w:val="affd"/>
        <w:spacing w:before="156" w:after="156"/>
      </w:pPr>
      <w:bookmarkStart w:id="61" w:name="_Toc112783020"/>
      <w:bookmarkStart w:id="62" w:name="_Toc112844817"/>
      <w:r w:rsidRPr="008D01D8">
        <w:rPr>
          <w:rFonts w:hint="eastAsia"/>
        </w:rPr>
        <w:t>总则</w:t>
      </w:r>
      <w:bookmarkEnd w:id="61"/>
      <w:bookmarkEnd w:id="62"/>
    </w:p>
    <w:p w:rsidR="00523461" w:rsidRDefault="008D01D8" w:rsidP="008D01D8">
      <w:pPr>
        <w:pStyle w:val="affe"/>
        <w:spacing w:before="156" w:after="156"/>
      </w:pPr>
      <w:bookmarkStart w:id="63" w:name="_Toc112783021"/>
      <w:bookmarkStart w:id="64" w:name="_Toc112844818"/>
      <w:r w:rsidRPr="008D01D8">
        <w:rPr>
          <w:rFonts w:hint="eastAsia"/>
        </w:rPr>
        <w:t>直接和间接剂量测量</w:t>
      </w:r>
      <w:bookmarkEnd w:id="63"/>
      <w:bookmarkEnd w:id="64"/>
    </w:p>
    <w:p w:rsidR="008D01D8" w:rsidRDefault="008D01D8" w:rsidP="008D01D8">
      <w:pPr>
        <w:pStyle w:val="affff6"/>
        <w:ind w:firstLine="420"/>
      </w:pPr>
      <w:r w:rsidRPr="008D01D8">
        <w:rPr>
          <w:rFonts w:hint="eastAsia"/>
        </w:rPr>
        <w:t>本文件中使用术语“剂量测量”作为表示确定吸收剂量的通用术语。它既可以指在相应点位的剂量 计直接测量剂量，也可以指与通过相应因子计算远离直接测量剂量的位置的吸收剂量有关的间接剂量 测量。与间接测量剂量相关的因子通常是在运行鉴定(OQ)和性能鉴定(PQ)研究中确定的，并反映了给定辐照过程中不同位置的剂量比例。如果这些因素及其相关的不确定度是通过可追溯的剂量测量确定的，那么间接测量本身可以被视为可追溯的，并将满足ISO11137-1在测量可追溯性和不确定度方面的要求。</w:t>
      </w:r>
    </w:p>
    <w:p w:rsidR="008D01D8" w:rsidRDefault="008D01D8" w:rsidP="008D01D8">
      <w:pPr>
        <w:pStyle w:val="affe"/>
        <w:spacing w:before="156" w:after="156"/>
      </w:pPr>
      <w:bookmarkStart w:id="65" w:name="_Toc112783022"/>
      <w:bookmarkStart w:id="66" w:name="_Toc112844819"/>
      <w:r w:rsidRPr="008D01D8">
        <w:rPr>
          <w:rFonts w:hint="eastAsia"/>
        </w:rPr>
        <w:t>剂量测量系统</w:t>
      </w:r>
      <w:bookmarkEnd w:id="65"/>
      <w:bookmarkEnd w:id="66"/>
    </w:p>
    <w:p w:rsidR="008D01D8" w:rsidRDefault="008D01D8" w:rsidP="008D01D8">
      <w:pPr>
        <w:pStyle w:val="affff6"/>
        <w:ind w:firstLine="420"/>
      </w:pPr>
      <w:r>
        <w:rPr>
          <w:rFonts w:hint="eastAsia"/>
        </w:rPr>
        <w:t>ISO</w:t>
      </w:r>
      <w:r w:rsidR="009A63B7">
        <w:t xml:space="preserve"> </w:t>
      </w:r>
      <w:r>
        <w:rPr>
          <w:rFonts w:hint="eastAsia"/>
        </w:rPr>
        <w:t>10012或ISO</w:t>
      </w:r>
      <w:r w:rsidR="009A63B7">
        <w:t xml:space="preserve"> </w:t>
      </w:r>
      <w:r>
        <w:rPr>
          <w:rFonts w:hint="eastAsia"/>
        </w:rPr>
        <w:t>13485(另见ISO</w:t>
      </w:r>
      <w:r w:rsidR="009A63B7">
        <w:t xml:space="preserve"> </w:t>
      </w:r>
      <w:r>
        <w:rPr>
          <w:rFonts w:hint="eastAsia"/>
        </w:rPr>
        <w:t>11137-1)提供了对所使用的剂量测量系统的所有方面的要求。剂量测量系统需要包括在一个正式的测量管理系统中，如ISO</w:t>
      </w:r>
      <w:r w:rsidR="009A63B7">
        <w:t xml:space="preserve"> </w:t>
      </w:r>
      <w:r>
        <w:rPr>
          <w:rFonts w:hint="eastAsia"/>
        </w:rPr>
        <w:t>10012中的定义，它规定了质量程序，以实现计量确认和测量过程的持续控制。这里一个重要的方面是相关工作人员的能力和培训，包括剂量测量</w:t>
      </w:r>
      <w:r>
        <w:rPr>
          <w:rFonts w:hint="eastAsia"/>
        </w:rPr>
        <w:lastRenderedPageBreak/>
        <w:t>系统的校准和操作，以及剂量测量的性能和分析。诸如剂量分布剂量计的位置选择和相应数据的分析等活动需要具体的技能和培训。</w:t>
      </w:r>
    </w:p>
    <w:p w:rsidR="008D01D8" w:rsidRDefault="008D01D8" w:rsidP="009A63B7">
      <w:pPr>
        <w:pStyle w:val="afff2"/>
      </w:pPr>
      <w:r>
        <w:rPr>
          <w:rFonts w:hint="eastAsia"/>
        </w:rPr>
        <w:t>辐射加工中剂量学的一般要求见文献[19]，关于剂量分布的进一步指导可见参考文献[18]。</w:t>
      </w:r>
    </w:p>
    <w:p w:rsidR="008D01D8" w:rsidRDefault="008D01D8" w:rsidP="008D01D8">
      <w:pPr>
        <w:pStyle w:val="affff6"/>
        <w:ind w:firstLine="420"/>
      </w:pPr>
      <w:r>
        <w:rPr>
          <w:rFonts w:hint="eastAsia"/>
        </w:rPr>
        <w:t>医疗保健产品辐射灭菌吸收剂量的测量用水吸收剂量来表达。剂量测量系统按照水吸收剂量进行校准。</w:t>
      </w:r>
    </w:p>
    <w:p w:rsidR="00D8457D" w:rsidRDefault="00D8457D" w:rsidP="00D8457D">
      <w:pPr>
        <w:pStyle w:val="affe"/>
        <w:spacing w:before="156" w:after="156"/>
      </w:pPr>
      <w:bookmarkStart w:id="67" w:name="_Toc112783023"/>
      <w:bookmarkStart w:id="68" w:name="_Toc112844820"/>
      <w:r w:rsidRPr="00D8457D">
        <w:rPr>
          <w:rFonts w:hint="eastAsia"/>
        </w:rPr>
        <w:t>最佳剂量估计</w:t>
      </w:r>
      <w:bookmarkEnd w:id="67"/>
      <w:bookmarkEnd w:id="68"/>
    </w:p>
    <w:p w:rsidR="00D8457D" w:rsidRDefault="00D8457D" w:rsidP="00D8457D">
      <w:pPr>
        <w:pStyle w:val="affff6"/>
        <w:ind w:firstLine="420"/>
      </w:pPr>
      <w:r>
        <w:rPr>
          <w:rFonts w:hint="eastAsia"/>
        </w:rPr>
        <w:t>随着剂量测量系统校准的完成和测量可追溯性的建立（见4.2.3），每次剂量测量的结果，直接测量和间接测量，都代表了剂量的最佳估计。</w:t>
      </w:r>
    </w:p>
    <w:p w:rsidR="00D8457D" w:rsidRDefault="00D8457D" w:rsidP="00D8457D">
      <w:pPr>
        <w:pStyle w:val="affff6"/>
        <w:ind w:firstLine="420"/>
      </w:pPr>
      <w:r>
        <w:rPr>
          <w:rFonts w:hint="eastAsia"/>
        </w:rPr>
        <w:t>剂量测量的值不应通过应用相关的测量不确定度进行修正。</w:t>
      </w:r>
    </w:p>
    <w:p w:rsidR="00D8457D" w:rsidRDefault="00D8457D" w:rsidP="00D8457D">
      <w:pPr>
        <w:pStyle w:val="affd"/>
        <w:spacing w:before="156" w:after="156"/>
      </w:pPr>
      <w:bookmarkStart w:id="69" w:name="_Toc112783024"/>
      <w:bookmarkStart w:id="70" w:name="_Toc112844821"/>
      <w:r w:rsidRPr="00D8457D">
        <w:rPr>
          <w:rFonts w:hint="eastAsia"/>
        </w:rPr>
        <w:t>剂量测量系统的选择和校准</w:t>
      </w:r>
      <w:bookmarkEnd w:id="69"/>
      <w:bookmarkEnd w:id="70"/>
    </w:p>
    <w:p w:rsidR="00D8457D" w:rsidRDefault="00D8457D" w:rsidP="00D8457D">
      <w:pPr>
        <w:pStyle w:val="affe"/>
        <w:spacing w:before="156" w:after="156"/>
      </w:pPr>
      <w:bookmarkStart w:id="71" w:name="_Toc112783025"/>
      <w:bookmarkStart w:id="72" w:name="_Toc112844822"/>
      <w:r>
        <w:rPr>
          <w:rFonts w:hint="eastAsia"/>
        </w:rPr>
        <w:t>总则</w:t>
      </w:r>
      <w:bookmarkEnd w:id="71"/>
      <w:bookmarkEnd w:id="72"/>
    </w:p>
    <w:p w:rsidR="00D8457D" w:rsidRDefault="00F23D85" w:rsidP="00D8457D">
      <w:pPr>
        <w:pStyle w:val="affff6"/>
        <w:ind w:firstLine="420"/>
      </w:pPr>
      <w:r w:rsidRPr="00F23D85">
        <w:rPr>
          <w:rFonts w:hint="eastAsia"/>
        </w:rPr>
        <w:t>用于辐射灭菌过程的开发、确认和常规控制的剂量测量系统，在整个的剂量测量范围和使用条件下宜能够提供准确和精确的结果。</w:t>
      </w:r>
    </w:p>
    <w:p w:rsidR="00F23D85" w:rsidRDefault="00470E4E" w:rsidP="00470E4E">
      <w:pPr>
        <w:pStyle w:val="affe"/>
        <w:spacing w:before="156" w:after="156"/>
      </w:pPr>
      <w:bookmarkStart w:id="73" w:name="_Toc112783026"/>
      <w:bookmarkStart w:id="74" w:name="_Toc112844823"/>
      <w:r w:rsidRPr="00470E4E">
        <w:rPr>
          <w:rFonts w:hint="eastAsia"/>
        </w:rPr>
        <w:t>剂量测量系统的选择</w:t>
      </w:r>
      <w:bookmarkEnd w:id="73"/>
      <w:bookmarkEnd w:id="74"/>
    </w:p>
    <w:p w:rsidR="00470E4E" w:rsidRDefault="00470E4E" w:rsidP="00470E4E">
      <w:pPr>
        <w:pStyle w:val="affffffff9"/>
      </w:pPr>
      <w:r>
        <w:rPr>
          <w:rFonts w:hint="eastAsia"/>
        </w:rPr>
        <w:t>在辐射灭菌过程中的开发、确认和常规控制中都需要直接测量剂量，不同的剂量测量系统用于三种不同的任务。例如，在灭菌剂量建立中，验证剂量实验或増量剂量实验的剂量范围要求可能超过常规加工中测量系统的校准剂量范围。在这种情况下，应该选择不同的系统。</w:t>
      </w:r>
    </w:p>
    <w:p w:rsidR="00470E4E" w:rsidRDefault="00470E4E" w:rsidP="00470E4E">
      <w:pPr>
        <w:pStyle w:val="affffffff9"/>
      </w:pPr>
      <w:r>
        <w:rPr>
          <w:rFonts w:hint="eastAsia"/>
        </w:rPr>
        <w:t>辐射灭菌的开发、确认和常规控制中合适的剂量测量系统选择指南可以参照ISO/ASTM52628 [19]。剂量测量系统的特性参考文献[28]，其应用程序见参考文献中列出的ISO/ASTM规范[5]、[7]到[11]、[13]和[15]。</w:t>
      </w:r>
    </w:p>
    <w:p w:rsidR="00470E4E" w:rsidRDefault="00470E4E" w:rsidP="00470E4E">
      <w:pPr>
        <w:pStyle w:val="affe"/>
        <w:spacing w:before="156" w:after="156"/>
      </w:pPr>
      <w:bookmarkStart w:id="75" w:name="_Toc112783027"/>
      <w:bookmarkStart w:id="76" w:name="_Toc112844824"/>
      <w:r w:rsidRPr="00470E4E">
        <w:rPr>
          <w:rFonts w:hint="eastAsia"/>
        </w:rPr>
        <w:t>剂量测量系统的校准</w:t>
      </w:r>
      <w:bookmarkEnd w:id="75"/>
      <w:bookmarkEnd w:id="76"/>
    </w:p>
    <w:p w:rsidR="00470E4E" w:rsidRDefault="00470E4E" w:rsidP="00470E4E">
      <w:pPr>
        <w:pStyle w:val="affffffff9"/>
      </w:pPr>
      <w:r>
        <w:rPr>
          <w:rFonts w:hint="eastAsia"/>
        </w:rPr>
        <w:t>辐射灭菌剂量测量系统的校准是很重要的工作。大多数系统的响应受到一种或多种辐照和测量条件的影响（例如：温度、湿度、光照、剂量率和辐射与测量的时间间隔）。另外，这些条件经常相互影响,且随不同批次的剂量计而改变，进一步详情见ICRU80[28]和ISO/ASTM52701[20]。因此，校准宜在尽可能接近实际使用条件的情况下进行。这意味着每个辐照装置路径可能都需要校准或校准验证。在没有验证其有效性的情况下，不宜使用剂量计制造商提供的校准曲线。然而，制造商的曲线可能提供关于剂量测量系统的预期响应的有用信息。在可行的情况下，校准宜基于在预期使用的辐照装置中进行的辐照，而不是基于在不同的辐照装置中进行的辐照。</w:t>
      </w:r>
    </w:p>
    <w:p w:rsidR="00470E4E" w:rsidRDefault="00470E4E" w:rsidP="00470E4E">
      <w:pPr>
        <w:pStyle w:val="affffffff9"/>
      </w:pPr>
      <w:r>
        <w:rPr>
          <w:rFonts w:hint="eastAsia"/>
        </w:rPr>
        <w:t>为了保证剂量测量的可追溯性，作为校准一部分的校准辐照和参考标准剂量计应由国际计量委员会(CIPM)认可的国家计量机构或符合ISO/IEC17025标准的其他校准实验室提供。未经正式认可或认证的实验室提供的校准证书不足以作为溯源到国家或国际标准的证据，应提供额外的证明性文件（见ISO/ASTM51261）。</w:t>
      </w:r>
    </w:p>
    <w:p w:rsidR="00470E4E" w:rsidRDefault="00470E4E" w:rsidP="00470E4E">
      <w:pPr>
        <w:pStyle w:val="affffffff9"/>
      </w:pPr>
      <w:r>
        <w:rPr>
          <w:rFonts w:hint="eastAsia"/>
        </w:rPr>
        <w:t>准确剂量测量的能力依赖于整个剂量测量系统的校准和性能的一致性。这意味着不仅仅是剂量计，所有测量程序相关的设备都宜受到控制和校准，或者不能进行校准的设备，宜验证其性能。</w:t>
      </w:r>
    </w:p>
    <w:p w:rsidR="00470E4E" w:rsidRDefault="00470E4E" w:rsidP="00470E4E">
      <w:pPr>
        <w:pStyle w:val="affffffff9"/>
      </w:pPr>
      <w:r>
        <w:rPr>
          <w:rFonts w:hint="eastAsia"/>
        </w:rPr>
        <w:t>在整个校准结果的使用期间，保持校准的有效性是很重要的。这可能需要使用参考剂量系统(见ISO/ASTM 52628)定期进行校准验证，并且当辐照条件发生显著变化时，例如，在源补充之后。温度和湿度的季节性变化可能会影响剂量计的响应。应进行定期评估以量化这些变化及其对剂量计响应的影响(如果有的话)，并在必要时进行校准验证工作。</w:t>
      </w:r>
    </w:p>
    <w:p w:rsidR="00470E4E" w:rsidRDefault="00470E4E" w:rsidP="00470E4E">
      <w:pPr>
        <w:pStyle w:val="affffffff9"/>
      </w:pPr>
      <w:r>
        <w:rPr>
          <w:rFonts w:hint="eastAsia"/>
        </w:rPr>
        <w:lastRenderedPageBreak/>
        <w:t>已知某些类型的剂量计的响应受到辐射与测量的时间间隔的影响。这种影响的大小可能取决于此期间的储存条件，宜遵循制造商的储存建议，特别是关于温度、湿度和光照。在确定辐射与测量的时间间隔的可接受值以及解释剂量测量时，宜考虑储存条件的影响。更多有关可能影响剂量计响应的因素的信息，见ISO/ASTM52701。</w:t>
      </w:r>
    </w:p>
    <w:p w:rsidR="00470E4E" w:rsidRDefault="00470E4E" w:rsidP="00530DC7">
      <w:pPr>
        <w:pStyle w:val="affffffff9"/>
      </w:pPr>
      <w:r>
        <w:rPr>
          <w:rFonts w:hint="eastAsia"/>
        </w:rPr>
        <w:t>在ISO/ASTM 51261中给出了详细的校准过程。在ISO/ASTM 51707中给出了估计和报告测量不确定度的信息。其余的指南见参考文献[30]。</w:t>
      </w:r>
    </w:p>
    <w:p w:rsidR="00470E4E" w:rsidRDefault="00470E4E" w:rsidP="00470E4E">
      <w:pPr>
        <w:pStyle w:val="affff6"/>
        <w:ind w:firstLine="420"/>
      </w:pPr>
      <w:r>
        <w:rPr>
          <w:rFonts w:hint="eastAsia"/>
        </w:rPr>
        <w:t>如在ISO/ASTM51261中所讨论的，不确定度的估计宜考虑到校准和常规处理之间的差异，例如</w:t>
      </w:r>
      <w:r w:rsidR="00C405FE">
        <w:rPr>
          <w:rFonts w:hint="eastAsia"/>
        </w:rPr>
        <w:t>，</w:t>
      </w:r>
      <w:r>
        <w:rPr>
          <w:rFonts w:hint="eastAsia"/>
        </w:rPr>
        <w:t>影响量的差异，如辐照温度或吸收剂量率，或测量</w:t>
      </w:r>
      <w:r w:rsidR="00262B58">
        <w:rPr>
          <w:rFonts w:hint="eastAsia"/>
        </w:rPr>
        <w:t>实践</w:t>
      </w:r>
      <w:r>
        <w:rPr>
          <w:rFonts w:hint="eastAsia"/>
        </w:rPr>
        <w:t>的差异，如使用剂量计厚度或初始吸光度的平均值与单个值。</w:t>
      </w:r>
    </w:p>
    <w:p w:rsidR="00530DC7" w:rsidRDefault="00530DC7" w:rsidP="00530DC7">
      <w:pPr>
        <w:pStyle w:val="affd"/>
        <w:spacing w:before="156" w:after="156"/>
      </w:pPr>
      <w:bookmarkStart w:id="77" w:name="_Toc112783028"/>
      <w:bookmarkStart w:id="78" w:name="_Toc112844825"/>
      <w:r w:rsidRPr="00530DC7">
        <w:rPr>
          <w:rFonts w:hint="eastAsia"/>
        </w:rPr>
        <w:t>剂量测量的不确定度</w:t>
      </w:r>
      <w:bookmarkEnd w:id="77"/>
      <w:bookmarkEnd w:id="78"/>
    </w:p>
    <w:p w:rsidR="00530DC7" w:rsidRDefault="00530DC7" w:rsidP="00530DC7">
      <w:pPr>
        <w:pStyle w:val="affe"/>
        <w:spacing w:before="156" w:after="156"/>
      </w:pPr>
      <w:bookmarkStart w:id="79" w:name="_Toc112783029"/>
      <w:bookmarkStart w:id="80" w:name="_Toc112844826"/>
      <w:r w:rsidRPr="00530DC7">
        <w:rPr>
          <w:rFonts w:hint="eastAsia"/>
        </w:rPr>
        <w:t>通用概念</w:t>
      </w:r>
      <w:bookmarkEnd w:id="79"/>
      <w:bookmarkEnd w:id="80"/>
    </w:p>
    <w:p w:rsidR="00530DC7" w:rsidRDefault="00530DC7" w:rsidP="00530DC7">
      <w:pPr>
        <w:pStyle w:val="affff6"/>
        <w:ind w:firstLine="420"/>
      </w:pPr>
      <w:r>
        <w:rPr>
          <w:rFonts w:hint="eastAsia"/>
        </w:rPr>
        <w:t>在ISO 11137-1中要求，剂量测量应溯源至合适的国家标准或国际标准，且该测量不确定度已知。因此，宜对测量系统的所有重要不确定度来源和大小进行评估。然而，根据量化测量不确定度所选择的方法，可以确定不确定度分量组合的大小，而不是单独量化每个分量。</w:t>
      </w:r>
    </w:p>
    <w:p w:rsidR="00530DC7" w:rsidRDefault="00530DC7" w:rsidP="00530DC7">
      <w:pPr>
        <w:pStyle w:val="affff6"/>
        <w:ind w:firstLine="420"/>
      </w:pPr>
      <w:r>
        <w:rPr>
          <w:rFonts w:hint="eastAsia"/>
        </w:rPr>
        <w:t>所有的直接和间接测量都需要有一个不确定度估计，以表明与测量相关的知识程度(即测量结果的质量)。当测量一个量，如吸收剂量，结果取决于多种因素，如剂量测量系统、操作者的技能或测量环境。即使同一剂量计在同一仪器上测量多次，也会有剂量测量系统特有的结果分布。</w:t>
      </w:r>
    </w:p>
    <w:p w:rsidR="00530DC7" w:rsidRDefault="00530DC7" w:rsidP="00530DC7">
      <w:pPr>
        <w:pStyle w:val="affe"/>
        <w:spacing w:before="156" w:after="156"/>
      </w:pPr>
      <w:bookmarkStart w:id="81" w:name="_Toc112783030"/>
      <w:bookmarkStart w:id="82" w:name="_Toc112844827"/>
      <w:r w:rsidRPr="00530DC7">
        <w:rPr>
          <w:rFonts w:hint="eastAsia"/>
        </w:rPr>
        <w:t>测量(GUM)方法中不确定度表达指南</w:t>
      </w:r>
      <w:bookmarkEnd w:id="81"/>
      <w:bookmarkEnd w:id="82"/>
    </w:p>
    <w:p w:rsidR="00530DC7" w:rsidRDefault="00530DC7" w:rsidP="00530DC7">
      <w:pPr>
        <w:pStyle w:val="affffffff9"/>
      </w:pPr>
      <w:r>
        <w:rPr>
          <w:rFonts w:hint="eastAsia"/>
        </w:rPr>
        <w:t>在测量不确定度的背景下，本文遵循参考文献[26]中描述的方法和术语。</w:t>
      </w:r>
    </w:p>
    <w:p w:rsidR="00530DC7" w:rsidRDefault="00530DC7" w:rsidP="00530DC7">
      <w:pPr>
        <w:pStyle w:val="affffffff9"/>
      </w:pPr>
      <w:r>
        <w:rPr>
          <w:rFonts w:hint="eastAsia"/>
        </w:rPr>
        <w:t>剂量测量可以被认为是对吸收剂量真值的估计。在一个定义明确且受控的测量过程情况下，测量结果将是吸收剂量值的最佳估计值（4.1.3）。然而，测量中固有的不确定度意味着，在有限的概率内真值实际上高于或低于该测量结果。</w:t>
      </w:r>
    </w:p>
    <w:p w:rsidR="00530DC7" w:rsidRDefault="00530DC7" w:rsidP="00530DC7">
      <w:pPr>
        <w:pStyle w:val="affffffff9"/>
      </w:pPr>
      <w:r>
        <w:rPr>
          <w:rFonts w:hint="eastAsia"/>
        </w:rPr>
        <w:t>在许多情况下，真值高于或低于测量结果的概率遵循一个高斯分布或“正态”分布。分布的峰值代表了测量值（最佳估计值），随着距离测量结果的距离的增加，高于和低于这个值的可能性逐渐降低。高斯分布的宽度的特征是由称为标准不确定度（或标准偏差）的已知参数，给定符号σ(西格玛)。</w:t>
      </w:r>
    </w:p>
    <w:p w:rsidR="00530DC7" w:rsidRDefault="00530DC7" w:rsidP="00593083">
      <w:pPr>
        <w:pStyle w:val="afff2"/>
      </w:pPr>
      <w:r>
        <w:rPr>
          <w:rFonts w:hint="eastAsia"/>
        </w:rPr>
        <w:t>有许多不同类型的概率分布可以适当地描述不确定度的各个分量。然而，为了在数学上合成这些单个分量，以估计剂量测量中的总不确定度，有必要将它们以相同的形式呈现，例如相对标准差。有关概率分布和合成不确定度的额外信息，请参阅GUM和ISO/ASTM51707。</w:t>
      </w:r>
    </w:p>
    <w:p w:rsidR="00530DC7" w:rsidRDefault="00530DC7" w:rsidP="00CE2BCD">
      <w:pPr>
        <w:pStyle w:val="affffffff9"/>
      </w:pPr>
      <w:r>
        <w:rPr>
          <w:rFonts w:hint="eastAsia"/>
        </w:rPr>
        <w:t>表示测量不确定度的一种方便的方法是通过一个置信区间或覆盖区间，它表示量的真值可能所在的范围。置信区间必须基于真值将在该范围内的确定置信水平。</w:t>
      </w:r>
    </w:p>
    <w:p w:rsidR="00530DC7" w:rsidRDefault="00530DC7" w:rsidP="00CE2BCD">
      <w:pPr>
        <w:pStyle w:val="affffffff9"/>
      </w:pPr>
      <w:r>
        <w:rPr>
          <w:rFonts w:hint="eastAsia"/>
        </w:rPr>
        <w:t>表示测量结果的一种通用方法是x±y形式，其中x是测量或计算（最佳估计）值而y是标准测量不确定度乘以覆盖因子(k)。一个标准测量不确定度乘以一个覆盖因子被称为“扩展测量不确定度”。根据GUM，必须说明所使用的覆盖因子的值。通常2作为覆盖因子，对应的置信水平约为95%。</w:t>
      </w:r>
    </w:p>
    <w:p w:rsidR="00530DC7" w:rsidRDefault="00530DC7" w:rsidP="00593083">
      <w:pPr>
        <w:pStyle w:val="afff2"/>
      </w:pPr>
      <w:r>
        <w:rPr>
          <w:rFonts w:hint="eastAsia"/>
        </w:rPr>
        <w:t>置信水平与扩展测量不确定度之间的确切关系取决于与测量相关的自由度的数量(进一步的信息请参阅GUM)。</w:t>
      </w:r>
    </w:p>
    <w:p w:rsidR="00530DC7" w:rsidRDefault="00530DC7" w:rsidP="00CE2BCD">
      <w:pPr>
        <w:pStyle w:val="affffffff9"/>
      </w:pPr>
      <w:r>
        <w:rPr>
          <w:rFonts w:hint="eastAsia"/>
        </w:rPr>
        <w:t>为了确定与剂量测量相关的不确定度，有必要首先确定所有潜在的重要不确定度来源，然后单独或联合进行量化。通过依次考虑剂量测量系统的校准和使用所涉及的每一个步骤，并评估与每一个步骤可能相关的不确定度，这是最容易做到的。在GUM中使用的程序是赋予不确定度的每个组成部分一个有效的标准差，称为“标准不确定度”，并将这些标准不确定度结合起来，以产生对总体不确定度的估计。这种方法允许将随机的影响和系统的影响结合起来，以产生一个代表测量质量的不确定度的总体</w:t>
      </w:r>
      <w:r>
        <w:rPr>
          <w:rFonts w:hint="eastAsia"/>
        </w:rPr>
        <w:lastRenderedPageBreak/>
        <w:t>估计。不确定度的各个组成部分的表格，以及它们的值和估计方法，通常被称为“不确定度预算”。关于如何进行这一过程的详细说明见ISO/ASTM51707[16]和CIRM29[30]。</w:t>
      </w:r>
    </w:p>
    <w:p w:rsidR="00CE2BCD" w:rsidRDefault="00CE2BCD" w:rsidP="00CE2BCD">
      <w:pPr>
        <w:pStyle w:val="affe"/>
        <w:spacing w:before="156" w:after="156"/>
      </w:pPr>
      <w:bookmarkStart w:id="83" w:name="_Toc112783031"/>
      <w:bookmarkStart w:id="84" w:name="_Toc112844828"/>
      <w:r w:rsidRPr="00CE2BCD">
        <w:rPr>
          <w:rFonts w:hint="eastAsia"/>
        </w:rPr>
        <w:t>辐射灭菌的剂量测量不确定度的具体方面</w:t>
      </w:r>
      <w:bookmarkEnd w:id="83"/>
      <w:bookmarkEnd w:id="84"/>
    </w:p>
    <w:p w:rsidR="00CE2BCD" w:rsidRDefault="00CE2BCD" w:rsidP="00CE2BCD">
      <w:pPr>
        <w:pStyle w:val="affffffff9"/>
      </w:pPr>
      <w:r>
        <w:rPr>
          <w:rFonts w:hint="eastAsia"/>
        </w:rPr>
        <w:t>对于辐射灭菌过程中的剂量测量,必须考虑的测量不确定度是直接测量剂量或通过间接测量(4.1.1)估计辐照容器中产品所受剂量。</w:t>
      </w:r>
    </w:p>
    <w:p w:rsidR="008F7172" w:rsidRDefault="00CE2BCD" w:rsidP="00CE2BCD">
      <w:pPr>
        <w:pStyle w:val="affffffff9"/>
      </w:pPr>
      <w:r>
        <w:rPr>
          <w:rFonts w:hint="eastAsia"/>
        </w:rPr>
        <w:t>在剂量分布实验中产品在辐照容器中接收到的剂量是直接测量，但在常规辐射加工过程中并不总是如此。辐射过程可通过在最小和最大剂量位置或远离这些位置的位置直接监测。当不在最小和最大位置进行监测时，远程监测位置的直接测量需要乘以因子，以说明监测剂量计位置的剂量与辐照容器中最小和最大剂量位置的剂量之间的剂量差异。这些因子用剂量比来表示。例如</w:t>
      </w:r>
      <w:proofErr w:type="spellStart"/>
      <w:r>
        <w:rPr>
          <w:rFonts w:hint="eastAsia"/>
        </w:rPr>
        <w:t>R</w:t>
      </w:r>
      <w:r w:rsidRPr="00881C34">
        <w:rPr>
          <w:rFonts w:hint="eastAsia"/>
          <w:vertAlign w:val="subscript"/>
        </w:rPr>
        <w:t>min</w:t>
      </w:r>
      <w:proofErr w:type="spellEnd"/>
      <w:r w:rsidRPr="00881C34">
        <w:rPr>
          <w:rFonts w:hint="eastAsia"/>
          <w:vertAlign w:val="subscript"/>
        </w:rPr>
        <w:t>/</w:t>
      </w:r>
      <w:proofErr w:type="spellStart"/>
      <w:r w:rsidRPr="00881C34">
        <w:rPr>
          <w:rFonts w:hint="eastAsia"/>
          <w:vertAlign w:val="subscript"/>
        </w:rPr>
        <w:t>mon</w:t>
      </w:r>
      <w:proofErr w:type="spellEnd"/>
      <w:r>
        <w:rPr>
          <w:rFonts w:hint="eastAsia"/>
        </w:rPr>
        <w:t>和</w:t>
      </w:r>
      <w:proofErr w:type="spellStart"/>
      <w:r>
        <w:rPr>
          <w:rFonts w:hint="eastAsia"/>
        </w:rPr>
        <w:t>R</w:t>
      </w:r>
      <w:r w:rsidRPr="00881C34">
        <w:rPr>
          <w:rFonts w:hint="eastAsia"/>
          <w:vertAlign w:val="subscript"/>
        </w:rPr>
        <w:t>max</w:t>
      </w:r>
      <w:proofErr w:type="spellEnd"/>
      <w:r w:rsidRPr="00881C34">
        <w:rPr>
          <w:rFonts w:hint="eastAsia"/>
          <w:vertAlign w:val="subscript"/>
        </w:rPr>
        <w:t>/</w:t>
      </w:r>
      <w:proofErr w:type="spellStart"/>
      <w:r w:rsidRPr="00881C34">
        <w:rPr>
          <w:rFonts w:hint="eastAsia"/>
          <w:vertAlign w:val="subscript"/>
        </w:rPr>
        <w:t>mon</w:t>
      </w:r>
      <w:proofErr w:type="spellEnd"/>
      <w:r>
        <w:rPr>
          <w:rFonts w:hint="eastAsia"/>
        </w:rPr>
        <w:t>，需在剂量分布实验确定，并受不确定度影响。该比值可直接将产品剂量规范（</w:t>
      </w:r>
      <w:proofErr w:type="spellStart"/>
      <w:r>
        <w:rPr>
          <w:rFonts w:hint="eastAsia"/>
        </w:rPr>
        <w:t>D</w:t>
      </w:r>
      <w:r w:rsidRPr="00881C34">
        <w:rPr>
          <w:rFonts w:hint="eastAsia"/>
          <w:vertAlign w:val="subscript"/>
        </w:rPr>
        <w:t>ster</w:t>
      </w:r>
      <w:proofErr w:type="spellEnd"/>
      <w:r>
        <w:rPr>
          <w:rFonts w:hint="eastAsia"/>
        </w:rPr>
        <w:t>和</w:t>
      </w:r>
      <w:proofErr w:type="spellStart"/>
      <w:r>
        <w:rPr>
          <w:rFonts w:hint="eastAsia"/>
        </w:rPr>
        <w:t>D</w:t>
      </w:r>
      <w:r w:rsidRPr="00881C34">
        <w:rPr>
          <w:rFonts w:hint="eastAsia"/>
          <w:vertAlign w:val="subscript"/>
        </w:rPr>
        <w:t>max</w:t>
      </w:r>
      <w:proofErr w:type="spellEnd"/>
      <w:r w:rsidRPr="00881C34">
        <w:rPr>
          <w:rFonts w:hint="eastAsia"/>
          <w:vertAlign w:val="subscript"/>
        </w:rPr>
        <w:t>，acc</w:t>
      </w:r>
      <w:r>
        <w:rPr>
          <w:rFonts w:hint="eastAsia"/>
        </w:rPr>
        <w:t>）与监测位置的剂量规范（</w:t>
      </w:r>
      <w:proofErr w:type="spellStart"/>
      <w:r>
        <w:rPr>
          <w:rFonts w:hint="eastAsia"/>
        </w:rPr>
        <w:t>D</w:t>
      </w:r>
      <w:r w:rsidRPr="00881C34">
        <w:rPr>
          <w:rFonts w:hint="eastAsia"/>
          <w:vertAlign w:val="subscript"/>
        </w:rPr>
        <w:t>mon</w:t>
      </w:r>
      <w:r w:rsidRPr="00881C34">
        <w:rPr>
          <w:rFonts w:hint="eastAsia"/>
          <w:vertAlign w:val="superscript"/>
        </w:rPr>
        <w:t>ster</w:t>
      </w:r>
      <w:proofErr w:type="spellEnd"/>
      <w:r>
        <w:rPr>
          <w:rFonts w:hint="eastAsia"/>
        </w:rPr>
        <w:t>和</w:t>
      </w:r>
      <w:proofErr w:type="spellStart"/>
      <w:r>
        <w:rPr>
          <w:rFonts w:hint="eastAsia"/>
        </w:rPr>
        <w:t>D</w:t>
      </w:r>
      <w:r w:rsidRPr="00881C34">
        <w:rPr>
          <w:rFonts w:hint="eastAsia"/>
          <w:vertAlign w:val="subscript"/>
        </w:rPr>
        <w:t>mon</w:t>
      </w:r>
      <w:r w:rsidRPr="00881C34">
        <w:rPr>
          <w:rFonts w:hint="eastAsia"/>
          <w:vertAlign w:val="superscript"/>
        </w:rPr>
        <w:t>max</w:t>
      </w:r>
      <w:proofErr w:type="spellEnd"/>
      <w:r w:rsidRPr="00881C34">
        <w:rPr>
          <w:rFonts w:hint="eastAsia"/>
          <w:vertAlign w:val="superscript"/>
        </w:rPr>
        <w:t>，acc</w:t>
      </w:r>
      <w:r>
        <w:rPr>
          <w:rFonts w:hint="eastAsia"/>
        </w:rPr>
        <w:t>）关联起来（见3.2）：</w:t>
      </w:r>
    </w:p>
    <w:p w:rsidR="003C1C87" w:rsidRDefault="003C1C87" w:rsidP="003C1C87">
      <w:pPr>
        <w:pStyle w:val="affffff6"/>
      </w:pPr>
      <w:bookmarkStart w:id="85" w:name="_Hlk112783397"/>
      <w:r>
        <w:tab/>
      </w:r>
      <m:oMath>
        <m:r>
          <w:rPr>
            <w:rFonts w:ascii="Cambria Math" w:hAnsi="Cambria Math"/>
          </w:rPr>
          <m:t>Dmonster=Dster/Rmin/mon</m:t>
        </m:r>
      </m:oMath>
      <w:r w:rsidRPr="003C1C87">
        <w:rPr>
          <w:rFonts w:ascii="微软雅黑" w:eastAsia="微软雅黑" w:hAnsi="微软雅黑"/>
        </w:rPr>
        <w:tab/>
      </w:r>
      <w:r>
        <w:t>(</w:t>
      </w:r>
      <w:r w:rsidR="00A0242A">
        <w:fldChar w:fldCharType="begin"/>
      </w:r>
      <w:r>
        <w:instrText xml:space="preserve"> AUTONUM </w:instrText>
      </w:r>
      <w:r w:rsidR="00A0242A">
        <w:fldChar w:fldCharType="end"/>
      </w:r>
      <w:r>
        <w:t>)</w:t>
      </w:r>
    </w:p>
    <w:p w:rsidR="00685659" w:rsidRDefault="00685659" w:rsidP="00685659">
      <w:pPr>
        <w:pStyle w:val="affffff6"/>
      </w:pPr>
      <w:r>
        <w:tab/>
      </w:r>
      <m:oMath>
        <m:r>
          <w:rPr>
            <w:rFonts w:ascii="Cambria Math" w:hAnsi="Cambria Math" w:hint="eastAsia"/>
          </w:rPr>
          <m:t>Dmonmax</m:t>
        </m:r>
        <m:r>
          <w:rPr>
            <w:rFonts w:ascii="Cambria Math" w:hAnsi="Cambria Math" w:hint="eastAsia"/>
          </w:rPr>
          <m:t>，</m:t>
        </m:r>
        <m:r>
          <w:rPr>
            <w:rFonts w:ascii="Cambria Math" w:hAnsi="Cambria Math" w:hint="eastAsia"/>
          </w:rPr>
          <m:t>acc=Dmax</m:t>
        </m:r>
        <m:r>
          <w:rPr>
            <w:rFonts w:ascii="Cambria Math" w:hAnsi="Cambria Math" w:hint="eastAsia"/>
          </w:rPr>
          <m:t>，</m:t>
        </m:r>
        <m:r>
          <w:rPr>
            <w:rFonts w:ascii="Cambria Math" w:hAnsi="Cambria Math" w:hint="eastAsia"/>
          </w:rPr>
          <m:t>acc/Rmax/mon</m:t>
        </m:r>
      </m:oMath>
      <w:r w:rsidRPr="00685659">
        <w:rPr>
          <w:rFonts w:ascii="微软雅黑" w:eastAsia="微软雅黑" w:hAnsi="微软雅黑"/>
        </w:rPr>
        <w:tab/>
      </w:r>
      <w:r>
        <w:t>(</w:t>
      </w:r>
      <w:r w:rsidR="00A0242A">
        <w:fldChar w:fldCharType="begin"/>
      </w:r>
      <w:r>
        <w:instrText xml:space="preserve"> AUTONUM </w:instrText>
      </w:r>
      <w:r w:rsidR="00A0242A">
        <w:fldChar w:fldCharType="end"/>
      </w:r>
      <w:r>
        <w:t>)</w:t>
      </w:r>
    </w:p>
    <w:bookmarkEnd w:id="85"/>
    <w:p w:rsidR="00CE2BCD" w:rsidRDefault="00CE2BCD" w:rsidP="00C6053E">
      <w:pPr>
        <w:pStyle w:val="affffffff9"/>
      </w:pPr>
      <w:r>
        <w:rPr>
          <w:rFonts w:hint="eastAsia"/>
        </w:rPr>
        <w:t>在辐照容器中直接或间接测量剂量相关的不确定度组成可细分如下：</w:t>
      </w:r>
    </w:p>
    <w:p w:rsidR="00CE2BCD" w:rsidRDefault="00CE2BCD" w:rsidP="00C6053E">
      <w:pPr>
        <w:pStyle w:val="af2"/>
      </w:pPr>
      <w:r>
        <w:rPr>
          <w:rFonts w:hint="eastAsia"/>
        </w:rPr>
        <w:t>校准标准实验室报告的不确定度；</w:t>
      </w:r>
    </w:p>
    <w:p w:rsidR="00CE2BCD" w:rsidRDefault="00CE2BCD" w:rsidP="00C6053E">
      <w:pPr>
        <w:pStyle w:val="af2"/>
      </w:pPr>
      <w:r>
        <w:rPr>
          <w:rFonts w:hint="eastAsia"/>
        </w:rPr>
        <w:t>由于校准函数的数学拟合而引起的不确定度；</w:t>
      </w:r>
    </w:p>
    <w:p w:rsidR="00CE2BCD" w:rsidRDefault="00CE2BCD" w:rsidP="00C6053E">
      <w:pPr>
        <w:pStyle w:val="af2"/>
      </w:pPr>
      <w:r>
        <w:rPr>
          <w:rFonts w:hint="eastAsia"/>
        </w:rPr>
        <w:t>环境影响量在校准和使用期间对剂量计影响有关的不确定度;</w:t>
      </w:r>
    </w:p>
    <w:p w:rsidR="00CE2BCD" w:rsidRDefault="00CE2BCD" w:rsidP="00C6053E">
      <w:pPr>
        <w:pStyle w:val="af2"/>
      </w:pPr>
      <w:r>
        <w:rPr>
          <w:rFonts w:hint="eastAsia"/>
        </w:rPr>
        <w:t>与监测剂量计的重复性有关的不确定度；</w:t>
      </w:r>
    </w:p>
    <w:p w:rsidR="00CE2BCD" w:rsidRDefault="00CE2BCD" w:rsidP="00C6053E">
      <w:pPr>
        <w:pStyle w:val="af2"/>
      </w:pPr>
      <w:r>
        <w:rPr>
          <w:rFonts w:hint="eastAsia"/>
        </w:rPr>
        <w:t>间接测量中来自剂量分布的剂量比的不确定度；</w:t>
      </w:r>
    </w:p>
    <w:p w:rsidR="00CE2BCD" w:rsidRDefault="00CE2BCD" w:rsidP="00C6053E">
      <w:pPr>
        <w:pStyle w:val="af2"/>
      </w:pPr>
      <w:r>
        <w:rPr>
          <w:rFonts w:hint="eastAsia"/>
        </w:rPr>
        <w:t>间接测量的不确定度，由于辐照装置剂量传递在监测剂量计的辐照与需要其估计剂量的辐照容器的辐照之间的变化而引起的，如适用。</w:t>
      </w:r>
    </w:p>
    <w:p w:rsidR="00CE2BCD" w:rsidRDefault="00CE2BCD" w:rsidP="00CE2BCD">
      <w:pPr>
        <w:pStyle w:val="affff6"/>
        <w:ind w:firstLine="420"/>
      </w:pPr>
      <w:r>
        <w:rPr>
          <w:rFonts w:hint="eastAsia"/>
        </w:rPr>
        <w:t>在确定不确定度预算时宜考虑本清单上的项目，但可能不适用于所有过程；它们不打算作为一个检查清单。根据量化测量不确定度所选择的方法，可能可以确定不确定度分量合成的大小，而不是单独量化每个分量。</w:t>
      </w:r>
    </w:p>
    <w:p w:rsidR="00CE2BCD" w:rsidRDefault="00CE2BCD" w:rsidP="00CE2BCD">
      <w:pPr>
        <w:pStyle w:val="affff6"/>
        <w:ind w:firstLine="420"/>
      </w:pPr>
      <w:r>
        <w:rPr>
          <w:rFonts w:hint="eastAsia"/>
        </w:rPr>
        <w:t>不确定度值可用于确定过程目标剂量值（D</w:t>
      </w:r>
      <w:r w:rsidRPr="00781B87">
        <w:rPr>
          <w:rFonts w:hint="eastAsia"/>
          <w:vertAlign w:val="subscript"/>
        </w:rPr>
        <w:t>target</w:t>
      </w:r>
      <w:r w:rsidRPr="00781B87">
        <w:rPr>
          <w:rFonts w:hint="eastAsia"/>
          <w:vertAlign w:val="superscript"/>
        </w:rPr>
        <w:t>lower</w:t>
      </w:r>
      <w:r>
        <w:rPr>
          <w:rFonts w:hint="eastAsia"/>
        </w:rPr>
        <w:t>和D</w:t>
      </w:r>
      <w:r w:rsidRPr="00781B87">
        <w:rPr>
          <w:rFonts w:hint="eastAsia"/>
          <w:vertAlign w:val="subscript"/>
        </w:rPr>
        <w:t>target</w:t>
      </w:r>
      <w:r w:rsidRPr="00781B87">
        <w:rPr>
          <w:rFonts w:hint="eastAsia"/>
          <w:vertAlign w:val="superscript"/>
        </w:rPr>
        <w:t>upper</w:t>
      </w:r>
      <w:r>
        <w:rPr>
          <w:rFonts w:hint="eastAsia"/>
        </w:rPr>
        <w:t>)，其高于D</w:t>
      </w:r>
      <w:r w:rsidRPr="00781B87">
        <w:rPr>
          <w:rFonts w:hint="eastAsia"/>
          <w:vertAlign w:val="subscript"/>
        </w:rPr>
        <w:t>ster</w:t>
      </w:r>
      <w:r>
        <w:rPr>
          <w:rFonts w:hint="eastAsia"/>
        </w:rPr>
        <w:t>（或 D</w:t>
      </w:r>
      <w:r w:rsidRPr="00781B87">
        <w:rPr>
          <w:rFonts w:hint="eastAsia"/>
          <w:vertAlign w:val="subscript"/>
        </w:rPr>
        <w:t>mon</w:t>
      </w:r>
      <w:r w:rsidRPr="00781B87">
        <w:rPr>
          <w:rFonts w:hint="eastAsia"/>
          <w:vertAlign w:val="superscript"/>
        </w:rPr>
        <w:t>ster</w:t>
      </w:r>
      <w:r>
        <w:rPr>
          <w:rFonts w:hint="eastAsia"/>
        </w:rPr>
        <w:t>若过程未在最小剂量位置进行监测)且低于D</w:t>
      </w:r>
      <w:r w:rsidRPr="00781B87">
        <w:rPr>
          <w:rFonts w:hint="eastAsia"/>
          <w:vertAlign w:val="subscript"/>
        </w:rPr>
        <w:t>max,acc</w:t>
      </w:r>
      <w:r>
        <w:rPr>
          <w:rFonts w:hint="eastAsia"/>
        </w:rPr>
        <w:t>（或D</w:t>
      </w:r>
      <w:r w:rsidRPr="00781B87">
        <w:rPr>
          <w:rFonts w:hint="eastAsia"/>
          <w:vertAlign w:val="subscript"/>
        </w:rPr>
        <w:t>mon</w:t>
      </w:r>
      <w:r w:rsidRPr="00781B87">
        <w:rPr>
          <w:rFonts w:hint="eastAsia"/>
          <w:vertAlign w:val="superscript"/>
        </w:rPr>
        <w:t>max,acc</w:t>
      </w:r>
      <w:r>
        <w:rPr>
          <w:rFonts w:hint="eastAsia"/>
        </w:rPr>
        <w:t>若过程未在最大可接受剂量位置进行监控）。确定过程目标值的一种方法是使用产品kσ的值来计算过程目标剂量，其中σ是源于适用于上述具体情况的不确定度组成的合成的一个标准不确定度。k的值取决于与该过程相关的所需的置信水平。附</w:t>
      </w:r>
      <w:r w:rsidR="00C6053E">
        <w:rPr>
          <w:rFonts w:hint="eastAsia"/>
        </w:rPr>
        <w:t>录</w:t>
      </w:r>
      <w:r>
        <w:rPr>
          <w:rFonts w:hint="eastAsia"/>
        </w:rPr>
        <w:t>D说明了使用kσ确定过程目标剂量。</w:t>
      </w:r>
    </w:p>
    <w:p w:rsidR="00C6053E" w:rsidRDefault="00FE113D" w:rsidP="00C6053E">
      <w:pPr>
        <w:pStyle w:val="affc"/>
        <w:spacing w:before="312" w:after="312"/>
      </w:pPr>
      <w:bookmarkStart w:id="86" w:name="_Toc112783032"/>
      <w:bookmarkStart w:id="87" w:name="_Toc112844829"/>
      <w:r w:rsidRPr="00FE113D">
        <w:rPr>
          <w:rFonts w:hint="eastAsia"/>
        </w:rPr>
        <w:t>建立最大可接受剂量</w:t>
      </w:r>
      <w:bookmarkEnd w:id="86"/>
      <w:bookmarkEnd w:id="87"/>
    </w:p>
    <w:p w:rsidR="00AE1703" w:rsidRDefault="00AE1703" w:rsidP="00AE1703">
      <w:pPr>
        <w:pStyle w:val="affffffff7"/>
      </w:pPr>
      <w:r>
        <w:rPr>
          <w:rFonts w:hint="eastAsia"/>
        </w:rPr>
        <w:t>最大可接受剂量建立的试验需通过对产品辐照不小于灭菌过程所预期的最高辐射剂量来实现。</w:t>
      </w:r>
    </w:p>
    <w:p w:rsidR="00FE113D" w:rsidRDefault="00AE1703" w:rsidP="00AE1703">
      <w:pPr>
        <w:pStyle w:val="affff6"/>
        <w:ind w:firstLine="420"/>
      </w:pPr>
      <w:r>
        <w:rPr>
          <w:rFonts w:hint="eastAsia"/>
        </w:rPr>
        <w:t>在灭菌过程中得到的最大剂量值，受辐照装置性能和产品装载模式的影响。因此，辐射装置或装载模式的改变将导致产品最大剂量的改变。在选择试验剂量时宜考虑到这种因素。</w:t>
      </w:r>
      <w:r w:rsidR="00FE113D">
        <w:rPr>
          <w:rFonts w:hint="eastAsia"/>
        </w:rPr>
        <w:t xml:space="preserve"> </w:t>
      </w:r>
    </w:p>
    <w:p w:rsidR="00FE113D" w:rsidRDefault="00FE113D" w:rsidP="00AE1703">
      <w:pPr>
        <w:pStyle w:val="affffffff7"/>
      </w:pPr>
      <w:r>
        <w:rPr>
          <w:rFonts w:hint="eastAsia"/>
        </w:rPr>
        <w:t>用于产品性能检测的辐照位置宜确保剂量确定的准确度，且剂量分布与实际情况保持一致。用于常规灭菌过程的辐照容器内通常有较大的剂量不均匀度，使得检测目的失去意义。如果使用常规的辐照容器，检测产品宜置于使剂量不均匀度最小化的位置。可能需要单独剂量分布，以确定所接受剂量的分布。这些剂量分布实验不必以与产品测试相同的剂量进行（见</w:t>
      </w:r>
      <w:r w:rsidR="0007307A">
        <w:rPr>
          <w:rFonts w:hint="eastAsia"/>
        </w:rPr>
        <w:t>注释</w:t>
      </w:r>
      <w:r>
        <w:rPr>
          <w:rFonts w:hint="eastAsia"/>
        </w:rPr>
        <w:t>）。使用低剂量可以使剂量测量系统在其操作范围内使用更准确的部分，从而提高剂量分布的总体准确性。可能有必要证明，使用不同的剂量并不会改变剂量分布。</w:t>
      </w:r>
    </w:p>
    <w:p w:rsidR="00FE113D" w:rsidRDefault="00FE113D" w:rsidP="0007307A">
      <w:pPr>
        <w:pStyle w:val="afff2"/>
      </w:pPr>
      <w:r>
        <w:rPr>
          <w:rFonts w:hint="eastAsia"/>
        </w:rPr>
        <w:t>此类剂量分布类似于性能鉴定(PQ)所要求的（见</w:t>
      </w:r>
      <w:r w:rsidR="0007307A">
        <w:rPr>
          <w:rFonts w:hint="eastAsia"/>
        </w:rPr>
        <w:t>第9章</w:t>
      </w:r>
      <w:r>
        <w:rPr>
          <w:rFonts w:hint="eastAsia"/>
        </w:rPr>
        <w:t>)</w:t>
      </w:r>
      <w:r w:rsidR="0007307A">
        <w:rPr>
          <w:rFonts w:hint="eastAsia"/>
        </w:rPr>
        <w:t>。</w:t>
      </w:r>
    </w:p>
    <w:p w:rsidR="00FE113D" w:rsidRDefault="00FE113D" w:rsidP="00AE1703">
      <w:pPr>
        <w:pStyle w:val="affffffff7"/>
      </w:pPr>
      <w:r>
        <w:rPr>
          <w:rFonts w:hint="eastAsia"/>
        </w:rPr>
        <w:lastRenderedPageBreak/>
        <w:t>如果辐照容器不能用于达到所需剂量均匀度或剂量大小的剂量，替代办法包括在正常过程流程之外进行辐照的非标准加工，例如，常规地通过即定的输送路径加工辐照容器的伽马辐照装置也可以通过“换面”或使用特殊的输送系统辐照产品。产品的“换面”加工可能涉及人工将产品放置在辐照装置内的固定位置。在转盘上旋转产品或在这些固定位置的加工台上手动操作产品可用于改善剂量均匀性。</w:t>
      </w:r>
    </w:p>
    <w:p w:rsidR="00FE113D" w:rsidRDefault="00FE113D" w:rsidP="00AE1703">
      <w:pPr>
        <w:pStyle w:val="affffffff7"/>
      </w:pPr>
      <w:r>
        <w:rPr>
          <w:rFonts w:hint="eastAsia"/>
        </w:rPr>
        <w:t>在解释试验结果和确认最大可接受剂量时宜谨慎。用于测试的产品单元通常不照射相同的剂量，而是照射一定剂量的范围。在这些情况下，最大可接受剂量是发现性能可接受的产品单元所接受的最低剂量。</w:t>
      </w:r>
    </w:p>
    <w:p w:rsidR="00FE113D" w:rsidRDefault="00FE113D" w:rsidP="00AE1703">
      <w:pPr>
        <w:pStyle w:val="affffffff7"/>
      </w:pPr>
      <w:r>
        <w:rPr>
          <w:rFonts w:hint="eastAsia"/>
        </w:rPr>
        <w:t>建立最大可接受剂量要求的剂量可能会超过有效剂量测量系统的校准范围。在这种情况下剂量可以按一定剂量増量进行辐照，同时监测每一个剂量増量。则总剂量等于各増量剂量的和。</w:t>
      </w:r>
    </w:p>
    <w:p w:rsidR="00FE113D" w:rsidRDefault="00FE113D" w:rsidP="0007307A">
      <w:pPr>
        <w:pStyle w:val="afff2"/>
      </w:pPr>
      <w:r>
        <w:rPr>
          <w:rFonts w:hint="eastAsia"/>
        </w:rPr>
        <w:t>例如，增量剂量可能不包括产品在常规加工中可能经历的辐照温度等因素的影响，而辐照温度可能会影响产品性能。</w:t>
      </w:r>
    </w:p>
    <w:p w:rsidR="00AE1703" w:rsidRDefault="00AE1703" w:rsidP="00AE1703">
      <w:pPr>
        <w:pStyle w:val="affc"/>
        <w:spacing w:before="312" w:after="312"/>
      </w:pPr>
      <w:bookmarkStart w:id="88" w:name="_Toc112783033"/>
      <w:bookmarkStart w:id="89" w:name="_Toc112844830"/>
      <w:r w:rsidRPr="00AE1703">
        <w:rPr>
          <w:rFonts w:hint="eastAsia"/>
        </w:rPr>
        <w:t>建立灭菌剂量</w:t>
      </w:r>
      <w:bookmarkEnd w:id="88"/>
      <w:bookmarkEnd w:id="89"/>
    </w:p>
    <w:p w:rsidR="00A55C97" w:rsidRDefault="00A55C97" w:rsidP="00A55C97">
      <w:pPr>
        <w:pStyle w:val="affffffff7"/>
      </w:pPr>
      <w:r>
        <w:rPr>
          <w:rFonts w:hint="eastAsia"/>
        </w:rPr>
        <w:t>灭菌剂量的建立方法（见ISO 11137-2和ISO/TS</w:t>
      </w:r>
      <w:r w:rsidR="0080225F">
        <w:t xml:space="preserve"> </w:t>
      </w:r>
      <w:r>
        <w:rPr>
          <w:rFonts w:hint="eastAsia"/>
        </w:rPr>
        <w:t>13004）要求产品或其部分（样品份额，SIP），在一个剂量或规定的公差内接受的辐照。为了避免影响剂量建立方法的结果，剂量测量系统宜足够准确和精确，以确保测量结果在方法规定的公差内。</w:t>
      </w:r>
    </w:p>
    <w:p w:rsidR="00A55C97" w:rsidRDefault="00A55C97" w:rsidP="0080225F">
      <w:pPr>
        <w:pStyle w:val="afff2"/>
      </w:pPr>
      <w:r>
        <w:rPr>
          <w:rFonts w:hint="eastAsia"/>
        </w:rPr>
        <w:t>本条款涉及为建立灭菌剂量而进行的剂量测量，但在要求的公差范围内传递剂量的原则也适用于灭菌剂量审核的辐照。</w:t>
      </w:r>
    </w:p>
    <w:p w:rsidR="00A55C97" w:rsidRDefault="00A55C97" w:rsidP="00A55C97">
      <w:pPr>
        <w:pStyle w:val="affffffff7"/>
      </w:pPr>
      <w:r>
        <w:rPr>
          <w:rFonts w:hint="eastAsia"/>
        </w:rPr>
        <w:t>在灭菌剂量建立方法规定的公差范围内的获得的剂量是基于获得给定产品单元或SIP表面/内部任何一点上的最小和最大剂测量。可能需要单个产品单元详细的剂量分布，特别是对电子束辐照。这种剂量分布类似于性能鉴定的要求（见第9章）。</w:t>
      </w:r>
    </w:p>
    <w:p w:rsidR="00A55C97" w:rsidRDefault="00A55C97" w:rsidP="00A55C97">
      <w:pPr>
        <w:pStyle w:val="affffffff7"/>
      </w:pPr>
      <w:r>
        <w:rPr>
          <w:rFonts w:hint="eastAsia"/>
        </w:rPr>
        <w:t>辐照产品装载模式宜选择使单个产品单元以及产品单元之间剂量变化最小的装载模式。有时有必要单独辐射某个产品单元。在特殊情况下，可能需要将产品拆分辐照并重新包装，以达到可接受的剂量范围。产品的拆分和重新包装可能会影响产品的生物负载。与此相关的内容，见ISO 11137-2:2013中5.4.1。</w:t>
      </w:r>
    </w:p>
    <w:p w:rsidR="00A55C97" w:rsidRDefault="00A55C97" w:rsidP="00A55C97">
      <w:pPr>
        <w:pStyle w:val="affffffff7"/>
      </w:pPr>
      <w:r>
        <w:rPr>
          <w:rFonts w:hint="eastAsia"/>
        </w:rPr>
        <w:t>为了确定产品或产品中各部分的吸收剂量范围，要进行剂量分布测量。要测量剂量分布不必使用与灭菌剂量建立相同的剂量（见注释）。可以使用更髙的剂量能确保剂量测量系统工作在其使用范围中更准确的那部分，从而提高整个剂量分布测量的准确性。可能有必要证明，使用不同的剂量并不会改变剂量分布。</w:t>
      </w:r>
    </w:p>
    <w:p w:rsidR="00A55C97" w:rsidRDefault="00A55C97" w:rsidP="0080225F">
      <w:pPr>
        <w:pStyle w:val="afff2"/>
      </w:pPr>
      <w:r>
        <w:rPr>
          <w:rFonts w:hint="eastAsia"/>
        </w:rPr>
        <w:t>这种剂量分布类似于性能鉴定的要求（见第9章)。</w:t>
      </w:r>
    </w:p>
    <w:p w:rsidR="00A55C97" w:rsidRDefault="00A55C97" w:rsidP="00A55C97">
      <w:pPr>
        <w:pStyle w:val="affffffff7"/>
      </w:pPr>
      <w:r>
        <w:rPr>
          <w:rFonts w:hint="eastAsia"/>
        </w:rPr>
        <w:t>宜对产品进行重复剂量分布实验，以量化和潜在地降低产品剂量测量的不确定度。在没有产品重复剂量分布实验数据的情况下，宜在每个辐照容器中放置足够的剂量计，以确定其位置并测量最小和最大剂量。</w:t>
      </w:r>
    </w:p>
    <w:p w:rsidR="00A55C97" w:rsidRDefault="00A55C97" w:rsidP="00A55C97">
      <w:pPr>
        <w:pStyle w:val="affffffff7"/>
      </w:pPr>
      <w:r>
        <w:rPr>
          <w:rFonts w:hint="eastAsia"/>
        </w:rPr>
        <w:t>在建立灭菌剂量时，在进行辐照时宜考虑到与剂量分布数据有关的测量不确定度，以确保满足规定的剂量允差。所采取的方法将取决于辐照和剂量监测的条件，但第9</w:t>
      </w:r>
      <w:r w:rsidR="00837D85">
        <w:rPr>
          <w:rFonts w:hint="eastAsia"/>
        </w:rPr>
        <w:t>章</w:t>
      </w:r>
      <w:r>
        <w:rPr>
          <w:rFonts w:hint="eastAsia"/>
        </w:rPr>
        <w:t>(</w:t>
      </w:r>
      <w:r w:rsidR="00837D85">
        <w:rPr>
          <w:rFonts w:hint="eastAsia"/>
        </w:rPr>
        <w:t>性能鉴定</w:t>
      </w:r>
      <w:r>
        <w:rPr>
          <w:rFonts w:hint="eastAsia"/>
        </w:rPr>
        <w:t>)和附</w:t>
      </w:r>
      <w:r w:rsidR="00837D85">
        <w:rPr>
          <w:rFonts w:hint="eastAsia"/>
        </w:rPr>
        <w:t>录</w:t>
      </w:r>
      <w:r>
        <w:rPr>
          <w:rFonts w:hint="eastAsia"/>
        </w:rPr>
        <w:t>D中涉及目标剂量计算的一般原则是相关的，宜酌情适用。</w:t>
      </w:r>
    </w:p>
    <w:p w:rsidR="00A55C97" w:rsidRDefault="00A55C97" w:rsidP="00A55C97">
      <w:pPr>
        <w:pStyle w:val="affffffff7"/>
      </w:pPr>
      <w:r>
        <w:rPr>
          <w:rFonts w:hint="eastAsia"/>
        </w:rPr>
        <w:t>以剂量设定为目的的γ射线辐照通常使用某一专门的辐照装置，可用于低于灭菌剂量或辐照装置中常规产品路径以外的限定位置的辐照，例如：在一个旋转小车，或一种为低剂量辐照设计的特殊辐照路径。</w:t>
      </w:r>
    </w:p>
    <w:p w:rsidR="00A55C97" w:rsidRDefault="00A55C97" w:rsidP="00A55C97">
      <w:pPr>
        <w:pStyle w:val="affffffff7"/>
      </w:pPr>
      <w:r>
        <w:rPr>
          <w:rFonts w:hint="eastAsia"/>
        </w:rPr>
        <w:t>以建立剂量为目的的电子束或X射线辐照通常可以在用于灭菌的辐照装置中进行，可通过降低辐照装置束流、增加传输速度和/或其他减少产品在电子束中的停留时间来达到低剂量照射。</w:t>
      </w:r>
    </w:p>
    <w:p w:rsidR="00A55C97" w:rsidRDefault="00A55C97" w:rsidP="00A55C97">
      <w:pPr>
        <w:pStyle w:val="affff6"/>
        <w:ind w:firstLine="420"/>
      </w:pPr>
      <w:r>
        <w:rPr>
          <w:rFonts w:hint="eastAsia"/>
        </w:rPr>
        <w:lastRenderedPageBreak/>
        <w:t>为获得低剂量，在选择电子束或x射线设施上的电子束参数时宜谨慎。例如，在一些电子加速器中，如果束流发生改变，电子能量可能会发生改变，从而影响剂量分布。</w:t>
      </w:r>
    </w:p>
    <w:p w:rsidR="00A55C97" w:rsidRDefault="00A55C97" w:rsidP="00A55C97">
      <w:pPr>
        <w:pStyle w:val="affffffff7"/>
      </w:pPr>
      <w:r>
        <w:rPr>
          <w:rFonts w:hint="eastAsia"/>
        </w:rPr>
        <w:t>使用电子束辐照时，可以将产品用材料包围以散射电子，从而得到更均匀的剂量分布。宜记录周围所使用材料的性质。类似的技术也可能适用于X射线辐照，因为某些X射线辐照装置设计产生的单向光束可能会导致不可接受的剂量不均匀度。</w:t>
      </w:r>
    </w:p>
    <w:p w:rsidR="00A55C97" w:rsidRDefault="00A55C97" w:rsidP="00A55C97">
      <w:pPr>
        <w:pStyle w:val="affffffff7"/>
      </w:pPr>
      <w:r>
        <w:rPr>
          <w:rFonts w:hint="eastAsia"/>
        </w:rPr>
        <w:t>对于ISO11137-2和ISO/TS13004中给出的每种灭菌剂量建立方法，都规定了所传递剂量的公差。这些都总结在附</w:t>
      </w:r>
      <w:r w:rsidR="00837D85">
        <w:rPr>
          <w:rFonts w:hint="eastAsia"/>
        </w:rPr>
        <w:t>录</w:t>
      </w:r>
      <w:r>
        <w:rPr>
          <w:rFonts w:hint="eastAsia"/>
        </w:rPr>
        <w:t>C中。在不满足公差的情况下应采取的措施根据灭菌剂量建立方法而有所不同，并在ISO11137-2和ISO/TS13004中描述。</w:t>
      </w:r>
    </w:p>
    <w:p w:rsidR="00AE1703" w:rsidRDefault="00A55C97" w:rsidP="00837D85">
      <w:pPr>
        <w:pStyle w:val="afff2"/>
      </w:pPr>
      <w:r>
        <w:rPr>
          <w:rFonts w:hint="eastAsia"/>
        </w:rPr>
        <w:t>ISO11137-2：2013和ISO/TS13004中的剂量公差以及如这些公差未能满足应采取的措施与ISO11137-2：2006中给出的不同。</w:t>
      </w:r>
    </w:p>
    <w:p w:rsidR="00A55C97" w:rsidRDefault="00A55C97" w:rsidP="00A55C97">
      <w:pPr>
        <w:pStyle w:val="affc"/>
        <w:spacing w:before="312" w:after="312"/>
      </w:pPr>
      <w:bookmarkStart w:id="90" w:name="_Toc112783034"/>
      <w:bookmarkStart w:id="91" w:name="_Toc112844831"/>
      <w:r w:rsidRPr="00A55C97">
        <w:rPr>
          <w:rFonts w:hint="eastAsia"/>
        </w:rPr>
        <w:t>安装鉴定</w:t>
      </w:r>
      <w:bookmarkEnd w:id="90"/>
      <w:bookmarkEnd w:id="91"/>
    </w:p>
    <w:p w:rsidR="00A55C97" w:rsidRDefault="00A55C97" w:rsidP="00A55C97">
      <w:pPr>
        <w:pStyle w:val="affffffff7"/>
      </w:pPr>
      <w:r>
        <w:rPr>
          <w:rFonts w:hint="eastAsia"/>
        </w:rPr>
        <w:t>安装鉴定的目的是证明辐照装置已经按照其说明书提供并进行了安装。</w:t>
      </w:r>
    </w:p>
    <w:p w:rsidR="00A55C97" w:rsidRDefault="00A55C97" w:rsidP="00B76945">
      <w:pPr>
        <w:pStyle w:val="afff2"/>
      </w:pPr>
      <w:r>
        <w:rPr>
          <w:rFonts w:hint="eastAsia"/>
        </w:rPr>
        <w:t>本文件和ISO11137-1的一些条款中给出了安装鉴定中所需的各种剂量学相关活动的信息。为方便起见，表B.1列出了本文档和ISO11137-1中适用条款的位置。</w:t>
      </w:r>
    </w:p>
    <w:p w:rsidR="00A55C97" w:rsidRDefault="00A55C97" w:rsidP="00A55C97">
      <w:pPr>
        <w:pStyle w:val="affffffff7"/>
      </w:pPr>
      <w:r>
        <w:rPr>
          <w:rFonts w:hint="eastAsia"/>
        </w:rPr>
        <w:t>ISO 11137-1对测量电子束或X射线辐照装置的特性有一定的要求。这些特性包括电子束或X射线的能量、平均束流，如适用，还包括扫描宽度和扫描均匀性。特性的详细资料取决于辐照装置的设计和结构。在本部分的7.4</w:t>
      </w:r>
      <w:r w:rsidR="00B76945">
        <w:rPr>
          <w:rFonts w:hint="eastAsia"/>
        </w:rPr>
        <w:t>至</w:t>
      </w:r>
      <w:r>
        <w:rPr>
          <w:rFonts w:hint="eastAsia"/>
        </w:rPr>
        <w:t>7.7中有一些例子，但还不够详尽。</w:t>
      </w:r>
    </w:p>
    <w:p w:rsidR="00A55C97" w:rsidRDefault="00A55C97" w:rsidP="00A55C97">
      <w:pPr>
        <w:pStyle w:val="affffffff7"/>
      </w:pPr>
      <w:r>
        <w:rPr>
          <w:rFonts w:hint="eastAsia"/>
        </w:rPr>
        <w:t>确定电子束特性的大多数方法涉及可追溯到适当的国家或国际标准的剂量测量。确定某些特性（例如，扫描宽度）可能不涉及可追溯的剂量测量。</w:t>
      </w:r>
    </w:p>
    <w:p w:rsidR="00A55C97" w:rsidRDefault="00A55C97" w:rsidP="00A55C97">
      <w:pPr>
        <w:pStyle w:val="affffffff7"/>
      </w:pPr>
      <w:r>
        <w:rPr>
          <w:rFonts w:hint="eastAsia"/>
        </w:rPr>
        <w:t>对于X射线辐照装置，在安装鉴定过程中，要求测量电子束能量或X射线的能量。目前还没有公布的工业X射线束能量测量的标准方法。在X射线辐照装置设计允许的情况下，可以按照标准方法(见ISO/ASTM51649)测量入射在X射线靶上的电子束能量。</w:t>
      </w:r>
    </w:p>
    <w:p w:rsidR="00A55C97" w:rsidRDefault="00A55C97" w:rsidP="00B76945">
      <w:pPr>
        <w:pStyle w:val="afff2"/>
      </w:pPr>
      <w:r>
        <w:rPr>
          <w:rFonts w:hint="eastAsia"/>
        </w:rPr>
        <w:t>工业x射线束能量测量的方法已经发布[25]，但这些不是标准方法。</w:t>
      </w:r>
    </w:p>
    <w:p w:rsidR="00A55C97" w:rsidRDefault="00A55C97" w:rsidP="00A55C97">
      <w:pPr>
        <w:pStyle w:val="affffffff7"/>
      </w:pPr>
      <w:r>
        <w:rPr>
          <w:rFonts w:hint="eastAsia"/>
        </w:rPr>
        <w:t>对于使用扫描和脉冲型电子束的电子加速器，电子束脉冲和扫描之间有足够的重叠以在产品表面提供所需的剂量均匀度非常重要。这涉及考虑扫描频率、扫描宽度、脉冲重复频率（对于脉冲加速器）以及传送带速度之间的关系相对于产品表面未扫描电子束的横截面分布(见ISO/ASTM51649)。</w:t>
      </w:r>
    </w:p>
    <w:p w:rsidR="00A55C97" w:rsidRDefault="00A55C97" w:rsidP="00A55C97">
      <w:pPr>
        <w:pStyle w:val="affffffff7"/>
      </w:pPr>
      <w:r>
        <w:rPr>
          <w:rFonts w:hint="eastAsia"/>
        </w:rPr>
        <w:t>扫描均匀性的特性在许多情况下包括产品运行方向和垂直于产品运行方向上的剂量均匀性的测量。</w:t>
      </w:r>
    </w:p>
    <w:p w:rsidR="00A55C97" w:rsidRDefault="00A55C97" w:rsidP="00A55C97">
      <w:pPr>
        <w:pStyle w:val="affffffff7"/>
      </w:pPr>
      <w:r>
        <w:rPr>
          <w:rFonts w:hint="eastAsia"/>
        </w:rPr>
        <w:t>电子束特性的测量方法细节可以参照ISO/ASTM 51649和ISO/ASTM51818，X射线特性的细节可参照ISO/ASTM 51608。</w:t>
      </w:r>
    </w:p>
    <w:p w:rsidR="00A55C97" w:rsidRDefault="00A55C97" w:rsidP="00A55C97">
      <w:pPr>
        <w:pStyle w:val="affffffff7"/>
      </w:pPr>
      <w:r>
        <w:rPr>
          <w:rFonts w:hint="eastAsia"/>
        </w:rPr>
        <w:t>对于γ辐照装置的安装鉴定没有专门的剂量测量要求。但是，按照辐照装置规定，在安装鉴定过程中有必要进行剂量测量和/或剂量分布测量，以验证操作是否在规定范围内。例如，包括规定的剂量率和剂量均匀性。剂量测量类似于那些用在运行鉴定中的方法。</w:t>
      </w:r>
    </w:p>
    <w:p w:rsidR="00387F13" w:rsidRDefault="00387F13" w:rsidP="00387F13">
      <w:pPr>
        <w:pStyle w:val="affc"/>
        <w:spacing w:before="312" w:after="312"/>
      </w:pPr>
      <w:bookmarkStart w:id="92" w:name="_Toc112783035"/>
      <w:bookmarkStart w:id="93" w:name="_Toc112844832"/>
      <w:r w:rsidRPr="00387F13">
        <w:rPr>
          <w:rFonts w:hint="eastAsia"/>
        </w:rPr>
        <w:t>运行鉴定</w:t>
      </w:r>
      <w:bookmarkEnd w:id="92"/>
      <w:bookmarkEnd w:id="93"/>
    </w:p>
    <w:p w:rsidR="00387F13" w:rsidRDefault="00387F13" w:rsidP="00387F13">
      <w:pPr>
        <w:pStyle w:val="affd"/>
        <w:spacing w:before="156" w:after="156"/>
      </w:pPr>
      <w:bookmarkStart w:id="94" w:name="_Toc112783036"/>
      <w:bookmarkStart w:id="95" w:name="_Toc112844833"/>
      <w:r w:rsidRPr="00387F13">
        <w:rPr>
          <w:rFonts w:hint="eastAsia"/>
        </w:rPr>
        <w:t>总则</w:t>
      </w:r>
      <w:bookmarkEnd w:id="94"/>
      <w:bookmarkEnd w:id="95"/>
    </w:p>
    <w:p w:rsidR="00387F13" w:rsidRDefault="00387F13" w:rsidP="00387F13">
      <w:pPr>
        <w:pStyle w:val="affffffffa"/>
      </w:pPr>
      <w:r>
        <w:rPr>
          <w:rFonts w:hint="eastAsia"/>
        </w:rPr>
        <w:t>运行鉴定的目的是证明已安装的辐照装置能在标准可接受范围内运行和给予适当的剂量。可通过确定剂量分布和剂量大小的剂量分布实验和确定与剂量分布相关的过程参数来完成。</w:t>
      </w:r>
    </w:p>
    <w:p w:rsidR="00387F13" w:rsidRDefault="00387F13" w:rsidP="00387F13">
      <w:pPr>
        <w:pStyle w:val="affffffffa"/>
      </w:pPr>
      <w:r>
        <w:rPr>
          <w:rFonts w:hint="eastAsia"/>
        </w:rPr>
        <w:t>以显示一致和稳定操作的重复测量是运行鉴定的一个重要组成部分，宜在规定的时间间隔内进行，并在可能影响剂量或剂量分布的任何变化之后进行，如伽马设施中的源补充或输送系统的改造。运</w:t>
      </w:r>
      <w:r>
        <w:rPr>
          <w:rFonts w:hint="eastAsia"/>
        </w:rPr>
        <w:lastRenderedPageBreak/>
        <w:t>行鉴定的总策略应基于辐照装置的预期操作方法。</w:t>
      </w:r>
    </w:p>
    <w:p w:rsidR="00387F13" w:rsidRDefault="00387F13" w:rsidP="007A51C3">
      <w:pPr>
        <w:pStyle w:val="afff2"/>
      </w:pPr>
      <w:r>
        <w:rPr>
          <w:rFonts w:hint="eastAsia"/>
        </w:rPr>
        <w:t>本文件和ISO 11137-1的一些条款中给出了运行鉴定要求的各种剂量学相关活动的信息。为方便起见，表B.2列出了本文档和ISO 11137-1中适用条款的位置。</w:t>
      </w:r>
    </w:p>
    <w:p w:rsidR="00387F13" w:rsidRDefault="00387F13" w:rsidP="00387F13">
      <w:pPr>
        <w:pStyle w:val="affd"/>
        <w:spacing w:before="156" w:after="156"/>
      </w:pPr>
      <w:bookmarkStart w:id="96" w:name="_Toc112783037"/>
      <w:bookmarkStart w:id="97" w:name="_Toc112844834"/>
      <w:r w:rsidRPr="00387F13">
        <w:rPr>
          <w:rFonts w:hint="eastAsia"/>
        </w:rPr>
        <w:t>γ辐照装置</w:t>
      </w:r>
      <w:bookmarkEnd w:id="96"/>
      <w:bookmarkEnd w:id="97"/>
    </w:p>
    <w:p w:rsidR="00BC48B7" w:rsidRDefault="00BC48B7" w:rsidP="00BC48B7">
      <w:pPr>
        <w:pStyle w:val="affffffffa"/>
      </w:pPr>
      <w:r>
        <w:rPr>
          <w:rFonts w:hint="eastAsia"/>
        </w:rPr>
        <w:t>运行鉴定的剂量分布是用来描述辐照装置在规定装载模式下的剂量分布和重复性，并用来确定辐照过程中断对整个辐照容器剂量的影响。</w:t>
      </w:r>
    </w:p>
    <w:p w:rsidR="00BC48B7" w:rsidRDefault="00BC48B7" w:rsidP="00BC48B7">
      <w:pPr>
        <w:pStyle w:val="affffffffa"/>
      </w:pPr>
      <w:r>
        <w:rPr>
          <w:rFonts w:hint="eastAsia"/>
        </w:rPr>
        <w:t>剂量分布宜通过把剂量计放在满足辐照装置设计尺度并装载密度均匀材料的辐照容器内进行测量。至少需要进行两个剂量分布实验，一个使用辐照装置所适用密度范围下限的材料来进行，另一个用密度范围上限的材料来进行。辐照装置的每个路径都需要进行运行鉴定测量（ISO 11137-1：2006,9.2.6）。</w:t>
      </w:r>
    </w:p>
    <w:p w:rsidR="00BC48B7" w:rsidRDefault="00BC48B7" w:rsidP="00BC48B7">
      <w:pPr>
        <w:pStyle w:val="affff6"/>
        <w:ind w:firstLine="420"/>
      </w:pPr>
      <w:r>
        <w:rPr>
          <w:rFonts w:hint="eastAsia"/>
        </w:rPr>
        <w:t>在许多伽马辐照装置设计中，辐照时间和最小剂量之间的关系在限定的密度范围内不是线性的。在这种情况下，可以进行两次以上不同密度的剂量分布实验，以确定辐照装置的性能特征。</w:t>
      </w:r>
    </w:p>
    <w:p w:rsidR="00BC48B7" w:rsidRDefault="00BC48B7" w:rsidP="00BD3E2F">
      <w:pPr>
        <w:pStyle w:val="afff2"/>
      </w:pPr>
      <w:r>
        <w:rPr>
          <w:rFonts w:hint="eastAsia"/>
        </w:rPr>
        <w:t>密度均匀的材料可能是，例如，膨胀聚乙烯泡沫薄板或板，纸板或木材。</w:t>
      </w:r>
    </w:p>
    <w:p w:rsidR="00BC48B7" w:rsidRDefault="00BC48B7" w:rsidP="00BC48B7">
      <w:pPr>
        <w:pStyle w:val="affffffffa"/>
      </w:pPr>
      <w:r>
        <w:rPr>
          <w:rFonts w:hint="eastAsia"/>
        </w:rPr>
        <w:t>在每一选定密度下宜对足够数量（至少3个）的辐照容器进行剂量分布测量以检测不同容器之间的剂量和剂量分布的差异。根据以前进行的运行鉴定中对同种或类似辐照装置得到的信息确定重复进行剂量分布测量的细节和数量。因此新的辐照装置，比再鉴定剂量分布测试的辐照装置需要进行更多的重复性剂量分布测试。</w:t>
      </w:r>
    </w:p>
    <w:p w:rsidR="00BC48B7" w:rsidRDefault="00BC48B7" w:rsidP="00BC48B7">
      <w:pPr>
        <w:pStyle w:val="affff6"/>
        <w:ind w:firstLine="420"/>
      </w:pPr>
      <w:r>
        <w:rPr>
          <w:rFonts w:hint="eastAsia"/>
        </w:rPr>
        <w:t>在运行鉴定的剂量分布测试中，辐照装置需要放置足够数量的辐照容器以有效模拟装满特定密度材料的辐照容器的辐照装置的剂量分布情况。所需数量取决于辐照容器的设计。至少，任何在附近或在源和进行剂量分布辐照容器之间的辐照容器宜含有相同密度的材料。</w:t>
      </w:r>
    </w:p>
    <w:p w:rsidR="00BC48B7" w:rsidRDefault="00BC48B7" w:rsidP="00BC48B7">
      <w:pPr>
        <w:pStyle w:val="affffffffa"/>
      </w:pPr>
      <w:r>
        <w:rPr>
          <w:rFonts w:hint="eastAsia"/>
        </w:rPr>
        <w:t>单个剂量计，剂量条或剂量片宜放置充足数量在辐照容器中，以确定剂量分布。剂量计的数量取决于辐照容器的尺寸和辐照装置的设计。例如：对一个1.0m×1.0m×0.5m尺寸的容器，剂量计可以以10cm的三维网格空间布放（也就是每隔10cm）在容器内，至少在面向源的外部平面和容器的中间平面上。</w:t>
      </w:r>
    </w:p>
    <w:p w:rsidR="00BC48B7" w:rsidRDefault="00BC48B7" w:rsidP="00BC48B7">
      <w:pPr>
        <w:pStyle w:val="affff6"/>
        <w:ind w:firstLine="420"/>
      </w:pPr>
      <w:r>
        <w:rPr>
          <w:rFonts w:hint="eastAsia"/>
        </w:rPr>
        <w:t>对于剂量分布没有预期变化的再鉴定的剂量分布，先前的实验数据可以用来优化剂量计的布放位置，以便剂量计可以集中在潜在的最小和最大剂量以及高剂量梯度的区域。</w:t>
      </w:r>
    </w:p>
    <w:p w:rsidR="00BC48B7" w:rsidRDefault="00BC48B7" w:rsidP="00BC48B7">
      <w:pPr>
        <w:pStyle w:val="affff6"/>
        <w:ind w:firstLine="420"/>
      </w:pPr>
      <w:r>
        <w:rPr>
          <w:rFonts w:hint="eastAsia"/>
        </w:rPr>
        <w:t>在包括基准测试在内的适当的质量保证程序下，数学模型方法也可能有助于优化剂量计的布放位置，并可能减少在剂量分布实验中使用的剂量计的数量。见附录A。</w:t>
      </w:r>
    </w:p>
    <w:p w:rsidR="00BC48B7" w:rsidRDefault="00BC48B7" w:rsidP="00BC48B7">
      <w:pPr>
        <w:pStyle w:val="affffffffa"/>
      </w:pPr>
      <w:r>
        <w:rPr>
          <w:rFonts w:hint="eastAsia"/>
        </w:rPr>
        <w:t>运行鉴定剂量分布实验获得的数据可用于建立</w:t>
      </w:r>
    </w:p>
    <w:p w:rsidR="00BC48B7" w:rsidRDefault="00BC48B7" w:rsidP="00BC48B7">
      <w:pPr>
        <w:pStyle w:val="af2"/>
      </w:pPr>
      <w:r>
        <w:rPr>
          <w:rFonts w:hint="eastAsia"/>
        </w:rPr>
        <w:t>计时器设置和/或输送速度与不同密度的材料辐照容器内某一点的剂量大小之间的关系，以及</w:t>
      </w:r>
    </w:p>
    <w:p w:rsidR="00BC48B7" w:rsidRDefault="00BC48B7" w:rsidP="00BC48B7">
      <w:pPr>
        <w:pStyle w:val="af2"/>
      </w:pPr>
      <w:r>
        <w:rPr>
          <w:rFonts w:hint="eastAsia"/>
        </w:rPr>
        <w:t>辐照容器内的剂量均匀性与材料密度之间的关系。</w:t>
      </w:r>
    </w:p>
    <w:p w:rsidR="00BC48B7" w:rsidRDefault="00BC48B7" w:rsidP="00BC48B7">
      <w:pPr>
        <w:pStyle w:val="affff6"/>
        <w:ind w:firstLine="420"/>
      </w:pPr>
      <w:r>
        <w:rPr>
          <w:rFonts w:hint="eastAsia"/>
        </w:rPr>
        <w:t>近似关系可以从辐照装置生产厂或数学模型计算得到。剂量分布的数据可以用来修正特定辐照装置的这些近似关系。</w:t>
      </w:r>
    </w:p>
    <w:p w:rsidR="00BC48B7" w:rsidRDefault="00BC48B7" w:rsidP="00BC48B7">
      <w:pPr>
        <w:pStyle w:val="affffffffa"/>
      </w:pPr>
      <w:r>
        <w:rPr>
          <w:rFonts w:hint="eastAsia"/>
        </w:rPr>
        <w:t>为了评估辐照过程中断对整个辐照容器的剂量的影响，宜实施特定的剂量测量。实施这些测量的一种方法是辐照一个在如8.2.4所述位置布放剂量计的辐照容器，在预计受源移动影响最大的区域，并在该辐照容器靠近源时中断过程。过程中断影响的评估通过对比在正常过程条件下进行的剂量分布实验所获得的数据得到。可能需要进行多次过程中断以准确评估其影响。</w:t>
      </w:r>
    </w:p>
    <w:p w:rsidR="00BC48B7" w:rsidRDefault="00BC48B7" w:rsidP="00C8169A">
      <w:pPr>
        <w:pStyle w:val="afff2"/>
      </w:pPr>
      <w:r>
        <w:rPr>
          <w:rFonts w:hint="eastAsia"/>
        </w:rPr>
        <w:t>使用数学模型来计算过程中断的影响可能会作为测量的补充。</w:t>
      </w:r>
    </w:p>
    <w:p w:rsidR="00BC48B7" w:rsidRDefault="00BC48B7" w:rsidP="00BC48B7">
      <w:pPr>
        <w:pStyle w:val="affff6"/>
        <w:ind w:firstLine="420"/>
      </w:pPr>
      <w:r>
        <w:rPr>
          <w:rFonts w:hint="eastAsia"/>
        </w:rPr>
        <w:t>过程中断的影响可能不必每个运行鉴定确定。例如，源补充后，辐照容器内的剂量分布可能与之前进行过程中断研究时的剂量分布相似。在这种情况下，可能不需要过程中断研究。在运行鉴定中不包括过程中断研究的合理理由宜形成文件。</w:t>
      </w:r>
    </w:p>
    <w:p w:rsidR="00BC48B7" w:rsidRDefault="00BC48B7" w:rsidP="00BC48B7">
      <w:pPr>
        <w:pStyle w:val="affffffffa"/>
      </w:pPr>
      <w:r>
        <w:rPr>
          <w:rFonts w:hint="eastAsia"/>
        </w:rPr>
        <w:t>过程中断可导致最小和最大剂量的大小以及这些极端情况发生的位置的变化。在常规加工中，宜考虑在产品剂量未超出</w:t>
      </w:r>
      <w:r w:rsidR="00C8169A">
        <w:rPr>
          <w:rFonts w:hint="eastAsia"/>
        </w:rPr>
        <w:t>规范</w:t>
      </w:r>
      <w:r>
        <w:rPr>
          <w:rFonts w:hint="eastAsia"/>
        </w:rPr>
        <w:t>的情况下可能发生的允许中断次数。这将取决于在正常的、不间断的加工</w:t>
      </w:r>
      <w:r>
        <w:rPr>
          <w:rFonts w:hint="eastAsia"/>
        </w:rPr>
        <w:lastRenderedPageBreak/>
        <w:t>过程中，剂量接近规定限值的程度。</w:t>
      </w:r>
    </w:p>
    <w:p w:rsidR="00BC48B7" w:rsidRDefault="00BC48B7" w:rsidP="00C8169A">
      <w:pPr>
        <w:pStyle w:val="afff2"/>
      </w:pPr>
      <w:r>
        <w:rPr>
          <w:rFonts w:hint="eastAsia"/>
        </w:rPr>
        <w:t>关于进行过程中断剂量分布实验的额外指南，见ISO/ASTM52303和AAMITIR29。</w:t>
      </w:r>
    </w:p>
    <w:p w:rsidR="00BC48B7" w:rsidRDefault="00BC48B7" w:rsidP="00BC48B7">
      <w:pPr>
        <w:pStyle w:val="affffffffa"/>
      </w:pPr>
      <w:r>
        <w:rPr>
          <w:rFonts w:hint="eastAsia"/>
        </w:rPr>
        <w:t>对特殊的传输系统或者对于人工放置产品所指定的辐照固定位置，宜进行剂量分布实验。这些位置产品的剂量分布可能受到主要辐照装置路径中存在的产品的影响。宜考虑使用此类传送带或位置的条件状况对剂量学校准和不确定度(见ISO/ASTM51261)的影响，例如：剂量率和温度。因此，可能需要为每个辐照装置路径和固定位置建立一个剂量学系统校准曲线。这可能需要生成一个新的校准曲线或验证一个现有的曲线。</w:t>
      </w:r>
    </w:p>
    <w:p w:rsidR="00251E7D" w:rsidRDefault="00251E7D" w:rsidP="00251E7D">
      <w:pPr>
        <w:pStyle w:val="affffffffa"/>
      </w:pPr>
      <w:r>
        <w:rPr>
          <w:rFonts w:hint="eastAsia"/>
        </w:rPr>
        <w:t>额外的剂量分布研究可以提供数据以减少在性能鉴定中的剂量分布研究(见第9章)。这些研究例子包括确定部分填充的辐照容器的效果和在辐照容器的中心装载产品，以获得期望的剂量不均匀度。</w:t>
      </w:r>
    </w:p>
    <w:p w:rsidR="00251E7D" w:rsidRDefault="00251E7D" w:rsidP="00251E7D">
      <w:pPr>
        <w:pStyle w:val="affff6"/>
        <w:ind w:firstLine="420"/>
        <w:rPr>
          <w:noProof w:val="0"/>
        </w:rPr>
      </w:pPr>
      <w:r>
        <w:rPr>
          <w:rFonts w:hint="eastAsia"/>
          <w:noProof w:val="0"/>
        </w:rPr>
        <w:t>辐照容器中非满载所接受的剂量要大于满载，因此在剂量分布实验中剂量计宜放在非满载和其剂量分布可能受到任何非满载辐照容器影响的满载辐照容器的可能的最大剂量区域。</w:t>
      </w:r>
    </w:p>
    <w:p w:rsidR="00251E7D" w:rsidRDefault="00251E7D" w:rsidP="00C8169A">
      <w:pPr>
        <w:pStyle w:val="afff2"/>
      </w:pPr>
      <w:r>
        <w:rPr>
          <w:rFonts w:hint="eastAsia"/>
        </w:rPr>
        <w:t>与满载的辐照容器相比，辐照容器中心装载产品会导致剂量大小和分布的变化。</w:t>
      </w:r>
    </w:p>
    <w:p w:rsidR="00BC48B7" w:rsidRDefault="00BC48B7" w:rsidP="00251E7D">
      <w:pPr>
        <w:pStyle w:val="affffffffa"/>
      </w:pPr>
      <w:r>
        <w:rPr>
          <w:rFonts w:hint="eastAsia"/>
        </w:rPr>
        <w:t>进一步的剂量分布宜用来确定在加工某一特定密度的产品之前或之后加工不同密度的产品可能产生的对剂量的大小和分布的影响。可接受的可以在一起加工的密度范围，可依据这些剂量分布实验结果来确定。密度变化对剂量大小和分布的影响将取决于辐照装置的设计以及密度变化如何引入辐照装置。待剂量分布实验的辐照容器中材料的密度宜代表常规一起加工的密度范围。宜进行足够数量可能受到周围密度变化影响的辐照容器的剂量分布。宜将剂量分布数据与从密度没有变化的辐照容器中获得的数据进行比较（见8.2.3）。</w:t>
      </w:r>
    </w:p>
    <w:p w:rsidR="00387F13" w:rsidRDefault="00BC48B7" w:rsidP="00251E7D">
      <w:pPr>
        <w:pStyle w:val="affffffffa"/>
      </w:pPr>
      <w:r>
        <w:rPr>
          <w:rFonts w:hint="eastAsia"/>
        </w:rPr>
        <w:t>在实际产品装载中，运行鉴定剂量分布实验获得的数据通常能够提供最大剂量和最小剂量可能的位置。</w:t>
      </w:r>
    </w:p>
    <w:p w:rsidR="00251E7D" w:rsidRDefault="00251E7D" w:rsidP="00251E7D">
      <w:pPr>
        <w:pStyle w:val="affd"/>
        <w:spacing w:before="156" w:after="156"/>
      </w:pPr>
      <w:bookmarkStart w:id="98" w:name="_Toc112783038"/>
      <w:bookmarkStart w:id="99" w:name="_Toc112844835"/>
      <w:r w:rsidRPr="00251E7D">
        <w:rPr>
          <w:rFonts w:hint="eastAsia"/>
        </w:rPr>
        <w:t>电子束辐照装置</w:t>
      </w:r>
      <w:bookmarkEnd w:id="98"/>
      <w:bookmarkEnd w:id="99"/>
    </w:p>
    <w:p w:rsidR="00251E7D" w:rsidRDefault="00251E7D" w:rsidP="00251E7D">
      <w:pPr>
        <w:pStyle w:val="affffffffa"/>
      </w:pPr>
      <w:r>
        <w:rPr>
          <w:rFonts w:hint="eastAsia"/>
        </w:rPr>
        <w:t>运行鉴定的剂量分布是用来描述辐照装置在确定的装载方式中的剂量分布和重复性，并用来确定过程中断对整个辐照容器剂量的影响。</w:t>
      </w:r>
    </w:p>
    <w:p w:rsidR="00251E7D" w:rsidRDefault="00251E7D" w:rsidP="00251E7D">
      <w:pPr>
        <w:pStyle w:val="affff6"/>
        <w:ind w:firstLine="420"/>
      </w:pPr>
      <w:r>
        <w:rPr>
          <w:rFonts w:hint="eastAsia"/>
        </w:rPr>
        <w:t>宜在产品辐照所用的电子束能量处进行剂量分布。如果使用了一种以上的能量，则宜对每一种能量进行运行鉴定剂量分布。如果使用一个以上的扫描宽度，则宜使用选定的扫描宽度进行运行鉴定剂量分布，以覆盖产品辐照所使用的操作限制。</w:t>
      </w:r>
    </w:p>
    <w:p w:rsidR="00251E7D" w:rsidRDefault="00251E7D" w:rsidP="00251E7D">
      <w:pPr>
        <w:pStyle w:val="affffffffa"/>
      </w:pPr>
      <w:r>
        <w:rPr>
          <w:rFonts w:hint="eastAsia"/>
        </w:rPr>
        <w:t>剂量分布宜通过把剂量计放在满足辐照容器设计尺度并装填密度均匀材料的辐照容器内进行测量，其密度要在所用辐照装置设计的密度范围内。通常情况下，运行鉴定剂量分布测试只使用一种密度进行，但是，使用多种密度测试可以获得更多的详细信息。例如：对密度接近于辐照装置密度范围界限的材料进行辐照。</w:t>
      </w:r>
    </w:p>
    <w:p w:rsidR="00251E7D" w:rsidRDefault="00251E7D" w:rsidP="002B308B">
      <w:pPr>
        <w:pStyle w:val="afff2"/>
      </w:pPr>
      <w:r>
        <w:rPr>
          <w:rFonts w:hint="eastAsia"/>
        </w:rPr>
        <w:t>密度均匀的材料可能是，例如，膨胀聚乙烯泡沫薄板或板。</w:t>
      </w:r>
    </w:p>
    <w:p w:rsidR="00251E7D" w:rsidRDefault="00251E7D" w:rsidP="00251E7D">
      <w:pPr>
        <w:pStyle w:val="affff6"/>
        <w:ind w:firstLine="420"/>
      </w:pPr>
      <w:r>
        <w:rPr>
          <w:rFonts w:hint="eastAsia"/>
        </w:rPr>
        <w:t>建议使用单侧辐照进行运行鉴定剂量分布，以获得最大限度地辐照装置一致和稳定运行的信息。</w:t>
      </w:r>
    </w:p>
    <w:p w:rsidR="00251E7D" w:rsidRDefault="00251E7D" w:rsidP="00251E7D">
      <w:pPr>
        <w:pStyle w:val="affffffffa"/>
      </w:pPr>
      <w:r>
        <w:rPr>
          <w:rFonts w:hint="eastAsia"/>
        </w:rPr>
        <w:t>对选定的一个的密度，宜辐照足够多的辐照容器（至少3个），得出反映各容器内和容器之间剂量和剂量分布变异性的剂量分布。根据以前逬行的运行鉴定中对同种或类似辐照装置得到的信息确定重复进行剂量分布测量的细节和数量。这意味着一个新辐照装置可能比再鉴定剂量分布实验需要进行更多的重复性剂量分布测试。</w:t>
      </w:r>
    </w:p>
    <w:p w:rsidR="00251E7D" w:rsidRDefault="00251E7D" w:rsidP="00251E7D">
      <w:pPr>
        <w:pStyle w:val="affff6"/>
        <w:ind w:firstLine="420"/>
      </w:pPr>
      <w:r>
        <w:rPr>
          <w:rFonts w:hint="eastAsia"/>
        </w:rPr>
        <w:t>电子束辐照装置通常设计为使辐照容器通过辐射场传输，该辐射场可能包括或可能不包括容器之间的分离。通常，容器之间分离可能会发生</w:t>
      </w:r>
    </w:p>
    <w:p w:rsidR="00251E7D" w:rsidRDefault="00251E7D" w:rsidP="00251E7D">
      <w:pPr>
        <w:pStyle w:val="af5"/>
      </w:pPr>
      <w:r>
        <w:rPr>
          <w:rFonts w:hint="eastAsia"/>
        </w:rPr>
        <w:t>设计(例如容器之间的固定间隔，可能导致在任何时间辐射场中只有一个辐照容器)，</w:t>
      </w:r>
    </w:p>
    <w:p w:rsidR="00251E7D" w:rsidRDefault="00251E7D" w:rsidP="003A2824">
      <w:pPr>
        <w:pStyle w:val="af5"/>
      </w:pPr>
      <w:r>
        <w:rPr>
          <w:rFonts w:hint="eastAsia"/>
        </w:rPr>
        <w:t>在更改产品批次时，或</w:t>
      </w:r>
    </w:p>
    <w:p w:rsidR="00251E7D" w:rsidRDefault="00251E7D" w:rsidP="003A2824">
      <w:pPr>
        <w:pStyle w:val="af5"/>
      </w:pPr>
      <w:r>
        <w:rPr>
          <w:rFonts w:hint="eastAsia"/>
        </w:rPr>
        <w:t>改变辐照参数时。</w:t>
      </w:r>
    </w:p>
    <w:p w:rsidR="00251E7D" w:rsidRDefault="00251E7D" w:rsidP="00251E7D">
      <w:pPr>
        <w:pStyle w:val="affff6"/>
        <w:ind w:firstLine="420"/>
      </w:pPr>
      <w:r>
        <w:rPr>
          <w:rFonts w:hint="eastAsia"/>
        </w:rPr>
        <w:lastRenderedPageBreak/>
        <w:t>容器之间的间距以及容器之间的密度或材料配置的差异可能会影响每个容器内的剂量分布。因此，为评估这些影响而进行的剂量分布可能为性能鉴定剂量分布提供有用的信息。</w:t>
      </w:r>
    </w:p>
    <w:p w:rsidR="00251E7D" w:rsidRDefault="00251E7D" w:rsidP="003A2824">
      <w:pPr>
        <w:pStyle w:val="affffffffa"/>
      </w:pPr>
      <w:r>
        <w:rPr>
          <w:rFonts w:hint="eastAsia"/>
        </w:rPr>
        <w:t>单个剂量计、剂量计条或剂量计片剂量计宜按三维阵列布放在待辐射密度均匀的测试材料内，包括测试产品的表面。剂量计的数量要按照辐照容器的大小、辐照装置的设计和电子加速器的能量来定。</w:t>
      </w:r>
    </w:p>
    <w:p w:rsidR="00251E7D" w:rsidRDefault="00251E7D" w:rsidP="00251E7D">
      <w:pPr>
        <w:pStyle w:val="affff6"/>
        <w:ind w:firstLine="420"/>
      </w:pPr>
      <w:r>
        <w:rPr>
          <w:rFonts w:hint="eastAsia"/>
        </w:rPr>
        <w:t>对于剂量分布没有预期变化的再鉴定剂量分布，可以使用以前实验的数据来优化剂量计的位置，以便剂量计可以集中在潜在的最小和最大剂量以及高剂量梯度的区域。</w:t>
      </w:r>
    </w:p>
    <w:p w:rsidR="00251E7D" w:rsidRDefault="00251E7D" w:rsidP="00251E7D">
      <w:pPr>
        <w:pStyle w:val="affff6"/>
        <w:ind w:firstLine="420"/>
      </w:pPr>
      <w:r>
        <w:rPr>
          <w:rFonts w:hint="eastAsia"/>
        </w:rPr>
        <w:t>在包括基准测试在内的适当的质量保证程序下，数学模型方法可能有助于优化剂量计的放置位置，并可能减少在剂量分布实验中使用的剂量计的数量。见附录A。</w:t>
      </w:r>
    </w:p>
    <w:p w:rsidR="00251E7D" w:rsidRDefault="00251E7D" w:rsidP="003A2824">
      <w:pPr>
        <w:pStyle w:val="affffffffa"/>
      </w:pPr>
      <w:r>
        <w:rPr>
          <w:rFonts w:hint="eastAsia"/>
        </w:rPr>
        <w:t>使用特定电子束辐照装置进行的剂量分布实验获得的数据可以用来确定朿流特性、传送速度和填充了已知密度均匀材料的辐照容器内或表面某一点处剂量大小之间的关系。</w:t>
      </w:r>
    </w:p>
    <w:p w:rsidR="00251E7D" w:rsidRDefault="00251E7D" w:rsidP="00251E7D">
      <w:pPr>
        <w:pStyle w:val="affff6"/>
        <w:ind w:firstLine="420"/>
      </w:pPr>
      <w:r>
        <w:rPr>
          <w:rFonts w:hint="eastAsia"/>
        </w:rPr>
        <w:t>这样确定的位置是辐照容器中的最小或最大剂量位置，或剂量计随辐照容器移动但与辐照容器分离的一个具有固定几何形状的位置。这个后者位置可用来定义常规辐照加工过程中的监测位置。</w:t>
      </w:r>
    </w:p>
    <w:p w:rsidR="00251E7D" w:rsidRDefault="00251E7D" w:rsidP="003A2824">
      <w:pPr>
        <w:pStyle w:val="affffffffa"/>
      </w:pPr>
      <w:r>
        <w:rPr>
          <w:rFonts w:hint="eastAsia"/>
        </w:rPr>
        <w:t>为评价过程中断对整个辐照容器内剂量的影响，宜进行特定的剂量测量。该影响可通过在过程中断中预期具有最大影响的位置上布放剂量计来确定。这个位置通常位于面对电子束的辐照容器的表面，并且在距离电子束窗口较近的地方可能更明显。辐照容器在正常加工条件下辐照，当辐照容器位于束下时出现加工中断，之后过程再次启动，过程中断的影响可通过对比有无过程中断的剂量测量结果来确定。</w:t>
      </w:r>
    </w:p>
    <w:p w:rsidR="00251E7D" w:rsidRDefault="00251E7D" w:rsidP="00251E7D">
      <w:pPr>
        <w:pStyle w:val="affff6"/>
        <w:ind w:firstLine="420"/>
      </w:pPr>
      <w:r>
        <w:rPr>
          <w:rFonts w:hint="eastAsia"/>
        </w:rPr>
        <w:t>根据辐照装置的设计，可能有必要评估不同辐照条件和不同中断原因下的过程中断对剂量的影响。例如，在高传输速度高重量产品和低传输速度低重量产品时，效果可能会有所不同。由安全系统、电子束和传送带产生的过程中断可能会对剂量产生不同的影响，这些影响宜被确定。</w:t>
      </w:r>
    </w:p>
    <w:p w:rsidR="00251E7D" w:rsidRDefault="00251E7D" w:rsidP="003A2824">
      <w:pPr>
        <w:pStyle w:val="affffffffa"/>
      </w:pPr>
      <w:r>
        <w:rPr>
          <w:rFonts w:hint="eastAsia"/>
        </w:rPr>
        <w:t>过程中断可导致最小和最大剂量的大小以及这些极端情况发生的位置的变化。在常规加工中，宜考虑在产品剂量未超出</w:t>
      </w:r>
      <w:r w:rsidR="00BD3E2F">
        <w:rPr>
          <w:rFonts w:hint="eastAsia"/>
        </w:rPr>
        <w:t>规范</w:t>
      </w:r>
      <w:r>
        <w:rPr>
          <w:rFonts w:hint="eastAsia"/>
        </w:rPr>
        <w:t>的情况下可能允许发生的中断次数。这将取决于在正常的、不间断的处理过程中，剂量接近规定限值的程度。</w:t>
      </w:r>
    </w:p>
    <w:p w:rsidR="00251E7D" w:rsidRDefault="00251E7D" w:rsidP="00BD3E2F">
      <w:pPr>
        <w:pStyle w:val="afff2"/>
      </w:pPr>
      <w:r>
        <w:rPr>
          <w:rFonts w:hint="eastAsia"/>
        </w:rPr>
        <w:t>关于进行过程中断剂量分布实验的额外指南，见ISO/ASTM52303和AAMITIR29。</w:t>
      </w:r>
    </w:p>
    <w:p w:rsidR="00251E7D" w:rsidRDefault="00251E7D" w:rsidP="003A2824">
      <w:pPr>
        <w:pStyle w:val="affffffffa"/>
      </w:pPr>
      <w:r>
        <w:rPr>
          <w:rFonts w:hint="eastAsia"/>
        </w:rPr>
        <w:t>由运行鉴定的剂量分布测试获得的数据能够指出装载产品后最大剂量和最小剂量的位置。</w:t>
      </w:r>
    </w:p>
    <w:p w:rsidR="003A2824" w:rsidRDefault="003A2824" w:rsidP="003A2824">
      <w:pPr>
        <w:pStyle w:val="affd"/>
        <w:spacing w:before="156" w:after="156"/>
      </w:pPr>
      <w:bookmarkStart w:id="100" w:name="_Toc112783039"/>
      <w:bookmarkStart w:id="101" w:name="_Toc112844836"/>
      <w:r w:rsidRPr="003A2824">
        <w:rPr>
          <w:rFonts w:hint="eastAsia"/>
        </w:rPr>
        <w:t>X射线辐照装置</w:t>
      </w:r>
      <w:bookmarkEnd w:id="100"/>
      <w:bookmarkEnd w:id="101"/>
    </w:p>
    <w:p w:rsidR="003A2824" w:rsidRDefault="003A2824" w:rsidP="003A2824">
      <w:pPr>
        <w:pStyle w:val="affffffffa"/>
      </w:pPr>
      <w:r>
        <w:rPr>
          <w:rFonts w:hint="eastAsia"/>
        </w:rPr>
        <w:t>运行鉴定的剂量分布是用来描述辐照装置在确定的装载方式中的剂量分布和重复性，并用来确定过程中断对整个辐照容器剂量的影响。</w:t>
      </w:r>
    </w:p>
    <w:p w:rsidR="003A2824" w:rsidRDefault="003A2824" w:rsidP="003A2824">
      <w:pPr>
        <w:pStyle w:val="affff6"/>
        <w:ind w:firstLine="420"/>
      </w:pPr>
      <w:r>
        <w:rPr>
          <w:rFonts w:hint="eastAsia"/>
        </w:rPr>
        <w:t>宜在产品辐照所用的电子束能量处进行剂量分布。如果使用了一种以上的能量，则宜对每一种能量进行运行鉴定剂量分布。如果使用一个以上的扫描宽度，则宜使用选定的扫描宽度进行运行鉴定剂量分布，以覆盖产品辐照所使用的操作限制。</w:t>
      </w:r>
    </w:p>
    <w:p w:rsidR="003A2824" w:rsidRDefault="003A2824" w:rsidP="003A2824">
      <w:pPr>
        <w:pStyle w:val="affffffffa"/>
      </w:pPr>
      <w:r>
        <w:rPr>
          <w:rFonts w:hint="eastAsia"/>
        </w:rPr>
        <w:t>剂量分布宜通过把剂量计放在满足辐照装置设计尺度并装填密度均匀材料的辐照容器内进行测量。至少需要进行两个剂量分布测试，一个使用辐照装置所要求密度范围下限的材料来进行，另一个用密度范围上限的材料来进行。辐照装置的每个路径都需要进行运行鉴定测量。</w:t>
      </w:r>
    </w:p>
    <w:p w:rsidR="003A2824" w:rsidRDefault="003A2824" w:rsidP="003A2824">
      <w:pPr>
        <w:pStyle w:val="affff6"/>
        <w:ind w:firstLine="420"/>
      </w:pPr>
      <w:r>
        <w:rPr>
          <w:rFonts w:hint="eastAsia"/>
        </w:rPr>
        <w:t>如果X射线辐照装置的设计使辐照时间和最小剂量之间的关系在密度范围内不是线性的，宜进行两次以上的剂量分布实验，以确定辐照装置的性能特性。</w:t>
      </w:r>
    </w:p>
    <w:p w:rsidR="003A2824" w:rsidRDefault="003A2824" w:rsidP="006F4D66">
      <w:pPr>
        <w:pStyle w:val="afff2"/>
      </w:pPr>
      <w:r>
        <w:rPr>
          <w:rFonts w:hint="eastAsia"/>
        </w:rPr>
        <w:t>密度均匀的材料可能是，例如，膨胀聚乙烯泡沫薄板或板，纸板或木材。</w:t>
      </w:r>
    </w:p>
    <w:p w:rsidR="003A2824" w:rsidRDefault="003A2824" w:rsidP="003A2824">
      <w:pPr>
        <w:pStyle w:val="affffffffa"/>
      </w:pPr>
      <w:r>
        <w:rPr>
          <w:rFonts w:hint="eastAsia"/>
        </w:rPr>
        <w:t>在每一选定密度下宜对足够数量（至少3个）的辐照容器进行剂量分布测量以检测不同容器之间的剂量和剂量分布的差异。根据以前进行的运行鉴定中对同种或类似辐照装置得到的信息确定重复进行剂量分布测量的细节和数量。这意味着对于新的辐照装置，比再鉴定剂量分布测试的辐照装置需要进行更多的重复性剂量分布测试。</w:t>
      </w:r>
    </w:p>
    <w:p w:rsidR="003A2824" w:rsidRDefault="003A2824" w:rsidP="003A2824">
      <w:pPr>
        <w:pStyle w:val="affff6"/>
        <w:ind w:firstLine="420"/>
      </w:pPr>
      <w:r>
        <w:rPr>
          <w:rFonts w:hint="eastAsia"/>
        </w:rPr>
        <w:t>在运行鉴定的剂量分布测试中，辐照装置需要放置足够数量的辐照容器以有效模拟装满了辐照容器的辐照装置的剂量分布情况。所需数最取决于辐照容器的设计。</w:t>
      </w:r>
    </w:p>
    <w:p w:rsidR="003A2824" w:rsidRDefault="003A2824" w:rsidP="003A2824">
      <w:pPr>
        <w:pStyle w:val="affffffffa"/>
      </w:pPr>
      <w:r>
        <w:rPr>
          <w:rFonts w:hint="eastAsia"/>
        </w:rPr>
        <w:lastRenderedPageBreak/>
        <w:t>单个剂量计，剂量条或剂量片宜布放成三维阵列，包括待辐射密度均匀的测试材料的表面。剂量计的数量取决于辐照容器的尺寸和辐照装置的设计和X射线的能量。例如：对一个1.0m×1.0m×0.5m尺寸的容器，剂量计可以以10cm的三维网格布放（也就是每隔10cm）在容器内，至少在面对X射线束的外部平面和容器的中间平面上。</w:t>
      </w:r>
    </w:p>
    <w:p w:rsidR="003A2824" w:rsidRDefault="003A2824" w:rsidP="003A2824">
      <w:pPr>
        <w:pStyle w:val="affff6"/>
        <w:ind w:firstLine="420"/>
      </w:pPr>
      <w:r>
        <w:rPr>
          <w:rFonts w:hint="eastAsia"/>
        </w:rPr>
        <w:t>对于剂量分布没有预期变化的再次鉴定的剂量分布,先前的试验数据可以用来优化剂量计的布放位置，以便剂量计可以集中在潜在的最小和最大剂量以及高剂量梯度的区域。</w:t>
      </w:r>
    </w:p>
    <w:p w:rsidR="003A2824" w:rsidRDefault="003A2824" w:rsidP="003A2824">
      <w:pPr>
        <w:pStyle w:val="affff6"/>
        <w:ind w:firstLine="420"/>
      </w:pPr>
      <w:r>
        <w:rPr>
          <w:rFonts w:hint="eastAsia"/>
        </w:rPr>
        <w:t>在包括基准测试在内的适当的质量保证程序下，数学模型方法可能有助于优化剂量计的布放位置，并可能减少在剂量分布实验中使用的剂量计的数量。见附录A。</w:t>
      </w:r>
    </w:p>
    <w:p w:rsidR="003A2824" w:rsidRDefault="003A2824" w:rsidP="003A2824">
      <w:pPr>
        <w:pStyle w:val="affffffffa"/>
      </w:pPr>
      <w:r>
        <w:rPr>
          <w:rFonts w:hint="eastAsia"/>
        </w:rPr>
        <w:t>使用特定的X射线辐照装置进行剂量分布实验获得的数据可用于建立</w:t>
      </w:r>
    </w:p>
    <w:p w:rsidR="003A2824" w:rsidRDefault="003A2824" w:rsidP="003A2824">
      <w:pPr>
        <w:pStyle w:val="af2"/>
      </w:pPr>
      <w:r>
        <w:rPr>
          <w:rFonts w:hint="eastAsia"/>
        </w:rPr>
        <w:t>束流特性、产品与X射线靶之间的距离、传送速度和填充了已知密度均匀材料的辐照容器内或表面某一点处剂量大小之间的关系，以及</w:t>
      </w:r>
    </w:p>
    <w:p w:rsidR="003A2824" w:rsidRDefault="003A2824" w:rsidP="003A2824">
      <w:pPr>
        <w:pStyle w:val="af2"/>
      </w:pPr>
      <w:r>
        <w:rPr>
          <w:rFonts w:hint="eastAsia"/>
        </w:rPr>
        <w:t>辐照容器内的剂量均匀性与材料密度之间的关系。</w:t>
      </w:r>
    </w:p>
    <w:p w:rsidR="003A2824" w:rsidRDefault="003A2824" w:rsidP="003A2824">
      <w:pPr>
        <w:pStyle w:val="affff6"/>
        <w:ind w:firstLine="420"/>
      </w:pPr>
      <w:r>
        <w:rPr>
          <w:rFonts w:hint="eastAsia"/>
        </w:rPr>
        <w:t>另一方法（辐照容器外监测）是用固定几何学对于剂量计定义一个位置，该剂量计随辐照容易移动，但却与辐照容器分离，并由此确定束流特性、传送速度和该处位置剂量大小之间的关系。这个位置可用来定义常规辐射加工过程中的监测位置。</w:t>
      </w:r>
    </w:p>
    <w:p w:rsidR="003A2824" w:rsidRDefault="003A2824" w:rsidP="003A2824">
      <w:pPr>
        <w:pStyle w:val="affffffffa"/>
      </w:pPr>
      <w:r>
        <w:rPr>
          <w:rFonts w:hint="eastAsia"/>
        </w:rPr>
        <w:t>为评价过程中断对整个辐照容器内剂量的影响</w:t>
      </w:r>
      <w:r w:rsidR="005E3C95">
        <w:rPr>
          <w:rFonts w:hint="eastAsia"/>
        </w:rPr>
        <w:t>，</w:t>
      </w:r>
      <w:r>
        <w:rPr>
          <w:rFonts w:hint="eastAsia"/>
        </w:rPr>
        <w:t>宜进行特定的剂量测量。该影响可通过在过程中断中预期具有最大影响的位置上布放剂量计来确定。这个位置通常位于面对X射线束的辐照容器的表面。辐照容器在正常加工条件下辐照，当辐照容器位于束下时出现加工中断，之后过程再次启动，过程中断的影响可通过对比有无过程中断的剂量测量结果来确定。</w:t>
      </w:r>
    </w:p>
    <w:p w:rsidR="003A2824" w:rsidRDefault="003A2824" w:rsidP="003A2824">
      <w:pPr>
        <w:pStyle w:val="affff6"/>
        <w:ind w:firstLine="420"/>
      </w:pPr>
      <w:r>
        <w:rPr>
          <w:rFonts w:hint="eastAsia"/>
        </w:rPr>
        <w:t>根据辐照装置的设计，可能有必要评估不同辐照条件和不同中断原因下的过程中断对剂量的影响。例如，在高传输速度高重量产品和低传输速度低重量产品时，效果可能会有所不同。由安全系统、电子束和传送带产生的过程中断可能会对剂量产生不同的影响，这些影响宜被确定。</w:t>
      </w:r>
    </w:p>
    <w:p w:rsidR="003A2824" w:rsidRDefault="003A2824" w:rsidP="005E3C95">
      <w:pPr>
        <w:pStyle w:val="affffffffa"/>
      </w:pPr>
      <w:r>
        <w:rPr>
          <w:rFonts w:hint="eastAsia"/>
        </w:rPr>
        <w:t>过程中断可导致最小和最大剂量的大小以及这些极端情况发生的位置的变化。在常规加工中，宜考虑在产品剂量未超出规</w:t>
      </w:r>
      <w:r w:rsidR="00EC4BA2">
        <w:rPr>
          <w:rFonts w:hint="eastAsia"/>
        </w:rPr>
        <w:t>范</w:t>
      </w:r>
      <w:r>
        <w:rPr>
          <w:rFonts w:hint="eastAsia"/>
        </w:rPr>
        <w:t>的情况下可能允许发生的中断次数。这将取决于在正常的、不间断的加工过程中，剂量接近规定限值的程度。</w:t>
      </w:r>
    </w:p>
    <w:p w:rsidR="003A2824" w:rsidRDefault="003A2824" w:rsidP="00EC4BA2">
      <w:pPr>
        <w:pStyle w:val="afff2"/>
      </w:pPr>
      <w:r>
        <w:rPr>
          <w:rFonts w:hint="eastAsia"/>
        </w:rPr>
        <w:t>关于进行过程中断剂量分布实验的额外指南，见ISO/ASTM52303和AAMITIR29。</w:t>
      </w:r>
    </w:p>
    <w:p w:rsidR="003A2824" w:rsidRDefault="003A2824" w:rsidP="007D790F">
      <w:pPr>
        <w:pStyle w:val="affffffffa"/>
      </w:pPr>
      <w:r>
        <w:rPr>
          <w:rFonts w:hint="eastAsia"/>
        </w:rPr>
        <w:t>对特殊的输送系统或对于人工放置产品所指定的固定位置，宜进行剂量分布实验。这些位置产品的剂量分布可能受到主要辐照装置路径中存在的产品的影响。宜考虑使用此类传送带或位置的条件状况对剂量学校准和不确定度(见ISO/ASTM51261)的影响，例如：剂量率和温度。可能需要为每个辐照装置路径和固定位置建立一个剂量学系统校准曲线。这可能需要生成一个新的校准曲线或验证一个现有的曲线。</w:t>
      </w:r>
    </w:p>
    <w:p w:rsidR="003A2824" w:rsidRDefault="003A2824" w:rsidP="007D790F">
      <w:pPr>
        <w:pStyle w:val="affffffffa"/>
      </w:pPr>
      <w:r>
        <w:rPr>
          <w:rFonts w:hint="eastAsia"/>
        </w:rPr>
        <w:t>额外的剂量分布研究可以提供数据以减少在性能鉴定中的剂量分布研究。这些研究例子包括确定部分填充的辐照容器的效果和在辐照容器的中心装载产品，以获得期望的剂量不均匀度。</w:t>
      </w:r>
    </w:p>
    <w:p w:rsidR="003A2824" w:rsidRDefault="003A2824" w:rsidP="003A2824">
      <w:pPr>
        <w:pStyle w:val="affff6"/>
        <w:ind w:firstLine="420"/>
      </w:pPr>
      <w:r>
        <w:rPr>
          <w:rFonts w:hint="eastAsia"/>
        </w:rPr>
        <w:t>辐照容器中非满载所接受的剂量要大于全部</w:t>
      </w:r>
      <w:r w:rsidR="00EC4BA2">
        <w:rPr>
          <w:rFonts w:hint="eastAsia"/>
        </w:rPr>
        <w:t>装载</w:t>
      </w:r>
      <w:r>
        <w:rPr>
          <w:rFonts w:hint="eastAsia"/>
        </w:rPr>
        <w:t>情况，因此在剂量分布实验中剂量计宜放在非满载和其剂量分布可能受到任何非满载辐照容器影响的满载辐照容器的可能的最大剂量区域。</w:t>
      </w:r>
    </w:p>
    <w:p w:rsidR="003A2824" w:rsidRDefault="003A2824" w:rsidP="002B308B">
      <w:pPr>
        <w:pStyle w:val="afff2"/>
      </w:pPr>
      <w:r>
        <w:rPr>
          <w:rFonts w:hint="eastAsia"/>
        </w:rPr>
        <w:t>与满载的辐照容器相比，辐照容器中心装载产品会导致剂量大小和分布的变化。</w:t>
      </w:r>
    </w:p>
    <w:p w:rsidR="003A2824" w:rsidRDefault="003A2824" w:rsidP="007D790F">
      <w:pPr>
        <w:pStyle w:val="affffffffa"/>
      </w:pPr>
      <w:r>
        <w:rPr>
          <w:rFonts w:hint="eastAsia"/>
        </w:rPr>
        <w:t>进一步的剂量分布宜用来确定在加工某一特定密度的产品之前或之后加工不同密度的产品可能产生的对剂量的大小和分布的影响。可接受的可以在一起加工的密度范围，可依据这些剂量分布实验结果来确定。密度变化对剂量大小和分布的影响将取决于辐照装置的设计以及密度变化如何引入辐照装置。待剂量分布实验的辐照容器中材料的密度宜代表常规一起加工的密度范围。宜进行足够数量可能受到周围密度变化影响的辐照容器的剂量分布。宜将剂量分布数据与从密度没有变化的辐照容器中获得的数据进行比较（见8.4.3）。</w:t>
      </w:r>
    </w:p>
    <w:p w:rsidR="003A2824" w:rsidRDefault="003A2824" w:rsidP="007D790F">
      <w:pPr>
        <w:pStyle w:val="affffffffa"/>
      </w:pPr>
      <w:r>
        <w:rPr>
          <w:rFonts w:hint="eastAsia"/>
        </w:rPr>
        <w:t>在实际产品装载中，运行鉴定剂量分布实验获得的数据通常能够提供最大剂量和最小剂量可能</w:t>
      </w:r>
      <w:r>
        <w:rPr>
          <w:rFonts w:hint="eastAsia"/>
        </w:rPr>
        <w:lastRenderedPageBreak/>
        <w:t>的位置。</w:t>
      </w:r>
    </w:p>
    <w:p w:rsidR="007D790F" w:rsidRDefault="007D790F" w:rsidP="007D790F">
      <w:pPr>
        <w:pStyle w:val="affc"/>
        <w:spacing w:before="312" w:after="312"/>
      </w:pPr>
      <w:bookmarkStart w:id="102" w:name="_Toc112783040"/>
      <w:bookmarkStart w:id="103" w:name="_Toc112844837"/>
      <w:r w:rsidRPr="007D790F">
        <w:rPr>
          <w:rFonts w:hint="eastAsia"/>
        </w:rPr>
        <w:t>性能鉴定</w:t>
      </w:r>
      <w:bookmarkEnd w:id="102"/>
      <w:bookmarkEnd w:id="103"/>
    </w:p>
    <w:p w:rsidR="007D790F" w:rsidRDefault="007D790F" w:rsidP="007D790F">
      <w:pPr>
        <w:pStyle w:val="affd"/>
        <w:spacing w:before="156" w:after="156"/>
      </w:pPr>
      <w:bookmarkStart w:id="104" w:name="_Toc112783041"/>
      <w:bookmarkStart w:id="105" w:name="_Toc112844838"/>
      <w:r>
        <w:rPr>
          <w:rFonts w:hint="eastAsia"/>
        </w:rPr>
        <w:t>总则</w:t>
      </w:r>
      <w:bookmarkEnd w:id="104"/>
      <w:bookmarkEnd w:id="105"/>
    </w:p>
    <w:p w:rsidR="007D790F" w:rsidRDefault="007D790F" w:rsidP="007D790F">
      <w:pPr>
        <w:pStyle w:val="affffffffa"/>
      </w:pPr>
      <w:r>
        <w:rPr>
          <w:rFonts w:hint="eastAsia"/>
        </w:rPr>
        <w:t>辐照装置和产品相关的一些因素会影响剂量分布。从性能鉴定剂量分布实验中获得的数据可用于识别产品内最大和最小剂量的位置和数值大小，并且能计算常规监测位置的剂量与这些剂量之间的关系。监测位置可选择在辐照容器内（比如最小和最大剂量的位置）或者放置在邻近并且伴随辐照容器移动的一个独立的位置。</w:t>
      </w:r>
    </w:p>
    <w:p w:rsidR="007D790F" w:rsidRDefault="007D790F" w:rsidP="007D790F">
      <w:pPr>
        <w:pStyle w:val="affff6"/>
        <w:ind w:firstLine="420"/>
      </w:pPr>
      <w:r>
        <w:rPr>
          <w:rFonts w:hint="eastAsia"/>
        </w:rPr>
        <w:t>因为性能鉴定剂量分布目的，可以使用产品剂量规范以外的剂量进行辐照，前提是有信息证明使用这些剂量不影响剂量分布。</w:t>
      </w:r>
    </w:p>
    <w:p w:rsidR="007D790F" w:rsidRDefault="007D790F" w:rsidP="00CF61E3">
      <w:pPr>
        <w:pStyle w:val="afff2"/>
      </w:pPr>
      <w:r>
        <w:rPr>
          <w:rFonts w:hint="eastAsia"/>
        </w:rPr>
        <w:t>本文件和ISO 11137-1的一些条款中给出了性能鉴定要求的各种剂量学相关活动的信息。为方便起见，表B.3列出了本文档和ISO 11137-1中适用条款的位置。</w:t>
      </w:r>
    </w:p>
    <w:p w:rsidR="007D790F" w:rsidRDefault="007D790F" w:rsidP="007D790F">
      <w:pPr>
        <w:pStyle w:val="affffffffa"/>
      </w:pPr>
      <w:r>
        <w:rPr>
          <w:rFonts w:hint="eastAsia"/>
        </w:rPr>
        <w:t>在剂量分布实验中所得剂量的相关信息被用来确定过程参数，比如定时器设定或传输速度，以在不超过最大可接受剂量的前提下，满足规定的灭菌剂量。</w:t>
      </w:r>
    </w:p>
    <w:p w:rsidR="007D790F" w:rsidRDefault="007D790F" w:rsidP="007D790F">
      <w:pPr>
        <w:pStyle w:val="affffffffa"/>
      </w:pPr>
      <w:r>
        <w:rPr>
          <w:rFonts w:hint="eastAsia"/>
        </w:rPr>
        <w:t>运行鉴定中所得剂量分布的数据可为性能鉴定中的剂量分布实验提供剂量计布放的初始信息。宜引起特别注意的是潜在最大与最小剂量之间的区域，这些区域所得剂量宜比中间剂量的区域更接近于运行鉴定所得剂量分布中的剂量。</w:t>
      </w:r>
    </w:p>
    <w:p w:rsidR="007D790F" w:rsidRDefault="007D790F" w:rsidP="007D790F">
      <w:pPr>
        <w:pStyle w:val="affffffffa"/>
      </w:pPr>
      <w:r>
        <w:rPr>
          <w:rFonts w:hint="eastAsia"/>
        </w:rPr>
        <w:t>剂量分布实验宜有足够的细节来确定在被辐照时产品表面或内部最大或最小剂量的大小和位置。显著的剂量梯度可能出现在独立的产品单元的表面或内部，在布放剂量计时宜考虑这些。每种情况都需要独立进行评估，但有关剂量计布放的常规指南也在下面和ISO/ASTM52303中给出。在包括基准测试在内的适当的质量保证程序下，数学模型方法可能有助于优化剂量计的布放位置和可能减少剂量计的数量。见附录A。</w:t>
      </w:r>
    </w:p>
    <w:p w:rsidR="007D790F" w:rsidRDefault="007D790F" w:rsidP="00CF61E3">
      <w:pPr>
        <w:pStyle w:val="afff2"/>
      </w:pPr>
      <w:r>
        <w:rPr>
          <w:rFonts w:hint="eastAsia"/>
        </w:rPr>
        <w:t>关于剂量分布方面的其他信息可在AAMITIR29和ISO/ASTM52303中找到。</w:t>
      </w:r>
    </w:p>
    <w:p w:rsidR="007D790F" w:rsidRDefault="007D790F" w:rsidP="007D790F">
      <w:pPr>
        <w:pStyle w:val="affffffffa"/>
      </w:pPr>
      <w:r>
        <w:rPr>
          <w:rFonts w:hint="eastAsia"/>
        </w:rPr>
        <w:t>如果</w:t>
      </w:r>
      <w:r w:rsidR="00775CED">
        <w:rPr>
          <w:rFonts w:hint="eastAsia"/>
        </w:rPr>
        <w:t>运行</w:t>
      </w:r>
      <w:r>
        <w:rPr>
          <w:rFonts w:hint="eastAsia"/>
        </w:rPr>
        <w:t>鉴定测量表明辐照装置已经发生了一定程度的变化，即性能鉴定中的一个或多个结论不再有效，或如果产品的变化可能影响剂量或剂量分布，则宜重复性能鉴定。但是，没有要求定期重复性能鉴定。</w:t>
      </w:r>
    </w:p>
    <w:p w:rsidR="007D790F" w:rsidRDefault="00E75147" w:rsidP="00E75147">
      <w:pPr>
        <w:pStyle w:val="affd"/>
        <w:spacing w:before="156" w:after="156"/>
      </w:pPr>
      <w:bookmarkStart w:id="106" w:name="_Toc112783042"/>
      <w:bookmarkStart w:id="107" w:name="_Toc112844839"/>
      <w:r w:rsidRPr="00E75147">
        <w:rPr>
          <w:rFonts w:hint="eastAsia"/>
        </w:rPr>
        <w:t>γ辐照装置</w:t>
      </w:r>
      <w:bookmarkEnd w:id="106"/>
      <w:bookmarkEnd w:id="107"/>
    </w:p>
    <w:p w:rsidR="00E75147" w:rsidRDefault="00E75147" w:rsidP="00E75147">
      <w:pPr>
        <w:pStyle w:val="affe"/>
        <w:spacing w:before="156" w:after="156"/>
      </w:pPr>
      <w:bookmarkStart w:id="108" w:name="_Toc112783043"/>
      <w:bookmarkStart w:id="109" w:name="_Toc112844840"/>
      <w:r w:rsidRPr="00E75147">
        <w:rPr>
          <w:rFonts w:hint="eastAsia"/>
        </w:rPr>
        <w:t>装载模式</w:t>
      </w:r>
      <w:bookmarkEnd w:id="108"/>
      <w:bookmarkEnd w:id="109"/>
    </w:p>
    <w:p w:rsidR="00E75147" w:rsidRDefault="00E75147" w:rsidP="00E75147">
      <w:pPr>
        <w:pStyle w:val="affffffff9"/>
      </w:pPr>
      <w:r>
        <w:rPr>
          <w:rFonts w:hint="eastAsia"/>
        </w:rPr>
        <w:t>对于剂量分布，单个产品纸箱宜以规定的预期常规的装载模式的方式排列在辐照容器内。宜考虑到关键的产品特性，包括单个产品纸箱的尺寸和重量，以及这些参数的允许变化范围，产品的剂量规范和从运行鉴定剂量分布中获得的见解。在性能鉴定期间要加工的产品纸箱样品宜进行测量和称重，以确保产品纸箱符合规定的产品特性。</w:t>
      </w:r>
    </w:p>
    <w:p w:rsidR="00E75147" w:rsidRDefault="00E75147" w:rsidP="00E75147">
      <w:pPr>
        <w:pStyle w:val="affff6"/>
        <w:ind w:firstLine="420"/>
      </w:pPr>
      <w:r>
        <w:rPr>
          <w:rFonts w:hint="eastAsia"/>
        </w:rPr>
        <w:t>一般情况下，产品纸箱通常是完全充满辐照容器的体积。然而，在某些情况下，由于产品的限制，如窄剂量范围规范、产品密度高或非均匀性或纸箱尺寸，无法利用剩余空间。</w:t>
      </w:r>
    </w:p>
    <w:p w:rsidR="00E75147" w:rsidRDefault="00E75147" w:rsidP="00E75147">
      <w:pPr>
        <w:pStyle w:val="affff6"/>
        <w:ind w:firstLine="420"/>
      </w:pPr>
      <w:r>
        <w:rPr>
          <w:rFonts w:hint="eastAsia"/>
        </w:rPr>
        <w:t>辐照容器内定义的产品装载模式可以包括一种以上的产品，并包括一系列纸箱尺寸和重量。宜研究不同密度的装载产品在辐照容器内不同位置对剂量分布的影响。剂量分布的影响可以通过对不同的装载模式进行剂量分布实验来检验，其中产品密度的极端值配置在辐照容器的不同位置。剂量分布实验的结果可能产生一个或多个潜在的最小或最大剂量的位置(见ISO/ASTM52303)。</w:t>
      </w:r>
    </w:p>
    <w:p w:rsidR="00E75147" w:rsidRDefault="00E75147" w:rsidP="00E75147">
      <w:pPr>
        <w:pStyle w:val="affffffff9"/>
      </w:pPr>
      <w:r>
        <w:rPr>
          <w:rFonts w:hint="eastAsia"/>
        </w:rPr>
        <w:t>在某些情况下，产品纸箱可以在辐照容器内移动，或者产品单元可以在产品纸箱内移动，这两者都可能影响剂量分布。</w:t>
      </w:r>
    </w:p>
    <w:p w:rsidR="00E75147" w:rsidRDefault="00E75147" w:rsidP="00E75147">
      <w:pPr>
        <w:pStyle w:val="affff6"/>
        <w:ind w:firstLine="420"/>
      </w:pPr>
      <w:r>
        <w:rPr>
          <w:rFonts w:hint="eastAsia"/>
        </w:rPr>
        <w:lastRenderedPageBreak/>
        <w:t>如果产品纸箱在辐照容器内能够移动并且影响剂量分布，宜固定产品，以防止这种移动。在性能鉴定期间用于保护产品的材料也宜在常规加工过程中使用，并在过程规范中定义。如果产品纸箱不能充分固定，则在绘制剂量分布时宜考虑到这一点，例如，通过绘制最坏情况配置的剂量分布。</w:t>
      </w:r>
    </w:p>
    <w:p w:rsidR="00E75147" w:rsidRDefault="00E75147" w:rsidP="00E75147">
      <w:pPr>
        <w:pStyle w:val="affff6"/>
        <w:ind w:firstLine="420"/>
      </w:pPr>
      <w:r>
        <w:rPr>
          <w:rFonts w:hint="eastAsia"/>
        </w:rPr>
        <w:t>如果产品在</w:t>
      </w:r>
      <w:r w:rsidR="00693685">
        <w:rPr>
          <w:rFonts w:hint="eastAsia"/>
        </w:rPr>
        <w:t>产品</w:t>
      </w:r>
      <w:r w:rsidR="003D627A">
        <w:rPr>
          <w:rFonts w:hint="eastAsia"/>
        </w:rPr>
        <w:t>纸</w:t>
      </w:r>
      <w:r w:rsidR="00693685">
        <w:rPr>
          <w:rFonts w:hint="eastAsia"/>
        </w:rPr>
        <w:t>箱</w:t>
      </w:r>
      <w:r>
        <w:rPr>
          <w:rFonts w:hint="eastAsia"/>
        </w:rPr>
        <w:t>内能够移动并且对剂量分布有影响，在绘制剂量分布时宜引起重视，例如，通过绘制产品纸箱内产品的一些可能方向的剂量分布，以确定关于剂量分布的最坏情况。</w:t>
      </w:r>
    </w:p>
    <w:p w:rsidR="00E75147" w:rsidRDefault="00E75147" w:rsidP="00E75147">
      <w:pPr>
        <w:pStyle w:val="affffffff9"/>
      </w:pPr>
      <w:r>
        <w:rPr>
          <w:rFonts w:hint="eastAsia"/>
        </w:rPr>
        <w:t>低密度产品倾向于相当均匀，因此在用γ射线照射时，辐照容器内个别产品的方向不太可能对剂量分布产生重大影响。但是，对于不均匀的产品，例如含有高密度成分和空隙的产品(例如金属和金属/聚合物植入物)可能会难以获得可接受的剂量分布，在某些情况下，在每个辐照容器内可能需要产品的特定方向。</w:t>
      </w:r>
    </w:p>
    <w:p w:rsidR="00E75147" w:rsidRDefault="00E75147" w:rsidP="00E75147">
      <w:pPr>
        <w:pStyle w:val="affffffff9"/>
      </w:pPr>
      <w:r>
        <w:rPr>
          <w:rFonts w:hint="eastAsia"/>
        </w:rPr>
        <w:t>宜在指定的过程参数上实施足够数量的满载辐照容器的剂量分布， 以便确定辐照容器之间剂量和剂量分布的变异性。为了获得统计上有效的数据，宜至少绘制3个辐照容器的剂量分布。然而通过大量的实验可提高测量值的可信度。重复性剂量分布实验在剂量极值区域布放剂量计也可能满足要求，而不用进行一次完整的剂量分布实验。</w:t>
      </w:r>
    </w:p>
    <w:p w:rsidR="00E75147" w:rsidRDefault="00E75147" w:rsidP="00E75147">
      <w:pPr>
        <w:pStyle w:val="affff6"/>
        <w:ind w:firstLine="420"/>
      </w:pPr>
      <w:r>
        <w:rPr>
          <w:rFonts w:hint="eastAsia"/>
        </w:rPr>
        <w:t>在剂量分布产品之前和之后包含产品或模拟产品辐照容器的数量将取决于特定的辐照装置设计。剂量分布实验的设计将影响可获得的关于变异性来源的信息(见附录D)</w:t>
      </w:r>
      <w:r w:rsidR="00813C41">
        <w:rPr>
          <w:rFonts w:hint="eastAsia"/>
        </w:rPr>
        <w:t>。</w:t>
      </w:r>
      <w:r>
        <w:rPr>
          <w:rFonts w:hint="eastAsia"/>
        </w:rPr>
        <w:t>进一步的指南见ISO/ASTM52303。</w:t>
      </w:r>
    </w:p>
    <w:p w:rsidR="00E75147" w:rsidRDefault="00E75147" w:rsidP="00E75147">
      <w:pPr>
        <w:pStyle w:val="affffffff9"/>
      </w:pPr>
      <w:r>
        <w:rPr>
          <w:rFonts w:hint="eastAsia"/>
        </w:rPr>
        <w:t>部分装载的辐照容器也宜进行剂量分布，以确保符合剂量规范。考虑到一个部分装载的辐照容器可能包含从一个纸箱到少于满载一个纸箱的数量，剂量分布可能会根据部分装载的辐照容器内的纸箱数量而有所变化。因此，对部分装载辐照容器剂量分布的评估宜包括根据辐照容器内产品的不同数量对剂量分布的评估。在运行鉴定期间对部分装载的容器的测试可以提供有价值的信息，有利于性能鉴定的实验设计。或者，在部分装载的辐照容器中添加模拟产品以模拟满载的辐照容器，可能会减少部分装载的辐照容器对剂量分布的影响。</w:t>
      </w:r>
    </w:p>
    <w:p w:rsidR="00E75147" w:rsidRDefault="00E75147" w:rsidP="00E75147">
      <w:pPr>
        <w:pStyle w:val="affff6"/>
        <w:ind w:firstLine="420"/>
      </w:pPr>
      <w:r>
        <w:rPr>
          <w:rFonts w:hint="eastAsia"/>
        </w:rPr>
        <w:t>如果部分装载的辐照容器导致不可接受的剂量分布，这可以通过添加适量的模拟产品来解决。此种添加的细节应是过程规范的一部分。</w:t>
      </w:r>
    </w:p>
    <w:p w:rsidR="00E75147" w:rsidRDefault="00E75147" w:rsidP="00E75147">
      <w:pPr>
        <w:pStyle w:val="affe"/>
        <w:spacing w:before="156" w:after="156"/>
      </w:pPr>
      <w:bookmarkStart w:id="110" w:name="_Toc112783044"/>
      <w:bookmarkStart w:id="111" w:name="_Toc112844841"/>
      <w:r w:rsidRPr="00E75147">
        <w:rPr>
          <w:rFonts w:hint="eastAsia"/>
        </w:rPr>
        <w:t>剂量学</w:t>
      </w:r>
      <w:bookmarkEnd w:id="110"/>
      <w:bookmarkEnd w:id="111"/>
    </w:p>
    <w:p w:rsidR="00E75147" w:rsidRDefault="009911E4" w:rsidP="009911E4">
      <w:pPr>
        <w:pStyle w:val="afff"/>
        <w:spacing w:before="156" w:after="156"/>
      </w:pPr>
      <w:r w:rsidRPr="009911E4">
        <w:rPr>
          <w:rFonts w:hint="eastAsia"/>
        </w:rPr>
        <w:t>剂量计放置</w:t>
      </w:r>
    </w:p>
    <w:p w:rsidR="009911E4" w:rsidRDefault="009911E4" w:rsidP="009911E4">
      <w:pPr>
        <w:pStyle w:val="affffffffc"/>
      </w:pPr>
      <w:r>
        <w:rPr>
          <w:rFonts w:hint="eastAsia"/>
        </w:rPr>
        <w:t>剂量计宜放置在每个满载的辐照容器中，以进行足够数量的分布实验，以确定最小和最大剂量的位置。来自运行鉴定剂量分布的数据可用于指导剂量计的放置，将剂量计集中放置在最小和最大剂量的预期区域。</w:t>
      </w:r>
    </w:p>
    <w:p w:rsidR="009911E4" w:rsidRDefault="009911E4" w:rsidP="009911E4">
      <w:pPr>
        <w:pStyle w:val="affffffffc"/>
      </w:pPr>
      <w:r>
        <w:rPr>
          <w:rFonts w:hint="eastAsia"/>
        </w:rPr>
        <w:t>剂量计宜放置在部分装载的辐照容器以及周围的辐照容器的剂量分布可能受到部分装载的辐照容器影响的预期最小和最大剂量区域。</w:t>
      </w:r>
    </w:p>
    <w:p w:rsidR="009911E4" w:rsidRDefault="009911E4" w:rsidP="009911E4">
      <w:pPr>
        <w:pStyle w:val="affffffffc"/>
      </w:pPr>
      <w:r>
        <w:rPr>
          <w:rFonts w:hint="eastAsia"/>
        </w:rPr>
        <w:t>用于常规过程监测的位置宜包括在性能鉴定的剂量计放置计划中。此监测位置宜为辐照容器内、上或附近且便于布置的位置，但始终是随辐照容器移动的位置。虽然不需要，但使用最小或最大剂量位置作为监测位置可能很方便。</w:t>
      </w:r>
    </w:p>
    <w:p w:rsidR="009911E4" w:rsidRDefault="009911E4" w:rsidP="009911E4">
      <w:pPr>
        <w:pStyle w:val="affffffffc"/>
      </w:pPr>
      <w:r>
        <w:rPr>
          <w:rFonts w:hint="eastAsia"/>
        </w:rPr>
        <w:t>剂量测量系统宜有足够高的空间分辨率，以测量可能存在的剂量梯度，例如：在材料的界面上。</w:t>
      </w:r>
    </w:p>
    <w:p w:rsidR="009911E4" w:rsidRDefault="009911E4" w:rsidP="009911E4">
      <w:pPr>
        <w:pStyle w:val="affffffffc"/>
      </w:pPr>
      <w:r>
        <w:rPr>
          <w:rFonts w:hint="eastAsia"/>
        </w:rPr>
        <w:t>对于造成局部屏蔽或散射的产品，可能需要使用薄膜剂量计来获得所需的空间分辨率。如果使用没有外包装的薄膜剂量计，这些剂量计极易受到环境条件的影响，例如湿度，这可能会造成重大的测量错误。在进行剂量分布实验时，可将不带保护袋的薄膜剂量计辐照于接近参考剂量计的地方，或将薄膜剂量计置于其外包装内，以减少这些错误。没有外包装袋的剂量计与参考剂量计放置时，宜确保两种类型剂量计受到相同剂量的照射。两种类型剂量计剂量测量的差异可以用来修正剂量分布的结果。</w:t>
      </w:r>
    </w:p>
    <w:p w:rsidR="009911E4" w:rsidRDefault="009911E4" w:rsidP="009911E4">
      <w:pPr>
        <w:pStyle w:val="affffffffc"/>
      </w:pPr>
      <w:r>
        <w:rPr>
          <w:rFonts w:hint="eastAsia"/>
        </w:rPr>
        <w:t>对于用γ射线辐照低密度产品，可能适合将剂量计放置在产品的无菌屏障系统之外，因为</w:t>
      </w:r>
      <w:r>
        <w:rPr>
          <w:rFonts w:hint="eastAsia"/>
        </w:rPr>
        <w:lastRenderedPageBreak/>
        <w:t>显著的剂量梯度不会出现在在单个产品单元内/上。典型例子是产品是由低原子序数（如非金属产品）的元素组成的，另外，不包含密度或质量大到足以造成邻近区域局部屏蔽或向邻近区域散射的物质。</w:t>
      </w:r>
    </w:p>
    <w:p w:rsidR="009911E4" w:rsidRDefault="009911E4" w:rsidP="00813C41">
      <w:pPr>
        <w:pStyle w:val="afff2"/>
      </w:pPr>
      <w:r>
        <w:rPr>
          <w:rFonts w:hint="eastAsia"/>
        </w:rPr>
        <w:t>在某些辐照装置设计中，由于辐照装置的设计和辐照容器的结构材料的位置，低密度产品可能会出现显著的剂量梯度。</w:t>
      </w:r>
    </w:p>
    <w:p w:rsidR="009911E4" w:rsidRDefault="009911E4" w:rsidP="009911E4">
      <w:pPr>
        <w:pStyle w:val="affffffffc"/>
      </w:pPr>
      <w:r>
        <w:rPr>
          <w:rFonts w:hint="eastAsia"/>
        </w:rPr>
        <w:t>对于产品中包含密度或质量大到足以在辐照时引起局部屏蔽或散射的材料，为了确定最大和最小剂量，可能有必要将剂量计布放在产品的无菌屏障系统内。例如，由钛制成的植入物的密度明显大于包装材料，因此可能需要在无菌屏障系统内放置剂量计。</w:t>
      </w:r>
    </w:p>
    <w:p w:rsidR="009911E4" w:rsidRDefault="009911E4" w:rsidP="009911E4">
      <w:pPr>
        <w:pStyle w:val="afff"/>
        <w:spacing w:before="156" w:after="156"/>
      </w:pPr>
      <w:r w:rsidRPr="009911E4">
        <w:rPr>
          <w:rFonts w:hint="eastAsia"/>
        </w:rPr>
        <w:t>重复剂量分布实验</w:t>
      </w:r>
    </w:p>
    <w:p w:rsidR="009911E4" w:rsidRDefault="009911E4" w:rsidP="009911E4">
      <w:pPr>
        <w:pStyle w:val="affff6"/>
        <w:ind w:firstLine="420"/>
      </w:pPr>
      <w:r>
        <w:rPr>
          <w:rFonts w:hint="eastAsia"/>
        </w:rPr>
        <w:t>重复性剂量分布实验用于获得由于辐照装置变化、产品变化和剂量计测量重复性引起的剂量计测量变异性的信息。建议至少进行三次实验（每次实验使用独立的辐照容器）来获得在统计学上有效的数据。通过大量的实验可提高测量值的可信度。重复性剂量分布实验在剂量极值区域布放剂量计也可能满足要求，而不用进行一次完整的剂量分布实验</w:t>
      </w:r>
      <w:r w:rsidR="00813C41">
        <w:rPr>
          <w:rFonts w:hint="eastAsia"/>
        </w:rPr>
        <w:t>。</w:t>
      </w:r>
      <w:r>
        <w:rPr>
          <w:rFonts w:hint="eastAsia"/>
        </w:rPr>
        <w:t>进一步的指南见ISO/ASTM52303。</w:t>
      </w:r>
    </w:p>
    <w:p w:rsidR="009911E4" w:rsidRDefault="009911E4" w:rsidP="009911E4">
      <w:pPr>
        <w:pStyle w:val="affff6"/>
        <w:ind w:firstLine="420"/>
      </w:pPr>
      <w:r>
        <w:rPr>
          <w:rFonts w:hint="eastAsia"/>
        </w:rPr>
        <w:t>可能有特殊情况，例如建立灭菌剂量的辐照，只使用一个或两个辐照容器。在这些情况下，宜在每个辐照容器中放置足够的剂量计，以确定最小剂量和最大剂量位置并测量。</w:t>
      </w:r>
    </w:p>
    <w:p w:rsidR="009911E4" w:rsidRDefault="009911E4" w:rsidP="009911E4">
      <w:pPr>
        <w:pStyle w:val="affe"/>
        <w:spacing w:before="156" w:after="156"/>
      </w:pPr>
      <w:bookmarkStart w:id="112" w:name="_Toc112783045"/>
      <w:bookmarkStart w:id="113" w:name="_Toc112844842"/>
      <w:r w:rsidRPr="009911E4">
        <w:rPr>
          <w:rFonts w:hint="eastAsia"/>
        </w:rPr>
        <w:t>剂量分布数据分析</w:t>
      </w:r>
      <w:bookmarkEnd w:id="112"/>
      <w:bookmarkEnd w:id="113"/>
    </w:p>
    <w:p w:rsidR="009911E4" w:rsidRDefault="009911E4" w:rsidP="009911E4">
      <w:pPr>
        <w:pStyle w:val="affff6"/>
        <w:ind w:firstLine="420"/>
      </w:pPr>
      <w:r>
        <w:rPr>
          <w:rFonts w:hint="eastAsia"/>
        </w:rPr>
        <w:t>剂量分布数据分析</w:t>
      </w:r>
    </w:p>
    <w:p w:rsidR="009911E4" w:rsidRDefault="009911E4">
      <w:pPr>
        <w:pStyle w:val="af5"/>
        <w:numPr>
          <w:ilvl w:val="0"/>
          <w:numId w:val="32"/>
        </w:numPr>
      </w:pPr>
      <w:r>
        <w:rPr>
          <w:rFonts w:hint="eastAsia"/>
        </w:rPr>
        <w:t>定义与产品最小和最大剂量位置相关的常规监测位置，以及</w:t>
      </w:r>
    </w:p>
    <w:p w:rsidR="009911E4" w:rsidRDefault="009911E4" w:rsidP="009911E4">
      <w:pPr>
        <w:pStyle w:val="af5"/>
      </w:pPr>
      <w:r>
        <w:rPr>
          <w:rFonts w:hint="eastAsia"/>
        </w:rPr>
        <w:t>在适用的情况下，定义与使用常规监测位置间接测量产品的最小和最大剂量有关的不确定度成分。</w:t>
      </w:r>
    </w:p>
    <w:p w:rsidR="009911E4" w:rsidRDefault="009911E4" w:rsidP="00813C41">
      <w:pPr>
        <w:pStyle w:val="afff2"/>
      </w:pPr>
      <w:r>
        <w:rPr>
          <w:rFonts w:hint="eastAsia"/>
        </w:rPr>
        <w:t>关于常规监测位置的选择的指南见AAMITIR29和ISO/ASTM52303。对于如何使用这些数据来定义不确定度的成分指南，见附录D。</w:t>
      </w:r>
    </w:p>
    <w:p w:rsidR="006B67CC" w:rsidRDefault="006B67CC" w:rsidP="006B67CC">
      <w:pPr>
        <w:pStyle w:val="affd"/>
        <w:spacing w:before="156" w:after="156"/>
      </w:pPr>
      <w:bookmarkStart w:id="114" w:name="_Toc112783046"/>
      <w:bookmarkStart w:id="115" w:name="_Toc112844843"/>
      <w:r w:rsidRPr="006B67CC">
        <w:rPr>
          <w:rFonts w:hint="eastAsia"/>
        </w:rPr>
        <w:t>电子束辐照装置</w:t>
      </w:r>
      <w:bookmarkEnd w:id="114"/>
      <w:bookmarkEnd w:id="115"/>
    </w:p>
    <w:p w:rsidR="006B67CC" w:rsidRDefault="006B67CC" w:rsidP="006B67CC">
      <w:pPr>
        <w:pStyle w:val="affe"/>
        <w:spacing w:before="156" w:after="156"/>
      </w:pPr>
      <w:bookmarkStart w:id="116" w:name="_Toc112783047"/>
      <w:bookmarkStart w:id="117" w:name="_Toc112844844"/>
      <w:r w:rsidRPr="006B67CC">
        <w:rPr>
          <w:rFonts w:hint="eastAsia"/>
        </w:rPr>
        <w:t>装载模式</w:t>
      </w:r>
      <w:bookmarkEnd w:id="116"/>
      <w:bookmarkEnd w:id="117"/>
    </w:p>
    <w:p w:rsidR="006B67CC" w:rsidRDefault="006B67CC" w:rsidP="006B67CC">
      <w:pPr>
        <w:pStyle w:val="affffffff9"/>
      </w:pPr>
      <w:r>
        <w:rPr>
          <w:rFonts w:hint="eastAsia"/>
        </w:rPr>
        <w:t>对于剂量分布，单个产品箱宜以规定的预期常规装载模式的方式排列在辐照容器内。宜考虑到关键的产品特性，包括单个产品纸箱的尺寸和重量，以及这些参数的允许变化范围，产品组成，产品纸箱的方向和产品纸箱内的产品单元相对于电子束方向，产品的剂量规范和从运行鉴定剂量分布中获得的见解。在性能鉴定期间要辐照的产品纸箱样品宜进行测量和称重，以确保产品纸箱符合规定的产品特性。</w:t>
      </w:r>
    </w:p>
    <w:p w:rsidR="006B67CC" w:rsidRDefault="006B67CC" w:rsidP="006B67CC">
      <w:pPr>
        <w:pStyle w:val="affff6"/>
        <w:ind w:firstLine="420"/>
      </w:pPr>
      <w:r>
        <w:rPr>
          <w:rFonts w:hint="eastAsia"/>
        </w:rPr>
        <w:t>产品箱内的产品方向可能会影响剂量分布，因此在准备电子束灭菌产品时宜予以考虑。一般情况下，产品纸箱通常是完全充满辐照容器的体积。然而，在某些情况下，由于产品的限制，如窄剂量范围规范、产品密度高或非均匀性或纸箱尺寸，无法利用剩余空间。</w:t>
      </w:r>
    </w:p>
    <w:p w:rsidR="006B67CC" w:rsidRDefault="006B67CC" w:rsidP="006B67CC">
      <w:pPr>
        <w:pStyle w:val="affffffff9"/>
      </w:pPr>
      <w:r>
        <w:rPr>
          <w:rFonts w:hint="eastAsia"/>
        </w:rPr>
        <w:t>在某些情况下，产品纸箱可以在辐照容器内移动，或者产品单元可以在产品纸箱内移动，这两者都可能影响剂量分布。</w:t>
      </w:r>
    </w:p>
    <w:p w:rsidR="006B67CC" w:rsidRDefault="006B67CC" w:rsidP="006B67CC">
      <w:pPr>
        <w:pStyle w:val="affff6"/>
        <w:ind w:firstLine="420"/>
      </w:pPr>
      <w:r>
        <w:rPr>
          <w:rFonts w:hint="eastAsia"/>
        </w:rPr>
        <w:t>如果产品纸箱在辐照容器内能够移动并且影响剂量分布，宜固定产品，以防止这种移动。在性能鉴定期间用于保护产品的材料也宜在常规加工过程中使用，并在过程规范中定义。如果产品纸箱不能充分固定，则在绘制剂量分布时宜考虑到这一点，例如，通过绘制最坏情况配置的剂量分布。</w:t>
      </w:r>
    </w:p>
    <w:p w:rsidR="006B67CC" w:rsidRDefault="006B67CC" w:rsidP="006B67CC">
      <w:pPr>
        <w:pStyle w:val="affff6"/>
        <w:ind w:firstLine="420"/>
      </w:pPr>
      <w:r>
        <w:rPr>
          <w:rFonts w:hint="eastAsia"/>
        </w:rPr>
        <w:t>如果产品在辐照容器内可以移动并且对剂量分布产生影响，在绘制剂量分布图时宜引起注意，比如通过绘制产品纸箱内产品的一些可能方向的剂量分布，以确定关于剂量分布的最坏情况。</w:t>
      </w:r>
    </w:p>
    <w:p w:rsidR="006B67CC" w:rsidRDefault="006B67CC" w:rsidP="006B67CC">
      <w:pPr>
        <w:pStyle w:val="affffffff9"/>
      </w:pPr>
      <w:r>
        <w:rPr>
          <w:rFonts w:hint="eastAsia"/>
        </w:rPr>
        <w:lastRenderedPageBreak/>
        <w:t>宜在指定的过程参数上实施足够数量的满载辐照容器的剂量分布，以便确定辐照容器之间剂量和剂量分布的变异性。为了获得统计上有效的数据，宜至少绘制3个辐照容器的剂量分布。然而通过大量的实验可提高测量值的可信度。重复性剂量分布实验在剂量极值区域布放剂量计也可能满足要求，而不用进行一次完整的剂量分布实验。</w:t>
      </w:r>
    </w:p>
    <w:p w:rsidR="006B67CC" w:rsidRDefault="006B67CC" w:rsidP="006B67CC">
      <w:pPr>
        <w:pStyle w:val="affff6"/>
        <w:ind w:firstLine="420"/>
      </w:pPr>
      <w:r>
        <w:rPr>
          <w:rFonts w:hint="eastAsia"/>
        </w:rPr>
        <w:t>根据辐照装置的设计，至少一个满载产品的辐照容器在剂量分布产品辐照容器之前和之后，以减少辐照装置中其他不同产品可能对性能鉴定产品剂量分布的影响。剂量分布实验的设计将影响可获得的关于变异性来源的信息(见附录D)</w:t>
      </w:r>
      <w:r w:rsidR="00DE7C8F">
        <w:rPr>
          <w:rFonts w:hint="eastAsia"/>
        </w:rPr>
        <w:t>。</w:t>
      </w:r>
      <w:r>
        <w:rPr>
          <w:rFonts w:hint="eastAsia"/>
        </w:rPr>
        <w:t>额外指南见ISO/ASTM52303。</w:t>
      </w:r>
    </w:p>
    <w:p w:rsidR="006B67CC" w:rsidRDefault="006B67CC" w:rsidP="006B67CC">
      <w:pPr>
        <w:pStyle w:val="affff6"/>
        <w:ind w:firstLine="420"/>
      </w:pPr>
      <w:r>
        <w:rPr>
          <w:rFonts w:hint="eastAsia"/>
        </w:rPr>
        <w:t>剂量分布实验的结果可能表明如何修改某些过程参数可为常规灭菌处理提供规范内的剂量。只有在先前的研究证明改变这些参数如何影响剂量传递时，未重复剂量分布实验情况下修改参数才能被接受。这通常发生在参数(例如，传输速度、电流等）已被证明与剂量传递有直接关系的情况。</w:t>
      </w:r>
    </w:p>
    <w:p w:rsidR="006B67CC" w:rsidRDefault="006B67CC" w:rsidP="006B67CC">
      <w:pPr>
        <w:pStyle w:val="affff6"/>
        <w:ind w:firstLine="420"/>
      </w:pPr>
      <w:r>
        <w:rPr>
          <w:rFonts w:hint="eastAsia"/>
        </w:rPr>
        <w:t>经过适当基准测试的数学模型可用于确定参数变化对剂量</w:t>
      </w:r>
      <w:r w:rsidR="00A31B26">
        <w:rPr>
          <w:rFonts w:hint="eastAsia"/>
        </w:rPr>
        <w:t>传递</w:t>
      </w:r>
      <w:r>
        <w:rPr>
          <w:rFonts w:hint="eastAsia"/>
        </w:rPr>
        <w:t>的影响。</w:t>
      </w:r>
    </w:p>
    <w:p w:rsidR="006B67CC" w:rsidRDefault="006B67CC" w:rsidP="006B67CC">
      <w:pPr>
        <w:pStyle w:val="affffffff9"/>
      </w:pPr>
      <w:r>
        <w:rPr>
          <w:rFonts w:hint="eastAsia"/>
        </w:rPr>
        <w:t>部分装载的辐照容器也宜进行剂量分布，以确保符合剂量规范。考虑到一个部分装载的辐照容器可能包含从一个纸箱到少于满载一个纸箱的数量，剂量分布可能会根据部分装载的辐照容器内的纸箱数量而有所变化。因此，对部分装载辐照容器剂量分布的评估宜包括根据辐照容器内产品的不同数量对剂量分布的评估。或者，在部分装载的辐照容器中添加模拟产品以模拟满载的辐照容器，可能会减少部分装载的辐照容器对剂量分布的影响。</w:t>
      </w:r>
    </w:p>
    <w:p w:rsidR="006B67CC" w:rsidRDefault="006B67CC" w:rsidP="006B67CC">
      <w:pPr>
        <w:pStyle w:val="affff6"/>
        <w:ind w:firstLine="420"/>
      </w:pPr>
      <w:r>
        <w:rPr>
          <w:rFonts w:hint="eastAsia"/>
        </w:rPr>
        <w:t>穿过电子束的相邻辐照容器之间的间隔和/或部分装载的辐照容器内的产品数量也可能影响到与部分装载辐照容器相邻的满载辐照容器的剂量。因此，在制定剂量计放置计划时宜考虑到这一点(见9.3.9)。</w:t>
      </w:r>
    </w:p>
    <w:p w:rsidR="006B67CC" w:rsidRDefault="006B67CC" w:rsidP="006B67CC">
      <w:pPr>
        <w:pStyle w:val="affff6"/>
        <w:ind w:firstLine="420"/>
      </w:pPr>
      <w:r>
        <w:rPr>
          <w:rFonts w:hint="eastAsia"/>
        </w:rPr>
        <w:t>如果部分装载的辐照容器导致不可接受的剂量分布，这可以通过添加适量的模拟产品来解决。此种添加的细节应是过程规范的一部分。</w:t>
      </w:r>
    </w:p>
    <w:p w:rsidR="00971E85" w:rsidRDefault="00971E85" w:rsidP="00971E85">
      <w:pPr>
        <w:pStyle w:val="affe"/>
        <w:spacing w:before="156" w:after="156"/>
      </w:pPr>
      <w:bookmarkStart w:id="118" w:name="_Toc112783048"/>
      <w:bookmarkStart w:id="119" w:name="_Toc112844845"/>
      <w:r w:rsidRPr="00971E85">
        <w:rPr>
          <w:rFonts w:hint="eastAsia"/>
        </w:rPr>
        <w:t>剂量学</w:t>
      </w:r>
      <w:bookmarkEnd w:id="118"/>
      <w:bookmarkEnd w:id="119"/>
    </w:p>
    <w:p w:rsidR="00971E85" w:rsidRDefault="00971E85" w:rsidP="00971E85">
      <w:pPr>
        <w:pStyle w:val="afff"/>
        <w:spacing w:before="156" w:after="156"/>
      </w:pPr>
      <w:r w:rsidRPr="00971E85">
        <w:rPr>
          <w:rFonts w:hint="eastAsia"/>
        </w:rPr>
        <w:t>剂量计放置</w:t>
      </w:r>
    </w:p>
    <w:p w:rsidR="00971E85" w:rsidRDefault="00971E85" w:rsidP="00971E85">
      <w:pPr>
        <w:pStyle w:val="affffffffc"/>
      </w:pPr>
      <w:r>
        <w:rPr>
          <w:rFonts w:hint="eastAsia"/>
        </w:rPr>
        <w:t>剂量计宜放置在每个满载的辐照容器中，以进行足够数量的分布实验，以确定最小和最大剂量的位置。对于使用电子束辐照装置处理的产品，通常需要在产品的无菌屏障系统内放置剂量计，以确定最小和最大剂量。与γ或X射线不同，考虑到产品的非均匀性，在运行鉴定期间使用均匀材料进行的剂量分布实验的数据通常不用于指导性能鉴定期间剂量计的放置。</w:t>
      </w:r>
    </w:p>
    <w:p w:rsidR="00971E85" w:rsidRDefault="00971E85" w:rsidP="00971E85">
      <w:pPr>
        <w:pStyle w:val="affffffffc"/>
      </w:pPr>
      <w:r>
        <w:rPr>
          <w:rFonts w:hint="eastAsia"/>
        </w:rPr>
        <w:t>剂量计宜放置在部分装载的辐照容器以及周围的辐照容器的剂量分布可能受到部分装载的辐照容器影响的预期最小和最大剂量区域。</w:t>
      </w:r>
    </w:p>
    <w:p w:rsidR="00971E85" w:rsidRDefault="00971E85" w:rsidP="00971E85">
      <w:pPr>
        <w:pStyle w:val="affffffffc"/>
      </w:pPr>
      <w:r>
        <w:rPr>
          <w:rFonts w:hint="eastAsia"/>
        </w:rPr>
        <w:t>用于常规过程监测的位置宜包括在性能鉴定的剂量计放置计划中。此监测位置宜为辐照容器内、上或附近的方便位置，但始终是随辐照容器移动的位置。虽然不需要，但使用最小或最大剂量位置作为监测位置可能很方便。</w:t>
      </w:r>
    </w:p>
    <w:p w:rsidR="00971E85" w:rsidRDefault="00971E85" w:rsidP="00971E85">
      <w:pPr>
        <w:pStyle w:val="affffffffc"/>
      </w:pPr>
      <w:r>
        <w:rPr>
          <w:rFonts w:hint="eastAsia"/>
        </w:rPr>
        <w:t>剂量测量系统宜有足够高的空间分辨率，以测量可能存在的剂量梯度，例如：在材料的界面上。对于电子束辐照而言，剂量梯度的大小在小于1 mm尺度上可超过百分之几十以上，例如，对于小金属组件的辐照（例如见参考[29]）。</w:t>
      </w:r>
    </w:p>
    <w:p w:rsidR="00971E85" w:rsidRDefault="00971E85" w:rsidP="00971E85">
      <w:pPr>
        <w:pStyle w:val="affffffffc"/>
      </w:pPr>
      <w:r>
        <w:rPr>
          <w:rFonts w:hint="eastAsia"/>
        </w:rPr>
        <w:t>对于造成局部屏蔽或散射的产品，可能需要使用薄膜剂量计来获得所需的空间分辨率。如果使用没有外包装的薄膜剂量计，这些剂量计极易受到环境条件的影响，例如湿度，这可能会造成重大的测量错误。在进行剂量分布实验时，可将不带保护袋的薄膜剂量计辐照于接近参考剂量计的地方，或将薄膜剂量计置于其外包装内，以减少这些错误。没有外包装袋的剂量计与参考剂量计放置时，宜确保两种类型剂量计受到相同剂量的照射。两种类型剂量计剂量测量的差异可以用来修正剂量分布的结果。</w:t>
      </w:r>
    </w:p>
    <w:p w:rsidR="00971E85" w:rsidRDefault="00971E85" w:rsidP="00971E85">
      <w:pPr>
        <w:pStyle w:val="afff"/>
        <w:spacing w:before="156" w:after="156"/>
      </w:pPr>
      <w:r w:rsidRPr="00971E85">
        <w:rPr>
          <w:rFonts w:hint="eastAsia"/>
        </w:rPr>
        <w:t>重复剂量分布实验</w:t>
      </w:r>
    </w:p>
    <w:p w:rsidR="00971E85" w:rsidRDefault="00971E85" w:rsidP="00971E85">
      <w:pPr>
        <w:pStyle w:val="affff6"/>
        <w:ind w:firstLine="420"/>
      </w:pPr>
      <w:r>
        <w:rPr>
          <w:rFonts w:hint="eastAsia"/>
        </w:rPr>
        <w:lastRenderedPageBreak/>
        <w:t>重复性剂量分布实验用于获得由于辐照装置变化、产品变化和剂量计测量重复性引起的剂量计测量变异性的信息。建议至少进行三次实验（每次实验使用独立的辐照容器）来获得在统计学上有效的数据。通过大量的实验可提高测量值的可信度。重复性剂量分布实验在剂量极值区域布放剂量计也可能满足要求，而不用进行一次完整的剂量分布实验。进一步的指南见ISO/ASTM52303。</w:t>
      </w:r>
    </w:p>
    <w:p w:rsidR="00971E85" w:rsidRDefault="00971E85" w:rsidP="00971E85">
      <w:pPr>
        <w:pStyle w:val="affff6"/>
        <w:ind w:firstLine="420"/>
      </w:pPr>
      <w:r>
        <w:rPr>
          <w:rFonts w:hint="eastAsia"/>
        </w:rPr>
        <w:t>可能有特殊情况，例如建立灭菌剂量的辐照，只使用一个或两个辐照容器。在这些情况下，宜在每个辐照容器中放置足够的剂量计，以确定最小剂量和最大剂量位置并测量。</w:t>
      </w:r>
    </w:p>
    <w:p w:rsidR="00971E85" w:rsidRDefault="00971E85" w:rsidP="00971E85">
      <w:pPr>
        <w:pStyle w:val="affe"/>
        <w:spacing w:before="156" w:after="156"/>
      </w:pPr>
      <w:bookmarkStart w:id="120" w:name="_Toc112783049"/>
      <w:bookmarkStart w:id="121" w:name="_Toc112844846"/>
      <w:r w:rsidRPr="00971E85">
        <w:rPr>
          <w:rFonts w:hint="eastAsia"/>
        </w:rPr>
        <w:t>剂量分布数据分析</w:t>
      </w:r>
      <w:bookmarkEnd w:id="120"/>
      <w:bookmarkEnd w:id="121"/>
    </w:p>
    <w:p w:rsidR="00971E85" w:rsidRDefault="00971E85" w:rsidP="00971E85">
      <w:pPr>
        <w:pStyle w:val="affff6"/>
        <w:ind w:firstLine="420"/>
      </w:pPr>
      <w:r>
        <w:rPr>
          <w:rFonts w:hint="eastAsia"/>
        </w:rPr>
        <w:t>剂量分布数据分析</w:t>
      </w:r>
    </w:p>
    <w:p w:rsidR="00971E85" w:rsidRDefault="00971E85">
      <w:pPr>
        <w:pStyle w:val="af5"/>
        <w:numPr>
          <w:ilvl w:val="0"/>
          <w:numId w:val="33"/>
        </w:numPr>
      </w:pPr>
      <w:r>
        <w:rPr>
          <w:rFonts w:hint="eastAsia"/>
        </w:rPr>
        <w:t>定义与产品最小和最大剂量位置相关的常规监测位置，以及</w:t>
      </w:r>
    </w:p>
    <w:p w:rsidR="00971E85" w:rsidRDefault="00971E85" w:rsidP="00971E85">
      <w:pPr>
        <w:pStyle w:val="af5"/>
      </w:pPr>
      <w:r>
        <w:rPr>
          <w:rFonts w:hint="eastAsia"/>
        </w:rPr>
        <w:t>在适用的情况下，定义与使用常规监测位置间接测量产品的最小和最大剂量有关的不确定度成分。</w:t>
      </w:r>
    </w:p>
    <w:p w:rsidR="00971E85" w:rsidRDefault="00971E85" w:rsidP="00A664CD">
      <w:pPr>
        <w:pStyle w:val="afff2"/>
      </w:pPr>
      <w:r>
        <w:rPr>
          <w:rFonts w:hint="eastAsia"/>
        </w:rPr>
        <w:t>关于常规监测位置的选择的指南见AAMITIR29和ISO/ASTM52303。对于如何使用这些数据来定义不确定度的成分指南，见附录D。</w:t>
      </w:r>
    </w:p>
    <w:p w:rsidR="00971E85" w:rsidRDefault="00971E85" w:rsidP="00971E85">
      <w:pPr>
        <w:pStyle w:val="affd"/>
        <w:spacing w:before="156" w:after="156"/>
      </w:pPr>
      <w:bookmarkStart w:id="122" w:name="_Toc112783050"/>
      <w:bookmarkStart w:id="123" w:name="_Toc112844847"/>
      <w:r w:rsidRPr="00971E85">
        <w:rPr>
          <w:rFonts w:hint="eastAsia"/>
        </w:rPr>
        <w:t>X射线辐照装置</w:t>
      </w:r>
      <w:bookmarkEnd w:id="122"/>
      <w:bookmarkEnd w:id="123"/>
    </w:p>
    <w:p w:rsidR="00971E85" w:rsidRDefault="00971E85" w:rsidP="00971E85">
      <w:pPr>
        <w:pStyle w:val="affe"/>
        <w:spacing w:before="156" w:after="156"/>
      </w:pPr>
      <w:bookmarkStart w:id="124" w:name="_Toc112783051"/>
      <w:bookmarkStart w:id="125" w:name="_Toc112844848"/>
      <w:r w:rsidRPr="00971E85">
        <w:rPr>
          <w:rFonts w:hint="eastAsia"/>
        </w:rPr>
        <w:t>装载模式</w:t>
      </w:r>
      <w:bookmarkEnd w:id="124"/>
      <w:bookmarkEnd w:id="125"/>
    </w:p>
    <w:p w:rsidR="00971E85" w:rsidRDefault="00971E85" w:rsidP="00971E85">
      <w:pPr>
        <w:pStyle w:val="affffffff9"/>
      </w:pPr>
      <w:r>
        <w:rPr>
          <w:rFonts w:hint="eastAsia"/>
        </w:rPr>
        <w:t>对于剂量分布，单个产品纸箱宜以规定的预期常规的装载模式的方式排列在辐照容器内。宜考虑到关键的产品特性，包括单个产品的纸箱尺寸和重量，以及这些参数的允许变化范围，产品的剂量规范和从运行鉴定剂量分布中获得的见解。在性能鉴定期间要加工的产品纸箱样品宜进行测量和称重，以确保产品纸箱符合规定的产品特性。</w:t>
      </w:r>
    </w:p>
    <w:p w:rsidR="00971E85" w:rsidRDefault="00971E85" w:rsidP="00971E85">
      <w:pPr>
        <w:pStyle w:val="affff6"/>
        <w:ind w:firstLine="420"/>
      </w:pPr>
      <w:r>
        <w:rPr>
          <w:rFonts w:hint="eastAsia"/>
        </w:rPr>
        <w:t>一般情况下，产品纸箱通常是完全充满辐照容器的体积。然而，在某些情况下，由于产品的限制，如窄剂量范围规范、产品密度高或非均匀性或纸箱尺寸，无法利用剩余空间。</w:t>
      </w:r>
    </w:p>
    <w:p w:rsidR="00971E85" w:rsidRDefault="00971E85" w:rsidP="00971E85">
      <w:pPr>
        <w:pStyle w:val="affff6"/>
        <w:ind w:firstLine="420"/>
      </w:pPr>
      <w:r>
        <w:rPr>
          <w:rFonts w:hint="eastAsia"/>
        </w:rPr>
        <w:t>辐照容器内定义的产品装载模式可以包括一种以上的产品，并包括一系列纸箱尺寸和重量。宜研究不同密度的装载产品在辐照容器内不同位置对剂量分布的影响。剂量分布的影响可以通过对不同的装载模式进行剂量分布实验来检验，其中产品密度的极端值配置在辐照容器的不同位置。剂量分布实验的结果可能产生一个或多个潜在的最小或最大剂量的位置(见ISO/ASTM52303)。</w:t>
      </w:r>
    </w:p>
    <w:p w:rsidR="00971E85" w:rsidRDefault="00971E85" w:rsidP="00971E85">
      <w:pPr>
        <w:pStyle w:val="affffffff9"/>
      </w:pPr>
      <w:r>
        <w:rPr>
          <w:rFonts w:hint="eastAsia"/>
        </w:rPr>
        <w:t>在某些情况下，产品纸箱可以在辐照容器内移动，或者产品单元可以在产品纸箱内移动，这两者都可能影响剂量分布。</w:t>
      </w:r>
    </w:p>
    <w:p w:rsidR="00971E85" w:rsidRDefault="00971E85" w:rsidP="00971E85">
      <w:pPr>
        <w:pStyle w:val="affff6"/>
        <w:ind w:firstLine="420"/>
      </w:pPr>
      <w:r>
        <w:rPr>
          <w:rFonts w:hint="eastAsia"/>
        </w:rPr>
        <w:t>如果产品纸箱在辐照容器内能够移动并且影响剂量分布，宜固定产品，以防止这种移动。在性能鉴定期间用于保护产品的材料也宜在常规加工过程中使用，并在过程规范中定义。如果产品纸箱不能充分固定，则在绘制剂量分布时宜考虑到这一点，例如，通过绘制最坏情况配置的剂量分布。</w:t>
      </w:r>
    </w:p>
    <w:p w:rsidR="00971E85" w:rsidRDefault="00971E85" w:rsidP="00971E85">
      <w:pPr>
        <w:pStyle w:val="affff6"/>
        <w:ind w:firstLine="420"/>
      </w:pPr>
      <w:r>
        <w:rPr>
          <w:rFonts w:hint="eastAsia"/>
        </w:rPr>
        <w:t>如果产品在</w:t>
      </w:r>
      <w:r w:rsidR="00693685">
        <w:rPr>
          <w:rFonts w:hint="eastAsia"/>
        </w:rPr>
        <w:t>产品</w:t>
      </w:r>
      <w:r w:rsidR="003D627A">
        <w:rPr>
          <w:rFonts w:hint="eastAsia"/>
        </w:rPr>
        <w:t>纸</w:t>
      </w:r>
      <w:r w:rsidR="00693685">
        <w:rPr>
          <w:rFonts w:hint="eastAsia"/>
        </w:rPr>
        <w:t>箱内</w:t>
      </w:r>
      <w:r>
        <w:rPr>
          <w:rFonts w:hint="eastAsia"/>
        </w:rPr>
        <w:t>能够移动并且对剂量分布有影响，在绘制剂量分布时宜引起重视，例如，通过绘制产品纸箱内产品的一些可能的方向剂量分布，以确定关于剂量分布的最坏情况。</w:t>
      </w:r>
    </w:p>
    <w:p w:rsidR="00971E85" w:rsidRDefault="00971E85" w:rsidP="00877501">
      <w:pPr>
        <w:pStyle w:val="affffffff9"/>
      </w:pPr>
      <w:r>
        <w:rPr>
          <w:rFonts w:hint="eastAsia"/>
        </w:rPr>
        <w:t>低密度产品倾向于相当均匀，因此在用X射线照射时，辐照容器内个别产品的方向不太可能对剂量分布产生重大影响。但是，对于不均匀的产品，例如含有高密度成分和空隙的产品(例如金属和金属/聚合物植入物)可能会难以获得可接受的剂量分布，在某些情况下，在每个辐照容器内可能需要产品的特定方向。</w:t>
      </w:r>
    </w:p>
    <w:p w:rsidR="00971E85" w:rsidRDefault="00971E85" w:rsidP="00877501">
      <w:pPr>
        <w:pStyle w:val="affffffff9"/>
      </w:pPr>
      <w:r>
        <w:rPr>
          <w:rFonts w:hint="eastAsia"/>
        </w:rPr>
        <w:t>宜在指定的过程参数上实施足够数量的满载辐照容器的剂量分布，以便确定辐照容器之间剂量和剂量分布的变异性。为了获得统计上有效的数据，宜至少绘制3个辐照容器的剂量分布。然而通过大量的实验可提高测量值的可信度。重复性剂量分布实验在剂量极值区域布放剂量计也可能满足要求，而不用进行一次完整的剂量分布实验。</w:t>
      </w:r>
    </w:p>
    <w:p w:rsidR="00971E85" w:rsidRDefault="00971E85" w:rsidP="00971E85">
      <w:pPr>
        <w:pStyle w:val="affff6"/>
        <w:ind w:firstLine="420"/>
      </w:pPr>
      <w:r>
        <w:rPr>
          <w:rFonts w:hint="eastAsia"/>
        </w:rPr>
        <w:lastRenderedPageBreak/>
        <w:t>在剂量分布产品之前和之后包含产品或模拟产品辐照容器的数量将取决于特定的辐照装置设计。剂量分布实验的设计将影响可获得的关于变异性来源的信息(见附录D)。进一步的指南见ISO/ASTM52303。</w:t>
      </w:r>
    </w:p>
    <w:p w:rsidR="00971E85" w:rsidRDefault="00971E85" w:rsidP="00877501">
      <w:pPr>
        <w:pStyle w:val="affffffff9"/>
      </w:pPr>
      <w:r>
        <w:rPr>
          <w:rFonts w:hint="eastAsia"/>
        </w:rPr>
        <w:t>部分装载的辐照容器也宜进行剂量分布，以确保符合剂量规范。考虑到一个部分装载的辐照容器可能包含从一个纸箱到少于满载一个纸箱的数量，剂量分布可能会根据部分装载的辐照容器内的纸箱数量而有所变化。因此，对部分装载辐照容器剂量分布的评估宜包括根据辐照容器内产品的不同数量对剂量分布的评估。在运行鉴定期间对部分装载的容器的测试可以提供有价值的信息，有利于性能鉴定的实验设计。或者，在部分装载的辐照容器中添加模拟产品以模拟满载的辐照容器，可能会减少部分装载的辐照容器对剂量分布的影响。</w:t>
      </w:r>
    </w:p>
    <w:p w:rsidR="00971E85" w:rsidRDefault="00971E85" w:rsidP="00971E85">
      <w:pPr>
        <w:pStyle w:val="affff6"/>
        <w:ind w:firstLine="420"/>
      </w:pPr>
      <w:r>
        <w:rPr>
          <w:rFonts w:hint="eastAsia"/>
        </w:rPr>
        <w:t>如果部分装载的辐照容器导致不可接受的剂量分布，这可以通过添加适量的模拟产品来解决。此种添加的细节应是过程规范的一部分。</w:t>
      </w:r>
    </w:p>
    <w:p w:rsidR="00877501" w:rsidRDefault="00877501" w:rsidP="00877501">
      <w:pPr>
        <w:pStyle w:val="affe"/>
        <w:spacing w:before="156" w:after="156"/>
      </w:pPr>
      <w:bookmarkStart w:id="126" w:name="_Toc112783052"/>
      <w:bookmarkStart w:id="127" w:name="_Toc112844849"/>
      <w:r w:rsidRPr="00877501">
        <w:rPr>
          <w:rFonts w:hint="eastAsia"/>
        </w:rPr>
        <w:t>剂量学</w:t>
      </w:r>
      <w:bookmarkEnd w:id="126"/>
      <w:bookmarkEnd w:id="127"/>
    </w:p>
    <w:p w:rsidR="00877501" w:rsidRDefault="00877501" w:rsidP="00877501">
      <w:pPr>
        <w:pStyle w:val="afff"/>
        <w:spacing w:before="156" w:after="156"/>
      </w:pPr>
      <w:r w:rsidRPr="00877501">
        <w:rPr>
          <w:rFonts w:hint="eastAsia"/>
        </w:rPr>
        <w:t>剂量计放置</w:t>
      </w:r>
    </w:p>
    <w:p w:rsidR="00877501" w:rsidRDefault="00877501" w:rsidP="00877501">
      <w:pPr>
        <w:pStyle w:val="affffffffc"/>
      </w:pPr>
      <w:r>
        <w:rPr>
          <w:rFonts w:hint="eastAsia"/>
        </w:rPr>
        <w:t>剂量计宜放置在每个满载的辐照容器中，以进行足够数量的分布实验，以确定最小和最大剂量的位置。来自运行鉴定剂量分布的数据可用于指导剂量计的放置，将剂量计集中放置在最小和最大剂量的预期区域。</w:t>
      </w:r>
    </w:p>
    <w:p w:rsidR="00877501" w:rsidRDefault="00877501" w:rsidP="00877501">
      <w:pPr>
        <w:pStyle w:val="affffffffc"/>
      </w:pPr>
      <w:r>
        <w:rPr>
          <w:rFonts w:hint="eastAsia"/>
        </w:rPr>
        <w:t>剂量计宜放置在部分装载的辐照容器以及周围的辐照容器的剂量分布可能受到部分装载的辐照容器影响的预期最小和最大剂量区域。</w:t>
      </w:r>
    </w:p>
    <w:p w:rsidR="00877501" w:rsidRDefault="00877501" w:rsidP="00877501">
      <w:pPr>
        <w:pStyle w:val="affffffffc"/>
      </w:pPr>
      <w:r>
        <w:rPr>
          <w:rFonts w:hint="eastAsia"/>
        </w:rPr>
        <w:t>用于常规过程监测的位置宜包括在性能鉴定的剂量计放置计划中。此监测位置宜为辐照容器内、上或附近的方便位置，但始终是随辐照容器移动的位置。虽然不需要，但使用最小或最大剂量位置作为监测位置可能很方便。</w:t>
      </w:r>
    </w:p>
    <w:p w:rsidR="00877501" w:rsidRDefault="00877501" w:rsidP="00877501">
      <w:pPr>
        <w:pStyle w:val="affffffffc"/>
      </w:pPr>
      <w:r>
        <w:rPr>
          <w:rFonts w:hint="eastAsia"/>
        </w:rPr>
        <w:t>剂量测量系统宜有足够高的空间分辨率，以测量可能存在的剂量梯度，例如：在材料的界面上。</w:t>
      </w:r>
    </w:p>
    <w:p w:rsidR="00877501" w:rsidRDefault="00877501" w:rsidP="00877501">
      <w:pPr>
        <w:pStyle w:val="affffffffc"/>
      </w:pPr>
      <w:r>
        <w:rPr>
          <w:rFonts w:hint="eastAsia"/>
        </w:rPr>
        <w:t>对于造成局部屏蔽或散射的产品，可能需要使用薄膜剂量计来获得所需的空间分辨率。如果使用没有外包装的薄膜剂量计，这些剂量计极易受到环境条件的影响，例如湿度，这可能会造成重大的测量错误。在进行剂量分布实验时，可将不带保护袋的薄膜剂量计辐照于接近参考剂量计的地方，或将薄膜剂量计置于其外包装内，以减少这些错误。没有外包装袋的剂量计与参考剂量计放置时，宜确保两种类型剂量计受到相同剂量的照射。两种类型剂量计剂量测量的差异可以用来修正剂量分布的结果。</w:t>
      </w:r>
    </w:p>
    <w:p w:rsidR="00877501" w:rsidRDefault="00877501" w:rsidP="00877501">
      <w:pPr>
        <w:pStyle w:val="affffffffc"/>
      </w:pPr>
      <w:r>
        <w:rPr>
          <w:rFonts w:hint="eastAsia"/>
        </w:rPr>
        <w:t>对于用X射线辐照低密度产品，可能适合将剂量计放置在产品的无菌屏障系统之外，因为显著的剂量梯度不会出现在在单个产品单元内/上。典型例子是产品是由低原子序数（如非金属产品）的元素组成的，另外，不包含密度或质量大到足以造成邻近区域局部屏蔽或向邻近区域散射的物质。</w:t>
      </w:r>
    </w:p>
    <w:p w:rsidR="00877501" w:rsidRDefault="00877501" w:rsidP="00DE7C8F">
      <w:pPr>
        <w:pStyle w:val="afff2"/>
      </w:pPr>
      <w:r>
        <w:rPr>
          <w:rFonts w:hint="eastAsia"/>
        </w:rPr>
        <w:t>在某些辐照装置设计中，由于辐照装置的设计和辐照容器的结构材料的位置，低密度产品可能会出现显著的剂量梯度。</w:t>
      </w:r>
    </w:p>
    <w:p w:rsidR="00877501" w:rsidRDefault="00877501" w:rsidP="00877501">
      <w:pPr>
        <w:pStyle w:val="affffffffc"/>
      </w:pPr>
      <w:r>
        <w:rPr>
          <w:rFonts w:hint="eastAsia"/>
        </w:rPr>
        <w:t>对于产品中包含密度或质量大到足以在辐照时引起局部屏蔽或散射的材料，为了确定最大和最小剂量，可能有必要将剂量计布放在产品的无菌屏障系统内。例如，由钛制成的植入物的密度明显大于包装材料，因此可能需要在无菌屏障系统内放置剂量计。</w:t>
      </w:r>
    </w:p>
    <w:p w:rsidR="00877501" w:rsidRDefault="00877501" w:rsidP="00877501">
      <w:pPr>
        <w:pStyle w:val="afff"/>
        <w:spacing w:before="156" w:after="156"/>
      </w:pPr>
      <w:r w:rsidRPr="00877501">
        <w:rPr>
          <w:rFonts w:hint="eastAsia"/>
        </w:rPr>
        <w:t>重复剂量分布实验</w:t>
      </w:r>
    </w:p>
    <w:p w:rsidR="00877501" w:rsidRDefault="00877501" w:rsidP="00877501">
      <w:pPr>
        <w:pStyle w:val="affff6"/>
        <w:ind w:firstLine="420"/>
      </w:pPr>
      <w:r>
        <w:rPr>
          <w:rFonts w:hint="eastAsia"/>
        </w:rPr>
        <w:t>重复剂量分布实验用于获得由于辐照装置变化、产品变化和剂量计测量重复性引起的剂量计测量变异性的信息。建议至少进行三次实验（每次实验使用独立的辐照容器）来获得在统计学上有效的数据。通过大量的实验可提高测量值的可信度。重复性剂量分布实验在剂量极值区域布放剂量计也可能满足要求，而不用进行一次完整的剂量分布实验。进一步的指南见ISO/ASTM52303。</w:t>
      </w:r>
    </w:p>
    <w:p w:rsidR="00877501" w:rsidRDefault="00877501" w:rsidP="00877501">
      <w:pPr>
        <w:pStyle w:val="affff6"/>
        <w:ind w:firstLine="420"/>
      </w:pPr>
      <w:r>
        <w:rPr>
          <w:rFonts w:hint="eastAsia"/>
        </w:rPr>
        <w:lastRenderedPageBreak/>
        <w:t>可能有特殊情况，例如建立灭菌剂量的辐照，只使用一个或两个辐照容器。在这些情况下，宜在每个辐照容器中放置足够的剂量计，以确定最小剂量和最大剂量位置并测量。</w:t>
      </w:r>
    </w:p>
    <w:p w:rsidR="00877501" w:rsidRDefault="00877501" w:rsidP="00877501">
      <w:pPr>
        <w:pStyle w:val="affe"/>
        <w:spacing w:before="156" w:after="156"/>
      </w:pPr>
      <w:bookmarkStart w:id="128" w:name="_Toc112783053"/>
      <w:bookmarkStart w:id="129" w:name="_Toc112844850"/>
      <w:r w:rsidRPr="00877501">
        <w:rPr>
          <w:rFonts w:hint="eastAsia"/>
        </w:rPr>
        <w:t>剂量分布数据分析</w:t>
      </w:r>
      <w:bookmarkEnd w:id="128"/>
      <w:bookmarkEnd w:id="129"/>
    </w:p>
    <w:p w:rsidR="00A779E8" w:rsidRDefault="00A779E8" w:rsidP="00A779E8">
      <w:pPr>
        <w:pStyle w:val="affff6"/>
        <w:ind w:firstLine="420"/>
      </w:pPr>
      <w:r>
        <w:rPr>
          <w:rFonts w:hint="eastAsia"/>
        </w:rPr>
        <w:t>剂量分布数据分析</w:t>
      </w:r>
    </w:p>
    <w:p w:rsidR="00A779E8" w:rsidRDefault="00A779E8">
      <w:pPr>
        <w:pStyle w:val="af5"/>
        <w:numPr>
          <w:ilvl w:val="0"/>
          <w:numId w:val="34"/>
        </w:numPr>
      </w:pPr>
      <w:r>
        <w:rPr>
          <w:rFonts w:hint="eastAsia"/>
        </w:rPr>
        <w:t>定义与产品最小和最大剂量位置相关的常规监测位置，以及</w:t>
      </w:r>
    </w:p>
    <w:p w:rsidR="00A779E8" w:rsidRDefault="00A779E8" w:rsidP="00A779E8">
      <w:pPr>
        <w:pStyle w:val="af5"/>
      </w:pPr>
      <w:r>
        <w:rPr>
          <w:rFonts w:hint="eastAsia"/>
        </w:rPr>
        <w:t>在适用的情况下，定义与使用常规监测位置间接测量产品的最小和最大剂量有关的不确定度成分。</w:t>
      </w:r>
    </w:p>
    <w:p w:rsidR="00877501" w:rsidRDefault="00A779E8" w:rsidP="00DE7C8F">
      <w:pPr>
        <w:pStyle w:val="afff2"/>
      </w:pPr>
      <w:r>
        <w:rPr>
          <w:rFonts w:hint="eastAsia"/>
        </w:rPr>
        <w:t>关于常规监测位置的选择的指南见AAMITIR29和ISO/ASTM52303。对于如何使用这些数据来定义不确定度的成分指南，见附录D。</w:t>
      </w:r>
    </w:p>
    <w:p w:rsidR="00A779E8" w:rsidRDefault="00A779E8" w:rsidP="00A779E8">
      <w:pPr>
        <w:pStyle w:val="affc"/>
        <w:spacing w:before="312" w:after="312"/>
      </w:pPr>
      <w:bookmarkStart w:id="130" w:name="_Toc112783054"/>
      <w:bookmarkStart w:id="131" w:name="_Toc112844851"/>
      <w:r w:rsidRPr="00A779E8">
        <w:rPr>
          <w:rFonts w:hint="eastAsia"/>
        </w:rPr>
        <w:t>常规监测和控制</w:t>
      </w:r>
      <w:bookmarkEnd w:id="130"/>
      <w:bookmarkEnd w:id="131"/>
    </w:p>
    <w:p w:rsidR="00A779E8" w:rsidRDefault="00A779E8" w:rsidP="00A779E8">
      <w:pPr>
        <w:pStyle w:val="affd"/>
        <w:spacing w:before="156" w:after="156"/>
      </w:pPr>
      <w:bookmarkStart w:id="132" w:name="_Toc112783055"/>
      <w:bookmarkStart w:id="133" w:name="_Toc112844852"/>
      <w:r>
        <w:rPr>
          <w:rFonts w:hint="eastAsia"/>
        </w:rPr>
        <w:t>总则</w:t>
      </w:r>
      <w:bookmarkEnd w:id="132"/>
      <w:bookmarkEnd w:id="133"/>
    </w:p>
    <w:p w:rsidR="00A779E8" w:rsidRDefault="00A779E8" w:rsidP="00A779E8">
      <w:pPr>
        <w:pStyle w:val="affff6"/>
        <w:ind w:firstLine="420"/>
      </w:pPr>
      <w:r>
        <w:rPr>
          <w:rFonts w:hint="eastAsia"/>
        </w:rPr>
        <w:t>在加工过程中常规监测位置剂量的测量用于验证最小剂量满足或超过了灭菌剂量，最大剂量未超过最大可接受剂量。</w:t>
      </w:r>
    </w:p>
    <w:p w:rsidR="00A779E8" w:rsidRDefault="00A779E8" w:rsidP="00A779E8">
      <w:pPr>
        <w:pStyle w:val="affff6"/>
        <w:ind w:firstLine="420"/>
      </w:pPr>
      <w:r>
        <w:rPr>
          <w:rFonts w:hint="eastAsia"/>
        </w:rPr>
        <w:t>这是ISO 11137-1:2006,11.2的要求，即程序中应规定灭菌过程的合格标准，要考虑测量系统的不确定度。因此，在常规过程种为常规监控位置选择一个可接受的剂量范围时，需要考虑测量不确定度(见附录D)。有许多选择方法是可能的-许多是基于用户定义的决策规则(见参考文献[3]和[24])。</w:t>
      </w:r>
    </w:p>
    <w:p w:rsidR="00A779E8" w:rsidRDefault="00A779E8" w:rsidP="00A779E8">
      <w:pPr>
        <w:pStyle w:val="affff6"/>
        <w:ind w:firstLine="420"/>
      </w:pPr>
      <w:r>
        <w:rPr>
          <w:rFonts w:hint="eastAsia"/>
        </w:rPr>
        <w:t>常规监测位置剂量测量的可接受范围在加工过程的技术规范中给出。用于评估产品符合性的直接和间接剂量测量是对剂量的最佳估计。因此，不宜用相关的测量不确定度来校正剂量测量值(见4.1.3)。</w:t>
      </w:r>
    </w:p>
    <w:p w:rsidR="00A779E8" w:rsidRDefault="00A779E8" w:rsidP="00A779E8">
      <w:pPr>
        <w:pStyle w:val="affd"/>
        <w:spacing w:before="156" w:after="156"/>
      </w:pPr>
      <w:bookmarkStart w:id="134" w:name="_Toc112783056"/>
      <w:bookmarkStart w:id="135" w:name="_Toc112844853"/>
      <w:r>
        <w:rPr>
          <w:rFonts w:hint="eastAsia"/>
        </w:rPr>
        <w:t>剂量测量的频率</w:t>
      </w:r>
      <w:bookmarkEnd w:id="134"/>
      <w:bookmarkEnd w:id="135"/>
    </w:p>
    <w:p w:rsidR="00A779E8" w:rsidRDefault="00A779E8" w:rsidP="00A779E8">
      <w:pPr>
        <w:pStyle w:val="affff6"/>
        <w:ind w:firstLine="420"/>
      </w:pPr>
      <w:r>
        <w:rPr>
          <w:rFonts w:hint="eastAsia"/>
        </w:rPr>
        <w:t>在常规监测位置的剂量测量提供了独立于任何其他辐照装置的控制或测量系统的过程信息。剂量测量的最小频率的选择宜以辐照装置和/或加工过程的独特特性为依据。在设定这一频率时，在剂量测量超出规格后可能需要报废的产品数量也可能是一个重要的考虑因素。</w:t>
      </w:r>
    </w:p>
    <w:p w:rsidR="00A779E8" w:rsidRDefault="00A779E8" w:rsidP="00A779E8">
      <w:pPr>
        <w:pStyle w:val="affff6"/>
        <w:ind w:firstLine="420"/>
      </w:pPr>
      <w:r>
        <w:rPr>
          <w:rFonts w:hint="eastAsia"/>
        </w:rPr>
        <w:t>对于γ射线加工，典型情况下是将剂量计放置在产品每个灭菌批辐照加工的开始与末端，这种产品包括特殊的加工种类。另外，在所有辐照过程中，应至少放一个剂量计在辐照室内。</w:t>
      </w:r>
    </w:p>
    <w:p w:rsidR="00A779E8" w:rsidRDefault="00A779E8" w:rsidP="00A779E8">
      <w:pPr>
        <w:pStyle w:val="affff6"/>
        <w:ind w:firstLine="420"/>
      </w:pPr>
      <w:r>
        <w:rPr>
          <w:rFonts w:hint="eastAsia"/>
        </w:rPr>
        <w:t>对于电子束或X射线加工，典型情况下是将剂量计放置在使用一组特殊过程参数辐照产品的每个灭菌批辐照加工的开始与末端，这种产品包括特殊的加工种类。</w:t>
      </w:r>
    </w:p>
    <w:p w:rsidR="00A779E8" w:rsidRDefault="00A779E8" w:rsidP="00A779E8">
      <w:pPr>
        <w:pStyle w:val="affff6"/>
        <w:ind w:firstLine="420"/>
      </w:pPr>
      <w:r>
        <w:rPr>
          <w:rFonts w:hint="eastAsia"/>
        </w:rPr>
        <w:t>在控制图上绘制连续的常规剂量测量图可以提供有关辐照过程性能的有价值的信息，并能在超出规格的测量发生之前采取预防措施。在某些情况下，可以将这种方法扩展到完全的统计过程控制，如参考文献[33]所示。</w:t>
      </w:r>
    </w:p>
    <w:p w:rsidR="00A779E8" w:rsidRDefault="00A779E8" w:rsidP="00A779E8">
      <w:pPr>
        <w:pStyle w:val="affff6"/>
        <w:ind w:firstLine="420"/>
        <w:sectPr w:rsidR="00A779E8" w:rsidSect="00BF2D77">
          <w:headerReference w:type="even" r:id="rId24"/>
          <w:headerReference w:type="default" r:id="rId25"/>
          <w:footerReference w:type="even" r:id="rId26"/>
          <w:footerReference w:type="default" r:id="rId27"/>
          <w:pgSz w:w="11906" w:h="16838" w:code="9"/>
          <w:pgMar w:top="1928" w:right="1134" w:bottom="1134" w:left="1134" w:header="1418" w:footer="1134" w:gutter="284"/>
          <w:pgNumType w:start="1"/>
          <w:cols w:space="425"/>
          <w:formProt w:val="0"/>
          <w:docGrid w:type="lines" w:linePitch="312"/>
        </w:sectPr>
      </w:pPr>
    </w:p>
    <w:p w:rsidR="00A779E8" w:rsidRDefault="00A779E8" w:rsidP="00A779E8">
      <w:pPr>
        <w:pStyle w:val="af8"/>
        <w:rPr>
          <w:vanish w:val="0"/>
        </w:rPr>
      </w:pPr>
      <w:bookmarkStart w:id="136" w:name="BookMark5"/>
      <w:bookmarkEnd w:id="27"/>
    </w:p>
    <w:p w:rsidR="00A779E8" w:rsidRDefault="00A779E8" w:rsidP="00A779E8">
      <w:pPr>
        <w:pStyle w:val="afe"/>
        <w:rPr>
          <w:vanish w:val="0"/>
        </w:rPr>
      </w:pPr>
    </w:p>
    <w:p w:rsidR="00A779E8" w:rsidRDefault="00A779E8" w:rsidP="00A779E8">
      <w:pPr>
        <w:pStyle w:val="aff3"/>
        <w:spacing w:after="156"/>
      </w:pPr>
      <w:r>
        <w:br/>
      </w:r>
      <w:bookmarkStart w:id="137" w:name="_Toc112783057"/>
      <w:bookmarkStart w:id="138" w:name="_Toc112844854"/>
      <w:r>
        <w:rPr>
          <w:rFonts w:hint="eastAsia"/>
        </w:rPr>
        <w:t>（资料性</w:t>
      </w:r>
      <w:r w:rsidR="00EB54B8">
        <w:rPr>
          <w:rFonts w:hint="eastAsia"/>
        </w:rPr>
        <w:t>附录</w:t>
      </w:r>
      <w:r>
        <w:rPr>
          <w:rFonts w:hint="eastAsia"/>
        </w:rPr>
        <w:t>）</w:t>
      </w:r>
      <w:r>
        <w:br/>
      </w:r>
      <w:r>
        <w:rPr>
          <w:rFonts w:hint="eastAsia"/>
        </w:rPr>
        <w:t>数学模型</w:t>
      </w:r>
      <w:bookmarkEnd w:id="137"/>
      <w:bookmarkEnd w:id="138"/>
    </w:p>
    <w:p w:rsidR="00A779E8" w:rsidRDefault="00A779E8" w:rsidP="00A779E8">
      <w:pPr>
        <w:pStyle w:val="aff4"/>
        <w:spacing w:before="156" w:after="156"/>
      </w:pPr>
      <w:bookmarkStart w:id="139" w:name="_Toc112783058"/>
      <w:bookmarkStart w:id="140" w:name="_Toc112844855"/>
      <w:r>
        <w:rPr>
          <w:rFonts w:hint="eastAsia"/>
        </w:rPr>
        <w:t>总则</w:t>
      </w:r>
      <w:bookmarkEnd w:id="139"/>
      <w:bookmarkEnd w:id="140"/>
    </w:p>
    <w:p w:rsidR="00A779E8" w:rsidRDefault="00A779E8" w:rsidP="00A779E8">
      <w:pPr>
        <w:pStyle w:val="affff6"/>
        <w:ind w:firstLine="420"/>
      </w:pPr>
      <w:r>
        <w:rPr>
          <w:rFonts w:hint="eastAsia"/>
        </w:rPr>
        <w:t>数学模型可以用来估算某种应用过程中的剂量。宜通过剂量测量对计算结果进行验证。数学模型也可用于剂量测量应用的最优化。</w:t>
      </w:r>
    </w:p>
    <w:p w:rsidR="00A779E8" w:rsidRDefault="00A779E8" w:rsidP="00A779E8">
      <w:pPr>
        <w:pStyle w:val="affff6"/>
        <w:ind w:firstLine="420"/>
      </w:pPr>
      <w:r>
        <w:rPr>
          <w:rFonts w:hint="eastAsia"/>
        </w:rPr>
        <w:t>数学模型可以近似地模拟辐照装置中光子或电子的迁移，同时要考虑到在辐照源和产品之间材料的衰减和散射。对于γ辐照装置，建立剂量分布的数学模型要求掌握对辐照源的活度分布、源棒在源架位置、辐照容器、、辐照装置支架结构及产品的组成和位置的准确信息。对于电子束和X射线辐照装置，宜准确地知道射束能量、束流强度以及产品、辐照容器和邻近的散射物质的组成和位置。计算过程中，任何输入参数的错误都可能导致计算剂量过程中出现错误，因此，计算所得剂量分布宜通过剂量分布研究来验证。</w:t>
      </w:r>
    </w:p>
    <w:p w:rsidR="00A779E8" w:rsidRDefault="00A779E8" w:rsidP="00A779E8">
      <w:pPr>
        <w:pStyle w:val="affff6"/>
        <w:ind w:firstLine="420"/>
      </w:pPr>
      <w:r>
        <w:rPr>
          <w:rFonts w:hint="eastAsia"/>
        </w:rPr>
        <w:t>在A.2和A.3中给出了数学模型种类及其应用的简单描述。在参考文献[23]、[27]和[31]中进一步给出了使用和应用数学模型的指南。</w:t>
      </w:r>
    </w:p>
    <w:p w:rsidR="00A779E8" w:rsidRDefault="00A779E8" w:rsidP="00A779E8">
      <w:pPr>
        <w:pStyle w:val="aff4"/>
        <w:spacing w:before="156" w:after="156"/>
      </w:pPr>
      <w:bookmarkStart w:id="141" w:name="_Toc112783059"/>
      <w:bookmarkStart w:id="142" w:name="_Toc112844856"/>
      <w:r>
        <w:rPr>
          <w:rFonts w:hint="eastAsia"/>
        </w:rPr>
        <w:t>模型的种类</w:t>
      </w:r>
      <w:bookmarkEnd w:id="141"/>
      <w:bookmarkEnd w:id="142"/>
    </w:p>
    <w:p w:rsidR="00A779E8" w:rsidRDefault="00A779E8" w:rsidP="00A779E8">
      <w:pPr>
        <w:pStyle w:val="aff5"/>
        <w:spacing w:before="156" w:after="156"/>
      </w:pPr>
      <w:bookmarkStart w:id="143" w:name="_Toc112783060"/>
      <w:bookmarkStart w:id="144" w:name="_Toc112844857"/>
      <w:r>
        <w:rPr>
          <w:rFonts w:hint="eastAsia"/>
        </w:rPr>
        <w:t>总则</w:t>
      </w:r>
      <w:bookmarkEnd w:id="143"/>
      <w:bookmarkEnd w:id="144"/>
    </w:p>
    <w:p w:rsidR="00A779E8" w:rsidRDefault="00A779E8" w:rsidP="00A779E8">
      <w:pPr>
        <w:pStyle w:val="affff6"/>
        <w:ind w:firstLine="420"/>
      </w:pPr>
      <w:r>
        <w:rPr>
          <w:rFonts w:hint="eastAsia"/>
        </w:rPr>
        <w:t>有许多方法用来建立射线传输的数学模型。然而，大部分模型的建立用的是点核法或蒙特卡罗法。点核法用于计算γ和X射线辐照装置的剂量分布。对于电子束辐照装置不采用此法。蒙特卡罗法可用于γ、X射线和电子束辐照装置。</w:t>
      </w:r>
    </w:p>
    <w:p w:rsidR="00A779E8" w:rsidRDefault="00A779E8" w:rsidP="00A779E8">
      <w:pPr>
        <w:pStyle w:val="aff5"/>
        <w:spacing w:before="156" w:after="156"/>
      </w:pPr>
      <w:bookmarkStart w:id="145" w:name="_Toc112783061"/>
      <w:bookmarkStart w:id="146" w:name="_Toc112844858"/>
      <w:r>
        <w:rPr>
          <w:rFonts w:hint="eastAsia"/>
        </w:rPr>
        <w:t>点核法</w:t>
      </w:r>
      <w:bookmarkEnd w:id="145"/>
      <w:bookmarkEnd w:id="146"/>
    </w:p>
    <w:p w:rsidR="00A779E8" w:rsidRDefault="00A779E8" w:rsidP="00A779E8">
      <w:pPr>
        <w:pStyle w:val="affff6"/>
        <w:ind w:firstLine="420"/>
      </w:pPr>
      <w:r>
        <w:rPr>
          <w:rFonts w:hint="eastAsia"/>
        </w:rPr>
        <w:t>在点核法中，γ或X射线辐照源（例如：一个γ辐照源是由许多分布为矩形板状或圆筒状的辐射源源棒组成的）被近似为许多点源。每一个点源和每一个剂量计算点之间的中间物质是由辐射源、辐照装置和产品体积构成的坐标来决定的。中间物质对于剂量率的影响是通过一种假定来评估的，即到达剂量点的光子与距离的平方成反比并与物质的质量呈指数递减。弱化的散射光子产生的贡献可用一个所谓的积累因子进行近似。对于不同材料以及不同源-产品位置下的光子能量，积累因子已经通过计算得到。然而，已公布的数值仅仅应用于简单均匀的位置（例如：在无限大介质中的一个点源）。实际上，对于γ和X射线辐照装置，其源-产品的位置并非如此简单，边界效应和不同材料的混合限制了应用积累因子的精度。</w:t>
      </w:r>
    </w:p>
    <w:p w:rsidR="00A779E8" w:rsidRDefault="00A779E8" w:rsidP="00A779E8">
      <w:pPr>
        <w:pStyle w:val="aff5"/>
        <w:spacing w:before="156" w:after="156"/>
      </w:pPr>
      <w:bookmarkStart w:id="147" w:name="_Toc112783062"/>
      <w:bookmarkStart w:id="148" w:name="_Toc112844859"/>
      <w:r>
        <w:rPr>
          <w:rFonts w:hint="eastAsia"/>
        </w:rPr>
        <w:t>蒙特卡罗法</w:t>
      </w:r>
      <w:bookmarkEnd w:id="147"/>
      <w:bookmarkEnd w:id="148"/>
    </w:p>
    <w:p w:rsidR="00A779E8" w:rsidRDefault="00A779E8" w:rsidP="00A779E8">
      <w:pPr>
        <w:pStyle w:val="affff6"/>
        <w:ind w:firstLine="420"/>
      </w:pPr>
      <w:r>
        <w:rPr>
          <w:rFonts w:hint="eastAsia"/>
        </w:rPr>
        <w:t>在蒙特卡罗法中，穿过产品和辐照装置材料的每一个光子或电子的输运可通过使用随机数来模拟的，以确定伴随不同相互作用的能量的沉积和路径的改变。对于每种相互作用，从已公布的表中可以获得其概率大小。理论上，蒙特卡罗法能准确地模拟光子和电子的实际输运过程。然而，由于每种独立的相互作用产生的概率，决定了每个光子或电子沿唯一的路径传输，因此，大量的光子或电子对剂量的贡献只能是由它们的输运历程来决定。评价与随机的统计波动有关的不确定度，需要不断地进行计算，直到获得一个可接受的统计不确定度。尽管使用现代计算速率较快的计算机，精确的计算仍需要大量的计算时间，因此，通常要用到各种近似。</w:t>
      </w:r>
    </w:p>
    <w:p w:rsidR="00A779E8" w:rsidRDefault="00A779E8" w:rsidP="00A779E8">
      <w:pPr>
        <w:pStyle w:val="aff4"/>
        <w:spacing w:before="156" w:after="156"/>
      </w:pPr>
      <w:bookmarkStart w:id="149" w:name="_Toc112783063"/>
      <w:bookmarkStart w:id="150" w:name="_Toc112844860"/>
      <w:r>
        <w:rPr>
          <w:rFonts w:hint="eastAsia"/>
        </w:rPr>
        <w:lastRenderedPageBreak/>
        <w:t>模型的使用</w:t>
      </w:r>
      <w:bookmarkEnd w:id="149"/>
      <w:bookmarkEnd w:id="150"/>
    </w:p>
    <w:p w:rsidR="00A779E8" w:rsidRDefault="00A779E8" w:rsidP="00A779E8">
      <w:pPr>
        <w:pStyle w:val="aff5"/>
        <w:spacing w:before="156" w:after="156"/>
      </w:pPr>
      <w:bookmarkStart w:id="151" w:name="_Toc112783064"/>
      <w:bookmarkStart w:id="152" w:name="_Toc112844861"/>
      <w:r>
        <w:rPr>
          <w:rFonts w:hint="eastAsia"/>
        </w:rPr>
        <w:t>辐照装置的设计</w:t>
      </w:r>
      <w:bookmarkEnd w:id="151"/>
      <w:bookmarkEnd w:id="152"/>
    </w:p>
    <w:p w:rsidR="00A779E8" w:rsidRDefault="00A779E8" w:rsidP="00A779E8">
      <w:pPr>
        <w:pStyle w:val="affff6"/>
        <w:ind w:firstLine="420"/>
      </w:pPr>
      <w:r>
        <w:rPr>
          <w:rFonts w:hint="eastAsia"/>
        </w:rPr>
        <w:t>数学模型广泛地应用于辐照装置的设计过程中。计算结果用来优化辐照位置，以达到期望的生产量和剂量的均匀性。当辐照装置中码放好均匀的产品后，从数学模型中获得的数据可用来确定辐照装置的辐照过程。计算结果提供了如下信息，例如：每单位放射性活度或束流功率的期望剂量；产品密度不同引起的剂量变化大小；剂量的均匀性比率；以及最小和最大剂量点的位置。一些数学模型也能提供在不同密度的产品转变过程中的剂量，由于辐射源的移动或电子束的关闭过程中的剂量，以及空隙效应或产品的不均匀性造成的剂量变化信息。</w:t>
      </w:r>
    </w:p>
    <w:p w:rsidR="00A779E8" w:rsidRDefault="00A779E8" w:rsidP="00A779E8">
      <w:pPr>
        <w:pStyle w:val="aff5"/>
        <w:spacing w:before="156" w:after="156"/>
      </w:pPr>
      <w:bookmarkStart w:id="153" w:name="_Toc112783065"/>
      <w:bookmarkStart w:id="154" w:name="_Toc112844862"/>
      <w:r>
        <w:rPr>
          <w:rFonts w:hint="eastAsia"/>
        </w:rPr>
        <w:t>γ和X射线辐照装置的操作</w:t>
      </w:r>
      <w:bookmarkEnd w:id="153"/>
      <w:bookmarkEnd w:id="154"/>
    </w:p>
    <w:p w:rsidR="00A779E8" w:rsidRDefault="00A779E8" w:rsidP="00A779E8">
      <w:pPr>
        <w:pStyle w:val="affff6"/>
        <w:ind w:firstLine="420"/>
      </w:pPr>
      <w:r>
        <w:rPr>
          <w:rFonts w:hint="eastAsia"/>
        </w:rPr>
        <w:t>对于γ和X射线辐照装置，数学模型提供的预期剂量分布信息能够用来确保在辐照装置的剂量分布实验中，有足够数量的剂量计分布于所预期的最小和最大剂量点的区域中。剂量计宜布放在通过数学模型计算预测出的最小和最大剂量区域，其它位置也一样，以保证辐照装置按预期的模式运行。</w:t>
      </w:r>
    </w:p>
    <w:p w:rsidR="00A779E8" w:rsidRDefault="00A779E8" w:rsidP="00A779E8">
      <w:pPr>
        <w:pStyle w:val="affff6"/>
        <w:ind w:firstLine="420"/>
      </w:pPr>
      <w:r>
        <w:rPr>
          <w:rFonts w:hint="eastAsia"/>
        </w:rPr>
        <w:t>剂量分布研究已经证实了数学模型得到的数据是可靠的。在确定剂量分布的测量结果中，数学模型为其他一些中间产品密度的剂量分布和一般趋势的确定（例如：产品密度改变的影响或由产品不均匀性引起的剂量变化）提供了一个有效的内插工具。数学模型和剂量分布的联合使用有效地减少了对剂量分布测试的需求，见以下举例说明。</w:t>
      </w:r>
    </w:p>
    <w:p w:rsidR="00A779E8" w:rsidRDefault="00A779E8" w:rsidP="00A779E8">
      <w:pPr>
        <w:pStyle w:val="af2"/>
      </w:pPr>
      <w:r>
        <w:rPr>
          <w:rFonts w:hint="eastAsia"/>
        </w:rPr>
        <w:t>对几种密度均匀的产品，使用数学模型计算剂量分布。</w:t>
      </w:r>
    </w:p>
    <w:p w:rsidR="00A779E8" w:rsidRDefault="00A779E8" w:rsidP="00A779E8">
      <w:pPr>
        <w:pStyle w:val="af2"/>
      </w:pPr>
      <w:r>
        <w:rPr>
          <w:rFonts w:hint="eastAsia"/>
        </w:rPr>
        <w:t>获得与剂量分布的数据相一致的标准化计算结果，和确定适用于产品密度测量范围的标准因子。</w:t>
      </w:r>
    </w:p>
    <w:p w:rsidR="00A779E8" w:rsidRDefault="00A779E8" w:rsidP="00A779E8">
      <w:pPr>
        <w:pStyle w:val="af2"/>
      </w:pPr>
      <w:r>
        <w:rPr>
          <w:rFonts w:hint="eastAsia"/>
        </w:rPr>
        <w:t>对中间产品密度计算剂量分布，和使用所需的标准因子。</w:t>
      </w:r>
    </w:p>
    <w:p w:rsidR="00A779E8" w:rsidRDefault="00A779E8" w:rsidP="00A779E8">
      <w:pPr>
        <w:pStyle w:val="af2"/>
      </w:pPr>
      <w:r>
        <w:rPr>
          <w:rFonts w:hint="eastAsia"/>
        </w:rPr>
        <w:t>当连续辐照不同密度的产品时，计算第一个和最后一个产品装载容器的剂量分布。</w:t>
      </w:r>
    </w:p>
    <w:p w:rsidR="00A779E8" w:rsidRDefault="00A779E8" w:rsidP="00A779E8">
      <w:pPr>
        <w:pStyle w:val="af2"/>
      </w:pPr>
      <w:r>
        <w:rPr>
          <w:rFonts w:hint="eastAsia"/>
        </w:rPr>
        <w:t>对一些连续辐照不同密度的产品的计算数据和剂量分布数据进行比较，以证实数学模型计算结果的可靠性。</w:t>
      </w:r>
    </w:p>
    <w:p w:rsidR="00A779E8" w:rsidRDefault="00A779E8" w:rsidP="00A779E8">
      <w:pPr>
        <w:pStyle w:val="affff6"/>
        <w:ind w:firstLine="420"/>
      </w:pPr>
      <w:r>
        <w:rPr>
          <w:rFonts w:hint="eastAsia"/>
        </w:rPr>
        <w:t>所得数据也能够用来证实，当同时加工特殊产品时，剂量规范符合要求，并且，在不同密度的产品的变化过程中，也可确定定时器设置是最佳的。</w:t>
      </w:r>
    </w:p>
    <w:p w:rsidR="00A779E8" w:rsidRDefault="00A779E8" w:rsidP="00576D2B">
      <w:pPr>
        <w:pStyle w:val="aff5"/>
        <w:spacing w:before="156" w:after="156"/>
      </w:pPr>
      <w:bookmarkStart w:id="155" w:name="_Toc112783066"/>
      <w:bookmarkStart w:id="156" w:name="_Toc112844863"/>
      <w:r>
        <w:rPr>
          <w:rFonts w:hint="eastAsia"/>
        </w:rPr>
        <w:t>电子束辐照装置的操作</w:t>
      </w:r>
      <w:bookmarkEnd w:id="155"/>
      <w:bookmarkEnd w:id="156"/>
    </w:p>
    <w:p w:rsidR="00576D2B" w:rsidRDefault="00A779E8" w:rsidP="00A779E8">
      <w:pPr>
        <w:pStyle w:val="affff6"/>
        <w:ind w:firstLine="420"/>
        <w:sectPr w:rsidR="00576D2B" w:rsidSect="00BF2D77">
          <w:headerReference w:type="even" r:id="rId28"/>
          <w:headerReference w:type="default" r:id="rId29"/>
          <w:footerReference w:type="even" r:id="rId30"/>
          <w:footerReference w:type="default" r:id="rId31"/>
          <w:pgSz w:w="11906" w:h="16838" w:code="9"/>
          <w:pgMar w:top="1928" w:right="1134" w:bottom="1134" w:left="1134" w:header="1418" w:footer="1134" w:gutter="284"/>
          <w:cols w:space="425"/>
          <w:formProt w:val="0"/>
          <w:docGrid w:type="lines" w:linePitch="312"/>
        </w:sectPr>
      </w:pPr>
      <w:r>
        <w:rPr>
          <w:rFonts w:hint="eastAsia"/>
        </w:rPr>
        <w:t>对于电子束辐照装置来说，数学模型提供的预期剂量分布信息能够用来确保在辐照装置的剂量分布实验中，有足够数量的剂量计分布于所预期的最小和最大剂量点的区域中。数学模型也可用来确定那些陡峭剂量梯度区域内的剂量，例如：在产品边缘附近，以确保剂量计能提供足够的空间分辨。数学模型的计算结果能够表明对使用条状或薄片状剂量薄膜来测定。</w:t>
      </w:r>
    </w:p>
    <w:p w:rsidR="00A779E8" w:rsidRDefault="00A779E8" w:rsidP="00576D2B">
      <w:pPr>
        <w:pStyle w:val="af8"/>
        <w:rPr>
          <w:vanish w:val="0"/>
        </w:rPr>
      </w:pPr>
    </w:p>
    <w:p w:rsidR="00576D2B" w:rsidRDefault="00576D2B" w:rsidP="00576D2B">
      <w:pPr>
        <w:pStyle w:val="afe"/>
        <w:rPr>
          <w:vanish w:val="0"/>
        </w:rPr>
      </w:pPr>
    </w:p>
    <w:p w:rsidR="00576D2B" w:rsidRDefault="00576D2B" w:rsidP="00576D2B">
      <w:pPr>
        <w:pStyle w:val="aff3"/>
        <w:spacing w:after="156"/>
      </w:pPr>
      <w:r>
        <w:br/>
      </w:r>
      <w:bookmarkStart w:id="157" w:name="_Toc112783067"/>
      <w:bookmarkStart w:id="158" w:name="_Toc112844864"/>
      <w:r>
        <w:rPr>
          <w:rFonts w:hint="eastAsia"/>
        </w:rPr>
        <w:t>（资料性</w:t>
      </w:r>
      <w:r w:rsidR="00EB54B8">
        <w:rPr>
          <w:rFonts w:hint="eastAsia"/>
        </w:rPr>
        <w:t>附录</w:t>
      </w:r>
      <w:r>
        <w:rPr>
          <w:rFonts w:hint="eastAsia"/>
        </w:rPr>
        <w:t>）</w:t>
      </w:r>
      <w:r>
        <w:br/>
      </w:r>
      <w:r>
        <w:rPr>
          <w:rFonts w:hint="eastAsia"/>
        </w:rPr>
        <w:t>安装鉴定/运行鉴定/性能鉴定期间剂量学相关测试参考表</w:t>
      </w:r>
      <w:bookmarkEnd w:id="157"/>
      <w:bookmarkEnd w:id="158"/>
    </w:p>
    <w:p w:rsidR="00576D2B" w:rsidRPr="00576D2B" w:rsidRDefault="00576D2B" w:rsidP="00576D2B">
      <w:pPr>
        <w:pStyle w:val="aff4"/>
        <w:spacing w:before="156" w:after="156"/>
      </w:pPr>
      <w:bookmarkStart w:id="159" w:name="_Toc112783068"/>
      <w:bookmarkStart w:id="160" w:name="_Toc112844865"/>
      <w:r w:rsidRPr="00576D2B">
        <w:rPr>
          <w:rFonts w:hint="eastAsia"/>
        </w:rPr>
        <w:t>安装鉴定</w:t>
      </w:r>
      <w:bookmarkEnd w:id="159"/>
      <w:bookmarkEnd w:id="160"/>
    </w:p>
    <w:p w:rsidR="00576D2B" w:rsidRDefault="00576D2B" w:rsidP="00576D2B">
      <w:pPr>
        <w:pStyle w:val="aff"/>
        <w:spacing w:before="156" w:after="156"/>
      </w:pPr>
      <w:r w:rsidRPr="00576D2B">
        <w:rPr>
          <w:rFonts w:hint="eastAsia"/>
        </w:rPr>
        <w:t>-电子束和X射线（不适用于γ射线）</w:t>
      </w:r>
    </w:p>
    <w:tbl>
      <w:tblPr>
        <w:tblW w:w="9900" w:type="dxa"/>
        <w:tblInd w:w="31" w:type="dxa"/>
        <w:tblBorders>
          <w:top w:val="single" w:sz="8" w:space="0" w:color="231F20"/>
          <w:left w:val="single" w:sz="8" w:space="0" w:color="231F20"/>
          <w:bottom w:val="single" w:sz="8" w:space="0" w:color="231F20"/>
          <w:right w:val="single" w:sz="8" w:space="0" w:color="231F20"/>
          <w:insideH w:val="single" w:sz="2" w:space="0" w:color="231F20"/>
          <w:insideV w:val="single" w:sz="2" w:space="0" w:color="231F20"/>
        </w:tblBorders>
        <w:tblLayout w:type="fixed"/>
        <w:tblCellMar>
          <w:left w:w="0" w:type="dxa"/>
          <w:right w:w="0" w:type="dxa"/>
        </w:tblCellMar>
        <w:tblLook w:val="0000"/>
      </w:tblPr>
      <w:tblGrid>
        <w:gridCol w:w="970"/>
        <w:gridCol w:w="2195"/>
        <w:gridCol w:w="1207"/>
        <w:gridCol w:w="1134"/>
        <w:gridCol w:w="2208"/>
        <w:gridCol w:w="2186"/>
      </w:tblGrid>
      <w:tr w:rsidR="00576D2B" w:rsidRPr="009427CD" w:rsidTr="009427CD">
        <w:trPr>
          <w:trHeight w:val="800"/>
        </w:trPr>
        <w:tc>
          <w:tcPr>
            <w:tcW w:w="970" w:type="dxa"/>
            <w:tcBorders>
              <w:top w:val="single" w:sz="8" w:space="0" w:color="231F20"/>
              <w:bottom w:val="single" w:sz="8" w:space="0" w:color="231F20"/>
            </w:tcBorders>
            <w:shd w:val="clear" w:color="auto" w:fill="auto"/>
            <w:vAlign w:val="center"/>
          </w:tcPr>
          <w:p w:rsidR="00576D2B" w:rsidRPr="009427CD" w:rsidRDefault="00576D2B" w:rsidP="009427CD">
            <w:pPr>
              <w:kinsoku w:val="0"/>
              <w:autoSpaceDE w:val="0"/>
              <w:autoSpaceDN w:val="0"/>
              <w:snapToGrid w:val="0"/>
              <w:spacing w:before="44" w:line="240" w:lineRule="auto"/>
              <w:jc w:val="center"/>
              <w:textAlignment w:val="baseline"/>
              <w:rPr>
                <w:rFonts w:ascii="宋体" w:hAnsi="宋体" w:cs="宋体"/>
                <w:snapToGrid w:val="0"/>
                <w:color w:val="000000"/>
                <w:kern w:val="0"/>
                <w:sz w:val="18"/>
                <w:szCs w:val="20"/>
              </w:rPr>
            </w:pPr>
            <w:r w:rsidRPr="009427CD">
              <w:rPr>
                <w:rFonts w:ascii="宋体" w:hAnsi="宋体" w:cs="宋体" w:hint="eastAsia"/>
                <w:snapToGrid w:val="0"/>
                <w:color w:val="231F20"/>
                <w:spacing w:val="-3"/>
                <w:kern w:val="0"/>
                <w:sz w:val="18"/>
                <w:szCs w:val="20"/>
              </w:rPr>
              <w:t>鉴定项目</w:t>
            </w:r>
          </w:p>
        </w:tc>
        <w:tc>
          <w:tcPr>
            <w:tcW w:w="2195" w:type="dxa"/>
            <w:tcBorders>
              <w:top w:val="single" w:sz="8" w:space="0" w:color="231F20"/>
              <w:bottom w:val="single" w:sz="8" w:space="0" w:color="231F20"/>
            </w:tcBorders>
            <w:shd w:val="clear" w:color="auto" w:fill="auto"/>
            <w:vAlign w:val="center"/>
          </w:tcPr>
          <w:p w:rsidR="00576D2B" w:rsidRPr="009427CD" w:rsidRDefault="00576D2B" w:rsidP="009427CD">
            <w:pPr>
              <w:kinsoku w:val="0"/>
              <w:autoSpaceDE w:val="0"/>
              <w:autoSpaceDN w:val="0"/>
              <w:snapToGrid w:val="0"/>
              <w:spacing w:before="27" w:line="240" w:lineRule="auto"/>
              <w:ind w:firstLine="303"/>
              <w:jc w:val="center"/>
              <w:textAlignment w:val="baseline"/>
              <w:rPr>
                <w:rFonts w:ascii="宋体" w:hAnsi="宋体" w:cs="宋体"/>
                <w:snapToGrid w:val="0"/>
                <w:color w:val="000000"/>
                <w:kern w:val="0"/>
                <w:sz w:val="18"/>
                <w:szCs w:val="20"/>
              </w:rPr>
            </w:pPr>
            <w:r w:rsidRPr="009427CD">
              <w:rPr>
                <w:rFonts w:ascii="宋体" w:hAnsi="宋体" w:cs="宋体"/>
                <w:snapToGrid w:val="0"/>
                <w:color w:val="231F20"/>
                <w:spacing w:val="-5"/>
                <w:kern w:val="0"/>
                <w:sz w:val="18"/>
                <w:szCs w:val="20"/>
              </w:rPr>
              <w:t>描述</w:t>
            </w:r>
          </w:p>
        </w:tc>
        <w:tc>
          <w:tcPr>
            <w:tcW w:w="1207" w:type="dxa"/>
            <w:tcBorders>
              <w:top w:val="single" w:sz="8" w:space="0" w:color="231F20"/>
              <w:bottom w:val="single" w:sz="8" w:space="0" w:color="231F20"/>
            </w:tcBorders>
            <w:shd w:val="clear" w:color="auto" w:fill="auto"/>
            <w:vAlign w:val="center"/>
          </w:tcPr>
          <w:p w:rsidR="00576D2B" w:rsidRPr="009427CD" w:rsidRDefault="00576D2B" w:rsidP="009427CD">
            <w:pPr>
              <w:kinsoku w:val="0"/>
              <w:autoSpaceDE w:val="0"/>
              <w:autoSpaceDN w:val="0"/>
              <w:snapToGrid w:val="0"/>
              <w:spacing w:before="44" w:line="240" w:lineRule="auto"/>
              <w:ind w:firstLine="67"/>
              <w:jc w:val="center"/>
              <w:textAlignment w:val="baseline"/>
              <w:rPr>
                <w:rFonts w:ascii="宋体" w:hAnsi="宋体" w:cs="宋体"/>
                <w:snapToGrid w:val="0"/>
                <w:color w:val="231F20"/>
                <w:spacing w:val="-2"/>
                <w:kern w:val="0"/>
                <w:position w:val="3"/>
                <w:sz w:val="18"/>
                <w:szCs w:val="18"/>
              </w:rPr>
            </w:pPr>
            <w:r w:rsidRPr="009427CD">
              <w:rPr>
                <w:rFonts w:ascii="宋体" w:hAnsi="宋体" w:cs="宋体" w:hint="eastAsia"/>
                <w:snapToGrid w:val="0"/>
                <w:color w:val="231F20"/>
                <w:spacing w:val="-2"/>
                <w:kern w:val="0"/>
                <w:position w:val="3"/>
                <w:sz w:val="18"/>
                <w:szCs w:val="18"/>
              </w:rPr>
              <w:t>灭菌</w:t>
            </w:r>
            <w:r w:rsidRPr="009427CD">
              <w:rPr>
                <w:rFonts w:ascii="宋体" w:hAnsi="宋体" w:cs="宋体"/>
                <w:snapToGrid w:val="0"/>
                <w:color w:val="231F20"/>
                <w:spacing w:val="-2"/>
                <w:kern w:val="0"/>
                <w:position w:val="3"/>
                <w:sz w:val="18"/>
                <w:szCs w:val="18"/>
              </w:rPr>
              <w:t>处理</w:t>
            </w:r>
            <w:r w:rsidRPr="009427CD">
              <w:rPr>
                <w:rFonts w:ascii="宋体" w:hAnsi="宋体" w:cs="宋体" w:hint="eastAsia"/>
                <w:snapToGrid w:val="0"/>
                <w:color w:val="231F20"/>
                <w:spacing w:val="-2"/>
                <w:kern w:val="0"/>
                <w:position w:val="3"/>
                <w:sz w:val="18"/>
                <w:szCs w:val="18"/>
              </w:rPr>
              <w:t>的</w:t>
            </w:r>
            <w:r w:rsidRPr="009427CD">
              <w:rPr>
                <w:rFonts w:ascii="宋体" w:hAnsi="宋体" w:cs="宋体"/>
                <w:snapToGrid w:val="0"/>
                <w:color w:val="231F20"/>
                <w:spacing w:val="-2"/>
                <w:kern w:val="0"/>
                <w:position w:val="3"/>
                <w:sz w:val="18"/>
                <w:szCs w:val="18"/>
              </w:rPr>
              <w:t>辐照</w:t>
            </w:r>
            <w:r w:rsidRPr="009427CD">
              <w:rPr>
                <w:rFonts w:ascii="宋体" w:hAnsi="宋体" w:cs="宋体" w:hint="eastAsia"/>
                <w:snapToGrid w:val="0"/>
                <w:color w:val="231F20"/>
                <w:spacing w:val="-2"/>
                <w:kern w:val="0"/>
                <w:position w:val="3"/>
                <w:sz w:val="18"/>
                <w:szCs w:val="18"/>
              </w:rPr>
              <w:t>装置</w:t>
            </w:r>
          </w:p>
        </w:tc>
        <w:tc>
          <w:tcPr>
            <w:tcW w:w="1134" w:type="dxa"/>
            <w:tcBorders>
              <w:top w:val="single" w:sz="8" w:space="0" w:color="231F20"/>
              <w:bottom w:val="single" w:sz="8" w:space="0" w:color="231F20"/>
            </w:tcBorders>
            <w:shd w:val="clear" w:color="auto" w:fill="auto"/>
            <w:vAlign w:val="center"/>
          </w:tcPr>
          <w:p w:rsidR="00576D2B" w:rsidRPr="009427CD" w:rsidRDefault="00576D2B" w:rsidP="009427CD">
            <w:pPr>
              <w:kinsoku w:val="0"/>
              <w:autoSpaceDE w:val="0"/>
              <w:autoSpaceDN w:val="0"/>
              <w:snapToGrid w:val="0"/>
              <w:spacing w:before="43" w:line="240" w:lineRule="auto"/>
              <w:jc w:val="center"/>
              <w:textAlignment w:val="baseline"/>
              <w:rPr>
                <w:rFonts w:ascii="宋体" w:hAnsi="宋体" w:cs="宋体"/>
                <w:snapToGrid w:val="0"/>
                <w:color w:val="000000"/>
                <w:kern w:val="0"/>
                <w:sz w:val="18"/>
                <w:szCs w:val="20"/>
              </w:rPr>
            </w:pPr>
            <w:r w:rsidRPr="009427CD">
              <w:rPr>
                <w:rFonts w:ascii="宋体" w:hAnsi="宋体" w:cs="宋体"/>
                <w:snapToGrid w:val="0"/>
                <w:color w:val="231F20"/>
                <w:spacing w:val="-2"/>
                <w:kern w:val="0"/>
                <w:sz w:val="18"/>
                <w:szCs w:val="20"/>
              </w:rPr>
              <w:t>特殊的</w:t>
            </w:r>
            <w:r w:rsidRPr="009427CD">
              <w:rPr>
                <w:rFonts w:ascii="宋体" w:hAnsi="宋体" w:cs="宋体"/>
                <w:snapToGrid w:val="0"/>
                <w:color w:val="231F20"/>
                <w:spacing w:val="-1"/>
                <w:kern w:val="0"/>
                <w:sz w:val="18"/>
                <w:szCs w:val="20"/>
              </w:rPr>
              <w:t>辐照</w:t>
            </w:r>
            <w:r w:rsidRPr="009427CD">
              <w:rPr>
                <w:rFonts w:ascii="宋体" w:hAnsi="宋体" w:cs="宋体" w:hint="eastAsia"/>
                <w:snapToGrid w:val="0"/>
                <w:color w:val="231F20"/>
                <w:spacing w:val="-1"/>
                <w:kern w:val="0"/>
                <w:sz w:val="18"/>
                <w:szCs w:val="20"/>
              </w:rPr>
              <w:t>装置</w:t>
            </w:r>
            <w:r w:rsidRPr="009427CD">
              <w:rPr>
                <w:rFonts w:ascii="宋体" w:hAnsi="宋体" w:cs="宋体"/>
                <w:snapToGrid w:val="0"/>
                <w:color w:val="231F20"/>
                <w:spacing w:val="-1"/>
                <w:kern w:val="0"/>
                <w:sz w:val="18"/>
                <w:szCs w:val="20"/>
              </w:rPr>
              <w:t>路</w:t>
            </w:r>
            <w:r w:rsidRPr="009427CD">
              <w:rPr>
                <w:rFonts w:ascii="宋体" w:hAnsi="宋体" w:cs="宋体"/>
                <w:snapToGrid w:val="0"/>
                <w:color w:val="231F20"/>
                <w:kern w:val="0"/>
                <w:sz w:val="18"/>
                <w:szCs w:val="20"/>
              </w:rPr>
              <w:t>径</w:t>
            </w:r>
          </w:p>
        </w:tc>
        <w:tc>
          <w:tcPr>
            <w:tcW w:w="2208" w:type="dxa"/>
            <w:tcBorders>
              <w:top w:val="single" w:sz="8" w:space="0" w:color="231F20"/>
              <w:bottom w:val="single" w:sz="8" w:space="0" w:color="231F20"/>
            </w:tcBorders>
            <w:shd w:val="clear" w:color="auto" w:fill="auto"/>
            <w:vAlign w:val="center"/>
          </w:tcPr>
          <w:p w:rsidR="00576D2B" w:rsidRPr="009427CD" w:rsidRDefault="00576D2B" w:rsidP="009427CD">
            <w:pPr>
              <w:kinsoku w:val="0"/>
              <w:autoSpaceDE w:val="0"/>
              <w:autoSpaceDN w:val="0"/>
              <w:snapToGrid w:val="0"/>
              <w:spacing w:before="111" w:line="240" w:lineRule="auto"/>
              <w:ind w:left="-1" w:firstLine="1"/>
              <w:jc w:val="center"/>
              <w:textAlignment w:val="baseline"/>
              <w:rPr>
                <w:rFonts w:ascii="宋体" w:hAnsi="宋体" w:cs="宋体"/>
                <w:snapToGrid w:val="0"/>
                <w:color w:val="000000"/>
                <w:kern w:val="0"/>
                <w:sz w:val="18"/>
                <w:szCs w:val="20"/>
              </w:rPr>
            </w:pPr>
            <w:r w:rsidRPr="009427CD">
              <w:rPr>
                <w:rFonts w:ascii="宋体" w:hAnsi="宋体" w:cs="宋体"/>
                <w:snapToGrid w:val="0"/>
                <w:color w:val="231F20"/>
                <w:spacing w:val="-10"/>
                <w:kern w:val="0"/>
                <w:sz w:val="18"/>
                <w:szCs w:val="20"/>
              </w:rPr>
              <w:t>ISO11137-1：2006</w:t>
            </w:r>
            <w:r w:rsidRPr="009427CD">
              <w:rPr>
                <w:rFonts w:ascii="宋体" w:hAnsi="宋体" w:cs="宋体"/>
                <w:snapToGrid w:val="0"/>
                <w:color w:val="231F20"/>
                <w:spacing w:val="-8"/>
                <w:kern w:val="0"/>
                <w:sz w:val="18"/>
                <w:szCs w:val="20"/>
              </w:rPr>
              <w:t>，条款</w:t>
            </w:r>
          </w:p>
        </w:tc>
        <w:tc>
          <w:tcPr>
            <w:tcW w:w="2186" w:type="dxa"/>
            <w:tcBorders>
              <w:top w:val="single" w:sz="8" w:space="0" w:color="231F20"/>
              <w:bottom w:val="single" w:sz="8" w:space="0" w:color="231F20"/>
            </w:tcBorders>
            <w:shd w:val="clear" w:color="auto" w:fill="auto"/>
            <w:vAlign w:val="center"/>
          </w:tcPr>
          <w:p w:rsidR="00576D2B" w:rsidRPr="009427CD" w:rsidRDefault="00576D2B" w:rsidP="009427CD">
            <w:pPr>
              <w:kinsoku w:val="0"/>
              <w:autoSpaceDE w:val="0"/>
              <w:autoSpaceDN w:val="0"/>
              <w:snapToGrid w:val="0"/>
              <w:spacing w:before="111" w:line="240" w:lineRule="auto"/>
              <w:jc w:val="center"/>
              <w:textAlignment w:val="baseline"/>
              <w:rPr>
                <w:rFonts w:ascii="宋体" w:hAnsi="宋体" w:cs="宋体"/>
                <w:snapToGrid w:val="0"/>
                <w:color w:val="000000"/>
                <w:kern w:val="0"/>
                <w:sz w:val="18"/>
                <w:szCs w:val="20"/>
              </w:rPr>
            </w:pPr>
            <w:r w:rsidRPr="009427CD">
              <w:rPr>
                <w:rFonts w:ascii="宋体" w:hAnsi="宋体" w:cs="宋体"/>
                <w:snapToGrid w:val="0"/>
                <w:color w:val="231F20"/>
                <w:spacing w:val="-10"/>
                <w:kern w:val="0"/>
                <w:sz w:val="18"/>
                <w:szCs w:val="20"/>
              </w:rPr>
              <w:t>ISO11137-3：2017</w:t>
            </w:r>
            <w:r w:rsidRPr="009427CD">
              <w:rPr>
                <w:rFonts w:ascii="宋体" w:hAnsi="宋体" w:cs="宋体"/>
                <w:snapToGrid w:val="0"/>
                <w:color w:val="231F20"/>
                <w:spacing w:val="-8"/>
                <w:kern w:val="0"/>
                <w:sz w:val="18"/>
                <w:szCs w:val="20"/>
              </w:rPr>
              <w:t>，条款</w:t>
            </w:r>
          </w:p>
        </w:tc>
      </w:tr>
      <w:tr w:rsidR="00576D2B" w:rsidRPr="009427CD" w:rsidTr="009427CD">
        <w:trPr>
          <w:trHeight w:val="516"/>
        </w:trPr>
        <w:tc>
          <w:tcPr>
            <w:tcW w:w="970" w:type="dxa"/>
            <w:tcBorders>
              <w:top w:val="single" w:sz="8" w:space="0" w:color="231F20"/>
            </w:tcBorders>
            <w:shd w:val="clear" w:color="auto" w:fill="auto"/>
            <w:vAlign w:val="center"/>
          </w:tcPr>
          <w:p w:rsidR="00576D2B" w:rsidRPr="009427CD" w:rsidRDefault="00576D2B" w:rsidP="009427CD">
            <w:pPr>
              <w:kinsoku w:val="0"/>
              <w:autoSpaceDE w:val="0"/>
              <w:autoSpaceDN w:val="0"/>
              <w:snapToGrid w:val="0"/>
              <w:spacing w:before="15" w:line="240" w:lineRule="auto"/>
              <w:ind w:firstLine="60"/>
              <w:jc w:val="center"/>
              <w:textAlignment w:val="baseline"/>
              <w:rPr>
                <w:rFonts w:ascii="宋体" w:hAnsi="宋体" w:cs="宋体"/>
                <w:snapToGrid w:val="0"/>
                <w:color w:val="000000"/>
                <w:kern w:val="0"/>
                <w:sz w:val="18"/>
                <w:szCs w:val="20"/>
              </w:rPr>
            </w:pPr>
            <w:r w:rsidRPr="009427CD">
              <w:rPr>
                <w:rFonts w:ascii="宋体" w:hAnsi="宋体" w:cs="宋体" w:hint="eastAsia"/>
                <w:snapToGrid w:val="0"/>
                <w:color w:val="231F20"/>
                <w:spacing w:val="-3"/>
                <w:kern w:val="0"/>
                <w:sz w:val="18"/>
                <w:szCs w:val="20"/>
              </w:rPr>
              <w:t>束流</w:t>
            </w:r>
            <w:r w:rsidRPr="009427CD">
              <w:rPr>
                <w:rFonts w:ascii="宋体" w:hAnsi="宋体" w:cs="宋体"/>
                <w:snapToGrid w:val="0"/>
                <w:color w:val="231F20"/>
                <w:spacing w:val="-3"/>
                <w:kern w:val="0"/>
                <w:sz w:val="18"/>
                <w:szCs w:val="20"/>
              </w:rPr>
              <w:t>能量</w:t>
            </w:r>
          </w:p>
        </w:tc>
        <w:tc>
          <w:tcPr>
            <w:tcW w:w="2195" w:type="dxa"/>
            <w:tcBorders>
              <w:top w:val="single" w:sz="8" w:space="0" w:color="231F20"/>
            </w:tcBorders>
            <w:shd w:val="clear" w:color="auto" w:fill="auto"/>
            <w:vAlign w:val="center"/>
          </w:tcPr>
          <w:p w:rsidR="00576D2B" w:rsidRPr="009427CD" w:rsidRDefault="00576D2B" w:rsidP="009427CD">
            <w:pPr>
              <w:kinsoku w:val="0"/>
              <w:autoSpaceDE w:val="0"/>
              <w:autoSpaceDN w:val="0"/>
              <w:snapToGrid w:val="0"/>
              <w:spacing w:before="55" w:line="240" w:lineRule="auto"/>
              <w:ind w:firstLine="51"/>
              <w:textAlignment w:val="baseline"/>
              <w:rPr>
                <w:rFonts w:ascii="宋体" w:hAnsi="宋体" w:cs="宋体"/>
                <w:snapToGrid w:val="0"/>
                <w:color w:val="000000"/>
                <w:kern w:val="0"/>
                <w:sz w:val="18"/>
                <w:szCs w:val="20"/>
              </w:rPr>
            </w:pPr>
            <w:r w:rsidRPr="009427CD">
              <w:rPr>
                <w:rFonts w:ascii="宋体" w:hAnsi="宋体" w:cs="宋体" w:hint="eastAsia"/>
                <w:snapToGrid w:val="0"/>
                <w:color w:val="231F20"/>
                <w:spacing w:val="-3"/>
                <w:kern w:val="0"/>
                <w:sz w:val="18"/>
                <w:szCs w:val="20"/>
              </w:rPr>
              <w:t>束流</w:t>
            </w:r>
            <w:r w:rsidRPr="009427CD">
              <w:rPr>
                <w:rFonts w:ascii="宋体" w:hAnsi="宋体" w:cs="宋体"/>
                <w:snapToGrid w:val="0"/>
                <w:color w:val="231F20"/>
                <w:spacing w:val="-3"/>
                <w:kern w:val="0"/>
                <w:sz w:val="18"/>
                <w:szCs w:val="20"/>
              </w:rPr>
              <w:t>能量</w:t>
            </w:r>
            <w:r w:rsidRPr="009427CD">
              <w:rPr>
                <w:rFonts w:ascii="宋体" w:hAnsi="宋体" w:cs="宋体" w:hint="eastAsia"/>
                <w:snapToGrid w:val="0"/>
                <w:color w:val="231F20"/>
                <w:spacing w:val="-3"/>
                <w:kern w:val="0"/>
                <w:sz w:val="18"/>
                <w:szCs w:val="20"/>
              </w:rPr>
              <w:t>的</w:t>
            </w:r>
            <w:r w:rsidRPr="009427CD">
              <w:rPr>
                <w:rFonts w:ascii="宋体" w:hAnsi="宋体" w:cs="宋体" w:hint="eastAsia"/>
                <w:snapToGrid w:val="0"/>
                <w:color w:val="231F20"/>
                <w:kern w:val="0"/>
                <w:sz w:val="18"/>
                <w:szCs w:val="20"/>
              </w:rPr>
              <w:t>特性描述</w:t>
            </w:r>
            <w:r w:rsidRPr="009427CD">
              <w:rPr>
                <w:rFonts w:ascii="宋体" w:hAnsi="宋体" w:cs="宋体" w:hint="eastAsia"/>
                <w:snapToGrid w:val="0"/>
                <w:color w:val="231F20"/>
                <w:kern w:val="0"/>
                <w:sz w:val="18"/>
                <w:szCs w:val="20"/>
                <w:vertAlign w:val="superscript"/>
              </w:rPr>
              <w:t>a</w:t>
            </w:r>
          </w:p>
        </w:tc>
        <w:tc>
          <w:tcPr>
            <w:tcW w:w="1207" w:type="dxa"/>
            <w:tcBorders>
              <w:top w:val="single" w:sz="8" w:space="0" w:color="231F20"/>
            </w:tcBorders>
            <w:shd w:val="clear" w:color="auto" w:fill="auto"/>
            <w:vAlign w:val="center"/>
          </w:tcPr>
          <w:p w:rsidR="00576D2B" w:rsidRPr="009427CD" w:rsidRDefault="00576D2B" w:rsidP="009427CD">
            <w:pPr>
              <w:kinsoku w:val="0"/>
              <w:autoSpaceDE w:val="0"/>
              <w:autoSpaceDN w:val="0"/>
              <w:snapToGrid w:val="0"/>
              <w:spacing w:before="137" w:line="240" w:lineRule="auto"/>
              <w:ind w:firstLine="621"/>
              <w:textAlignment w:val="center"/>
              <w:rPr>
                <w:rFonts w:ascii="Arial" w:eastAsia="Arial" w:hAnsi="Arial" w:cs="Arial"/>
                <w:snapToGrid w:val="0"/>
                <w:color w:val="000000"/>
                <w:kern w:val="0"/>
                <w:sz w:val="18"/>
              </w:rPr>
            </w:pPr>
            <w:r w:rsidRPr="009427CD">
              <w:rPr>
                <w:rFonts w:ascii="Arial" w:eastAsia="Arial" w:hAnsi="Arial" w:cs="Arial"/>
                <w:noProof/>
                <w:snapToGrid w:val="0"/>
                <w:color w:val="000000"/>
                <w:kern w:val="0"/>
                <w:sz w:val="18"/>
              </w:rPr>
              <w:drawing>
                <wp:inline distT="0" distB="0" distL="0" distR="0">
                  <wp:extent cx="83820" cy="137160"/>
                  <wp:effectExtent l="0" t="0" r="0" b="0"/>
                  <wp:docPr id="6"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 46"/>
                          <pic:cNvPicPr>
                            <a:picLocks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820" cy="137160"/>
                          </a:xfrm>
                          <a:prstGeom prst="rect">
                            <a:avLst/>
                          </a:prstGeom>
                          <a:noFill/>
                          <a:ln>
                            <a:noFill/>
                          </a:ln>
                        </pic:spPr>
                      </pic:pic>
                    </a:graphicData>
                  </a:graphic>
                </wp:inline>
              </w:drawing>
            </w:r>
          </w:p>
        </w:tc>
        <w:tc>
          <w:tcPr>
            <w:tcW w:w="1134" w:type="dxa"/>
            <w:tcBorders>
              <w:top w:val="single" w:sz="8" w:space="0" w:color="231F20"/>
            </w:tcBorders>
            <w:shd w:val="clear" w:color="auto" w:fill="auto"/>
            <w:vAlign w:val="center"/>
          </w:tcPr>
          <w:p w:rsidR="00576D2B" w:rsidRPr="009427CD" w:rsidRDefault="00576D2B" w:rsidP="009427CD">
            <w:pPr>
              <w:kinsoku w:val="0"/>
              <w:autoSpaceDE w:val="0"/>
              <w:autoSpaceDN w:val="0"/>
              <w:snapToGrid w:val="0"/>
              <w:spacing w:before="170" w:line="240" w:lineRule="auto"/>
              <w:ind w:firstLine="428"/>
              <w:textAlignment w:val="baseline"/>
              <w:rPr>
                <w:rFonts w:ascii="宋体" w:hAnsi="宋体" w:cs="宋体"/>
                <w:snapToGrid w:val="0"/>
                <w:color w:val="000000"/>
                <w:kern w:val="0"/>
                <w:sz w:val="18"/>
                <w:szCs w:val="20"/>
              </w:rPr>
            </w:pPr>
            <w:r w:rsidRPr="009427CD">
              <w:rPr>
                <w:rFonts w:ascii="宋体" w:hAnsi="宋体" w:cs="宋体"/>
                <w:snapToGrid w:val="0"/>
                <w:color w:val="231F20"/>
                <w:spacing w:val="-1"/>
                <w:kern w:val="0"/>
                <w:sz w:val="18"/>
                <w:szCs w:val="20"/>
              </w:rPr>
              <w:t>N/A</w:t>
            </w:r>
          </w:p>
        </w:tc>
        <w:tc>
          <w:tcPr>
            <w:tcW w:w="2208" w:type="dxa"/>
            <w:tcBorders>
              <w:top w:val="single" w:sz="8" w:space="0" w:color="231F20"/>
            </w:tcBorders>
            <w:shd w:val="clear" w:color="auto" w:fill="auto"/>
            <w:vAlign w:val="center"/>
          </w:tcPr>
          <w:p w:rsidR="00576D2B" w:rsidRPr="009427CD" w:rsidRDefault="00576D2B" w:rsidP="009427CD">
            <w:pPr>
              <w:kinsoku w:val="0"/>
              <w:autoSpaceDE w:val="0"/>
              <w:autoSpaceDN w:val="0"/>
              <w:snapToGrid w:val="0"/>
              <w:spacing w:before="206" w:line="240" w:lineRule="auto"/>
              <w:ind w:firstLine="402"/>
              <w:textAlignment w:val="baseline"/>
              <w:rPr>
                <w:rFonts w:ascii="宋体" w:hAnsi="宋体" w:cs="宋体"/>
                <w:snapToGrid w:val="0"/>
                <w:color w:val="000000"/>
                <w:kern w:val="0"/>
                <w:sz w:val="18"/>
                <w:szCs w:val="20"/>
              </w:rPr>
            </w:pPr>
            <w:r w:rsidRPr="009427CD">
              <w:rPr>
                <w:rFonts w:ascii="宋体" w:hAnsi="宋体" w:cs="宋体"/>
                <w:snapToGrid w:val="0"/>
                <w:color w:val="231F20"/>
                <w:kern w:val="0"/>
                <w:sz w:val="18"/>
                <w:szCs w:val="20"/>
              </w:rPr>
              <w:t>9.1.5和9.1</w:t>
            </w:r>
            <w:r w:rsidRPr="009427CD">
              <w:rPr>
                <w:rFonts w:ascii="宋体" w:hAnsi="宋体" w:cs="宋体" w:hint="eastAsia"/>
                <w:snapToGrid w:val="0"/>
                <w:color w:val="231F20"/>
                <w:kern w:val="0"/>
                <w:sz w:val="18"/>
                <w:szCs w:val="20"/>
              </w:rPr>
              <w:t>.</w:t>
            </w:r>
            <w:r w:rsidRPr="009427CD">
              <w:rPr>
                <w:rFonts w:ascii="宋体" w:hAnsi="宋体" w:cs="宋体"/>
                <w:snapToGrid w:val="0"/>
                <w:color w:val="231F20"/>
                <w:kern w:val="0"/>
                <w:sz w:val="18"/>
                <w:szCs w:val="20"/>
              </w:rPr>
              <w:t>6</w:t>
            </w:r>
          </w:p>
        </w:tc>
        <w:tc>
          <w:tcPr>
            <w:tcW w:w="2186" w:type="dxa"/>
            <w:tcBorders>
              <w:top w:val="single" w:sz="8" w:space="0" w:color="231F20"/>
            </w:tcBorders>
            <w:shd w:val="clear" w:color="auto" w:fill="auto"/>
            <w:vAlign w:val="center"/>
          </w:tcPr>
          <w:p w:rsidR="00576D2B" w:rsidRPr="009427CD" w:rsidRDefault="00F35E35" w:rsidP="009427CD">
            <w:pPr>
              <w:kinsoku w:val="0"/>
              <w:autoSpaceDE w:val="0"/>
              <w:autoSpaceDN w:val="0"/>
              <w:snapToGrid w:val="0"/>
              <w:spacing w:before="96" w:line="240" w:lineRule="auto"/>
              <w:ind w:firstLine="659"/>
              <w:textAlignment w:val="baseline"/>
              <w:rPr>
                <w:rFonts w:ascii="宋体" w:hAnsi="宋体" w:cs="宋体"/>
                <w:snapToGrid w:val="0"/>
                <w:color w:val="000000"/>
                <w:kern w:val="0"/>
                <w:sz w:val="18"/>
                <w:szCs w:val="20"/>
              </w:rPr>
            </w:pPr>
            <w:r w:rsidRPr="00F35E35">
              <w:rPr>
                <w:rFonts w:ascii="宋体" w:hAnsi="宋体" w:cs="宋体" w:hint="eastAsia"/>
                <w:snapToGrid w:val="0"/>
                <w:color w:val="000000"/>
                <w:kern w:val="0"/>
                <w:sz w:val="18"/>
                <w:szCs w:val="20"/>
              </w:rPr>
              <w:t>7.2至7.7</w:t>
            </w:r>
          </w:p>
        </w:tc>
      </w:tr>
      <w:tr w:rsidR="00576D2B" w:rsidRPr="009427CD" w:rsidTr="009427CD">
        <w:trPr>
          <w:trHeight w:val="517"/>
        </w:trPr>
        <w:tc>
          <w:tcPr>
            <w:tcW w:w="970" w:type="dxa"/>
            <w:shd w:val="clear" w:color="auto" w:fill="auto"/>
            <w:vAlign w:val="center"/>
          </w:tcPr>
          <w:p w:rsidR="00576D2B" w:rsidRPr="009427CD" w:rsidRDefault="00576D2B" w:rsidP="009427CD">
            <w:pPr>
              <w:kinsoku w:val="0"/>
              <w:autoSpaceDE w:val="0"/>
              <w:autoSpaceDN w:val="0"/>
              <w:snapToGrid w:val="0"/>
              <w:spacing w:before="98" w:line="240" w:lineRule="auto"/>
              <w:ind w:firstLine="60"/>
              <w:jc w:val="center"/>
              <w:textAlignment w:val="baseline"/>
              <w:rPr>
                <w:rFonts w:ascii="宋体" w:hAnsi="宋体" w:cs="宋体"/>
                <w:snapToGrid w:val="0"/>
                <w:color w:val="000000"/>
                <w:kern w:val="0"/>
                <w:sz w:val="18"/>
                <w:szCs w:val="20"/>
              </w:rPr>
            </w:pPr>
            <w:r w:rsidRPr="009427CD">
              <w:rPr>
                <w:rFonts w:ascii="宋体" w:hAnsi="宋体" w:cs="宋体" w:hint="eastAsia"/>
                <w:snapToGrid w:val="0"/>
                <w:color w:val="231F20"/>
                <w:spacing w:val="-3"/>
                <w:kern w:val="0"/>
                <w:sz w:val="18"/>
                <w:szCs w:val="20"/>
              </w:rPr>
              <w:t>束流强度</w:t>
            </w:r>
          </w:p>
        </w:tc>
        <w:tc>
          <w:tcPr>
            <w:tcW w:w="2195" w:type="dxa"/>
            <w:shd w:val="clear" w:color="auto" w:fill="auto"/>
            <w:vAlign w:val="center"/>
          </w:tcPr>
          <w:p w:rsidR="00576D2B" w:rsidRPr="009427CD" w:rsidRDefault="00576D2B" w:rsidP="009427CD">
            <w:pPr>
              <w:kinsoku w:val="0"/>
              <w:autoSpaceDE w:val="0"/>
              <w:autoSpaceDN w:val="0"/>
              <w:snapToGrid w:val="0"/>
              <w:spacing w:before="93" w:line="240" w:lineRule="auto"/>
              <w:ind w:firstLine="50"/>
              <w:textAlignment w:val="baseline"/>
              <w:rPr>
                <w:rFonts w:ascii="宋体" w:hAnsi="宋体" w:cs="宋体"/>
                <w:snapToGrid w:val="0"/>
                <w:color w:val="000000"/>
                <w:kern w:val="0"/>
                <w:sz w:val="18"/>
                <w:szCs w:val="20"/>
              </w:rPr>
            </w:pPr>
            <w:r w:rsidRPr="009427CD">
              <w:rPr>
                <w:rFonts w:ascii="宋体" w:hAnsi="宋体" w:cs="宋体" w:hint="eastAsia"/>
                <w:snapToGrid w:val="0"/>
                <w:color w:val="231F20"/>
                <w:spacing w:val="-3"/>
                <w:kern w:val="0"/>
                <w:sz w:val="18"/>
                <w:szCs w:val="20"/>
              </w:rPr>
              <w:t>束流强度的</w:t>
            </w:r>
            <w:r w:rsidRPr="009427CD">
              <w:rPr>
                <w:rFonts w:ascii="宋体" w:hAnsi="宋体" w:cs="宋体" w:hint="eastAsia"/>
                <w:snapToGrid w:val="0"/>
                <w:color w:val="231F20"/>
                <w:kern w:val="0"/>
                <w:sz w:val="18"/>
                <w:szCs w:val="20"/>
              </w:rPr>
              <w:t>特性描述</w:t>
            </w:r>
            <w:r w:rsidRPr="009427CD">
              <w:rPr>
                <w:rFonts w:ascii="宋体" w:hAnsi="宋体" w:cs="宋体" w:hint="eastAsia"/>
                <w:snapToGrid w:val="0"/>
                <w:color w:val="231F20"/>
                <w:kern w:val="0"/>
                <w:sz w:val="18"/>
                <w:szCs w:val="20"/>
                <w:vertAlign w:val="superscript"/>
              </w:rPr>
              <w:t>a</w:t>
            </w:r>
          </w:p>
        </w:tc>
        <w:tc>
          <w:tcPr>
            <w:tcW w:w="1207" w:type="dxa"/>
            <w:shd w:val="clear" w:color="auto" w:fill="auto"/>
            <w:vAlign w:val="center"/>
          </w:tcPr>
          <w:p w:rsidR="00576D2B" w:rsidRPr="009427CD" w:rsidRDefault="00576D2B" w:rsidP="009427CD">
            <w:pPr>
              <w:kinsoku w:val="0"/>
              <w:autoSpaceDE w:val="0"/>
              <w:autoSpaceDN w:val="0"/>
              <w:snapToGrid w:val="0"/>
              <w:spacing w:before="137" w:line="240" w:lineRule="auto"/>
              <w:ind w:firstLine="621"/>
              <w:textAlignment w:val="center"/>
              <w:rPr>
                <w:rFonts w:ascii="Arial" w:eastAsia="Arial" w:hAnsi="Arial" w:cs="Arial"/>
                <w:snapToGrid w:val="0"/>
                <w:color w:val="000000"/>
                <w:kern w:val="0"/>
                <w:sz w:val="18"/>
              </w:rPr>
            </w:pPr>
            <w:r w:rsidRPr="009427CD">
              <w:rPr>
                <w:rFonts w:ascii="Arial" w:eastAsia="Arial" w:hAnsi="Arial" w:cs="Arial"/>
                <w:noProof/>
                <w:snapToGrid w:val="0"/>
                <w:color w:val="000000"/>
                <w:kern w:val="0"/>
                <w:sz w:val="18"/>
              </w:rPr>
              <w:drawing>
                <wp:inline distT="0" distB="0" distL="0" distR="0">
                  <wp:extent cx="83820" cy="143510"/>
                  <wp:effectExtent l="0" t="0" r="0" b="8890"/>
                  <wp:docPr id="3"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 47"/>
                          <pic:cNvPicPr>
                            <a:picLocks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820" cy="143510"/>
                          </a:xfrm>
                          <a:prstGeom prst="rect">
                            <a:avLst/>
                          </a:prstGeom>
                          <a:noFill/>
                          <a:ln>
                            <a:noFill/>
                          </a:ln>
                        </pic:spPr>
                      </pic:pic>
                    </a:graphicData>
                  </a:graphic>
                </wp:inline>
              </w:drawing>
            </w:r>
          </w:p>
        </w:tc>
        <w:tc>
          <w:tcPr>
            <w:tcW w:w="1134" w:type="dxa"/>
            <w:shd w:val="clear" w:color="auto" w:fill="auto"/>
            <w:vAlign w:val="center"/>
          </w:tcPr>
          <w:p w:rsidR="00576D2B" w:rsidRPr="009427CD" w:rsidRDefault="00576D2B" w:rsidP="009427CD">
            <w:pPr>
              <w:kinsoku w:val="0"/>
              <w:autoSpaceDE w:val="0"/>
              <w:autoSpaceDN w:val="0"/>
              <w:snapToGrid w:val="0"/>
              <w:spacing w:before="172" w:line="240" w:lineRule="auto"/>
              <w:ind w:firstLine="428"/>
              <w:textAlignment w:val="baseline"/>
              <w:rPr>
                <w:rFonts w:ascii="宋体" w:hAnsi="宋体" w:cs="宋体"/>
                <w:snapToGrid w:val="0"/>
                <w:color w:val="000000"/>
                <w:kern w:val="0"/>
                <w:sz w:val="18"/>
                <w:szCs w:val="20"/>
              </w:rPr>
            </w:pPr>
            <w:r w:rsidRPr="009427CD">
              <w:rPr>
                <w:rFonts w:ascii="宋体" w:hAnsi="宋体" w:cs="宋体"/>
                <w:snapToGrid w:val="0"/>
                <w:color w:val="231F20"/>
                <w:spacing w:val="-1"/>
                <w:kern w:val="0"/>
                <w:sz w:val="18"/>
                <w:szCs w:val="20"/>
              </w:rPr>
              <w:t>N/A</w:t>
            </w:r>
          </w:p>
        </w:tc>
        <w:tc>
          <w:tcPr>
            <w:tcW w:w="2208" w:type="dxa"/>
            <w:shd w:val="clear" w:color="auto" w:fill="auto"/>
            <w:vAlign w:val="center"/>
          </w:tcPr>
          <w:p w:rsidR="00576D2B" w:rsidRPr="009427CD" w:rsidRDefault="00576D2B" w:rsidP="009427CD">
            <w:pPr>
              <w:kinsoku w:val="0"/>
              <w:autoSpaceDE w:val="0"/>
              <w:autoSpaceDN w:val="0"/>
              <w:snapToGrid w:val="0"/>
              <w:spacing w:before="208" w:line="240" w:lineRule="auto"/>
              <w:ind w:firstLine="402"/>
              <w:textAlignment w:val="baseline"/>
              <w:rPr>
                <w:rFonts w:ascii="宋体" w:hAnsi="宋体" w:cs="宋体"/>
                <w:snapToGrid w:val="0"/>
                <w:color w:val="000000"/>
                <w:kern w:val="0"/>
                <w:sz w:val="18"/>
                <w:szCs w:val="20"/>
              </w:rPr>
            </w:pPr>
            <w:r w:rsidRPr="009427CD">
              <w:rPr>
                <w:rFonts w:ascii="宋体" w:hAnsi="宋体" w:cs="宋体"/>
                <w:snapToGrid w:val="0"/>
                <w:color w:val="231F20"/>
                <w:kern w:val="0"/>
                <w:sz w:val="18"/>
                <w:szCs w:val="20"/>
              </w:rPr>
              <w:t>9.1.5和9.1</w:t>
            </w:r>
            <w:r w:rsidRPr="009427CD">
              <w:rPr>
                <w:rFonts w:ascii="宋体" w:hAnsi="宋体" w:cs="宋体" w:hint="eastAsia"/>
                <w:snapToGrid w:val="0"/>
                <w:color w:val="231F20"/>
                <w:kern w:val="0"/>
                <w:sz w:val="18"/>
                <w:szCs w:val="20"/>
              </w:rPr>
              <w:t>.</w:t>
            </w:r>
            <w:r w:rsidRPr="009427CD">
              <w:rPr>
                <w:rFonts w:ascii="宋体" w:hAnsi="宋体" w:cs="宋体"/>
                <w:snapToGrid w:val="0"/>
                <w:color w:val="231F20"/>
                <w:kern w:val="0"/>
                <w:sz w:val="18"/>
                <w:szCs w:val="20"/>
              </w:rPr>
              <w:t>6</w:t>
            </w:r>
          </w:p>
        </w:tc>
        <w:tc>
          <w:tcPr>
            <w:tcW w:w="2186" w:type="dxa"/>
            <w:shd w:val="clear" w:color="auto" w:fill="auto"/>
            <w:vAlign w:val="center"/>
          </w:tcPr>
          <w:p w:rsidR="00576D2B" w:rsidRPr="009427CD" w:rsidRDefault="00F35E35" w:rsidP="009427CD">
            <w:pPr>
              <w:kinsoku w:val="0"/>
              <w:autoSpaceDE w:val="0"/>
              <w:autoSpaceDN w:val="0"/>
              <w:snapToGrid w:val="0"/>
              <w:spacing w:before="98" w:line="240" w:lineRule="auto"/>
              <w:ind w:firstLine="659"/>
              <w:textAlignment w:val="baseline"/>
              <w:rPr>
                <w:rFonts w:ascii="宋体" w:hAnsi="宋体" w:cs="宋体"/>
                <w:snapToGrid w:val="0"/>
                <w:color w:val="000000"/>
                <w:kern w:val="0"/>
                <w:sz w:val="18"/>
                <w:szCs w:val="20"/>
              </w:rPr>
            </w:pPr>
            <w:r w:rsidRPr="00F35E35">
              <w:rPr>
                <w:rFonts w:ascii="宋体" w:hAnsi="宋体" w:cs="宋体" w:hint="eastAsia"/>
                <w:snapToGrid w:val="0"/>
                <w:color w:val="000000"/>
                <w:kern w:val="0"/>
                <w:sz w:val="18"/>
                <w:szCs w:val="20"/>
              </w:rPr>
              <w:t>7.2至7.7</w:t>
            </w:r>
          </w:p>
        </w:tc>
      </w:tr>
      <w:tr w:rsidR="00576D2B" w:rsidRPr="009427CD" w:rsidTr="009427CD">
        <w:trPr>
          <w:trHeight w:val="748"/>
        </w:trPr>
        <w:tc>
          <w:tcPr>
            <w:tcW w:w="970" w:type="dxa"/>
            <w:shd w:val="clear" w:color="auto" w:fill="auto"/>
            <w:vAlign w:val="center"/>
          </w:tcPr>
          <w:p w:rsidR="00576D2B" w:rsidRPr="009427CD" w:rsidRDefault="00576D2B" w:rsidP="009427CD">
            <w:pPr>
              <w:kinsoku w:val="0"/>
              <w:autoSpaceDE w:val="0"/>
              <w:autoSpaceDN w:val="0"/>
              <w:snapToGrid w:val="0"/>
              <w:spacing w:before="99" w:line="240" w:lineRule="auto"/>
              <w:ind w:firstLine="61"/>
              <w:jc w:val="center"/>
              <w:textAlignment w:val="baseline"/>
              <w:rPr>
                <w:rFonts w:ascii="宋体" w:hAnsi="宋体" w:cs="宋体"/>
                <w:snapToGrid w:val="0"/>
                <w:color w:val="000000"/>
                <w:kern w:val="0"/>
                <w:sz w:val="18"/>
                <w:szCs w:val="20"/>
              </w:rPr>
            </w:pPr>
            <w:r w:rsidRPr="009427CD">
              <w:rPr>
                <w:rFonts w:ascii="宋体" w:hAnsi="宋体" w:cs="宋体"/>
                <w:snapToGrid w:val="0"/>
                <w:color w:val="231F20"/>
                <w:spacing w:val="-3"/>
                <w:kern w:val="0"/>
                <w:sz w:val="18"/>
                <w:szCs w:val="20"/>
              </w:rPr>
              <w:t>扫描宽度</w:t>
            </w:r>
          </w:p>
        </w:tc>
        <w:tc>
          <w:tcPr>
            <w:tcW w:w="2195" w:type="dxa"/>
            <w:shd w:val="clear" w:color="auto" w:fill="auto"/>
            <w:vAlign w:val="center"/>
          </w:tcPr>
          <w:p w:rsidR="00576D2B" w:rsidRPr="009427CD" w:rsidRDefault="00576D2B" w:rsidP="009427CD">
            <w:pPr>
              <w:kinsoku w:val="0"/>
              <w:autoSpaceDE w:val="0"/>
              <w:autoSpaceDN w:val="0"/>
              <w:snapToGrid w:val="0"/>
              <w:spacing w:before="94" w:line="240" w:lineRule="auto"/>
              <w:ind w:firstLine="49"/>
              <w:textAlignment w:val="baseline"/>
              <w:rPr>
                <w:rFonts w:ascii="宋体" w:hAnsi="宋体" w:cs="宋体"/>
                <w:snapToGrid w:val="0"/>
                <w:color w:val="000000"/>
                <w:kern w:val="0"/>
                <w:sz w:val="18"/>
                <w:szCs w:val="20"/>
              </w:rPr>
            </w:pPr>
            <w:r w:rsidRPr="009427CD">
              <w:rPr>
                <w:rFonts w:ascii="宋体" w:hAnsi="宋体" w:cs="宋体"/>
                <w:snapToGrid w:val="0"/>
                <w:color w:val="231F20"/>
                <w:spacing w:val="-2"/>
                <w:kern w:val="0"/>
                <w:sz w:val="18"/>
                <w:szCs w:val="20"/>
              </w:rPr>
              <w:t>描的宽度和扫描均匀性</w:t>
            </w:r>
            <w:r w:rsidRPr="009427CD">
              <w:rPr>
                <w:rFonts w:ascii="宋体" w:hAnsi="宋体" w:cs="宋体"/>
                <w:snapToGrid w:val="0"/>
                <w:color w:val="231F20"/>
                <w:spacing w:val="-2"/>
                <w:kern w:val="0"/>
                <w:position w:val="2"/>
                <w:sz w:val="18"/>
                <w:szCs w:val="20"/>
              </w:rPr>
              <w:t>1</w:t>
            </w:r>
            <w:r w:rsidRPr="009427CD">
              <w:rPr>
                <w:rFonts w:ascii="宋体" w:hAnsi="宋体" w:cs="宋体" w:hint="eastAsia"/>
                <w:snapToGrid w:val="0"/>
                <w:color w:val="231F20"/>
                <w:spacing w:val="-3"/>
                <w:kern w:val="0"/>
                <w:sz w:val="18"/>
                <w:szCs w:val="20"/>
              </w:rPr>
              <w:t>的</w:t>
            </w:r>
            <w:r w:rsidRPr="009427CD">
              <w:rPr>
                <w:rFonts w:ascii="宋体" w:hAnsi="宋体" w:cs="宋体" w:hint="eastAsia"/>
                <w:snapToGrid w:val="0"/>
                <w:color w:val="231F20"/>
                <w:kern w:val="0"/>
                <w:sz w:val="18"/>
                <w:szCs w:val="20"/>
              </w:rPr>
              <w:t>特性描述</w:t>
            </w:r>
          </w:p>
        </w:tc>
        <w:tc>
          <w:tcPr>
            <w:tcW w:w="1207" w:type="dxa"/>
            <w:shd w:val="clear" w:color="auto" w:fill="auto"/>
            <w:vAlign w:val="center"/>
          </w:tcPr>
          <w:p w:rsidR="00576D2B" w:rsidRPr="009427CD" w:rsidRDefault="00576D2B" w:rsidP="009427CD">
            <w:pPr>
              <w:kinsoku w:val="0"/>
              <w:autoSpaceDE w:val="0"/>
              <w:autoSpaceDN w:val="0"/>
              <w:snapToGrid w:val="0"/>
              <w:spacing w:before="248" w:line="240" w:lineRule="auto"/>
              <w:ind w:firstLine="621"/>
              <w:textAlignment w:val="center"/>
              <w:rPr>
                <w:rFonts w:ascii="Arial" w:eastAsia="Arial" w:hAnsi="Arial" w:cs="Arial"/>
                <w:snapToGrid w:val="0"/>
                <w:color w:val="000000"/>
                <w:kern w:val="0"/>
                <w:sz w:val="18"/>
              </w:rPr>
            </w:pPr>
            <w:r w:rsidRPr="009427CD">
              <w:rPr>
                <w:rFonts w:ascii="Arial" w:eastAsia="Arial" w:hAnsi="Arial" w:cs="Arial"/>
                <w:noProof/>
                <w:snapToGrid w:val="0"/>
                <w:color w:val="000000"/>
                <w:kern w:val="0"/>
                <w:sz w:val="18"/>
              </w:rPr>
              <w:drawing>
                <wp:inline distT="0" distB="0" distL="0" distR="0">
                  <wp:extent cx="83820" cy="137160"/>
                  <wp:effectExtent l="0" t="0" r="0"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 48"/>
                          <pic:cNvPicPr>
                            <a:picLocks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820" cy="137160"/>
                          </a:xfrm>
                          <a:prstGeom prst="rect">
                            <a:avLst/>
                          </a:prstGeom>
                          <a:noFill/>
                          <a:ln>
                            <a:noFill/>
                          </a:ln>
                        </pic:spPr>
                      </pic:pic>
                    </a:graphicData>
                  </a:graphic>
                </wp:inline>
              </w:drawing>
            </w:r>
          </w:p>
        </w:tc>
        <w:tc>
          <w:tcPr>
            <w:tcW w:w="1134" w:type="dxa"/>
            <w:shd w:val="clear" w:color="auto" w:fill="auto"/>
            <w:vAlign w:val="center"/>
          </w:tcPr>
          <w:p w:rsidR="00576D2B" w:rsidRPr="009427CD" w:rsidRDefault="00576D2B" w:rsidP="009427CD">
            <w:pPr>
              <w:kinsoku w:val="0"/>
              <w:autoSpaceDE w:val="0"/>
              <w:autoSpaceDN w:val="0"/>
              <w:snapToGrid w:val="0"/>
              <w:spacing w:before="284" w:line="240" w:lineRule="auto"/>
              <w:ind w:firstLine="428"/>
              <w:textAlignment w:val="baseline"/>
              <w:rPr>
                <w:rFonts w:ascii="宋体" w:hAnsi="宋体" w:cs="宋体"/>
                <w:snapToGrid w:val="0"/>
                <w:color w:val="000000"/>
                <w:kern w:val="0"/>
                <w:sz w:val="18"/>
                <w:szCs w:val="20"/>
              </w:rPr>
            </w:pPr>
            <w:r w:rsidRPr="009427CD">
              <w:rPr>
                <w:rFonts w:ascii="宋体" w:hAnsi="宋体" w:cs="宋体"/>
                <w:snapToGrid w:val="0"/>
                <w:color w:val="231F20"/>
                <w:spacing w:val="-1"/>
                <w:kern w:val="0"/>
                <w:sz w:val="18"/>
                <w:szCs w:val="20"/>
              </w:rPr>
              <w:t>N/A</w:t>
            </w:r>
          </w:p>
        </w:tc>
        <w:tc>
          <w:tcPr>
            <w:tcW w:w="2208" w:type="dxa"/>
            <w:shd w:val="clear" w:color="auto" w:fill="auto"/>
            <w:vAlign w:val="center"/>
          </w:tcPr>
          <w:p w:rsidR="00576D2B" w:rsidRPr="009427CD" w:rsidRDefault="00576D2B" w:rsidP="009427CD">
            <w:pPr>
              <w:kinsoku w:val="0"/>
              <w:autoSpaceDE w:val="0"/>
              <w:autoSpaceDN w:val="0"/>
              <w:snapToGrid w:val="0"/>
              <w:spacing w:before="320" w:line="240" w:lineRule="auto"/>
              <w:ind w:firstLine="402"/>
              <w:textAlignment w:val="baseline"/>
              <w:rPr>
                <w:rFonts w:ascii="宋体" w:hAnsi="宋体" w:cs="宋体"/>
                <w:snapToGrid w:val="0"/>
                <w:color w:val="000000"/>
                <w:kern w:val="0"/>
                <w:sz w:val="18"/>
                <w:szCs w:val="20"/>
              </w:rPr>
            </w:pPr>
            <w:r w:rsidRPr="009427CD">
              <w:rPr>
                <w:rFonts w:ascii="宋体" w:hAnsi="宋体" w:cs="宋体"/>
                <w:snapToGrid w:val="0"/>
                <w:color w:val="231F20"/>
                <w:kern w:val="0"/>
                <w:sz w:val="18"/>
                <w:szCs w:val="20"/>
              </w:rPr>
              <w:t>9.1.5和9.1</w:t>
            </w:r>
            <w:r w:rsidRPr="009427CD">
              <w:rPr>
                <w:rFonts w:ascii="宋体" w:hAnsi="宋体" w:cs="宋体" w:hint="eastAsia"/>
                <w:snapToGrid w:val="0"/>
                <w:color w:val="231F20"/>
                <w:kern w:val="0"/>
                <w:sz w:val="18"/>
                <w:szCs w:val="20"/>
              </w:rPr>
              <w:t>.</w:t>
            </w:r>
            <w:r w:rsidRPr="009427CD">
              <w:rPr>
                <w:rFonts w:ascii="宋体" w:hAnsi="宋体" w:cs="宋体"/>
                <w:snapToGrid w:val="0"/>
                <w:color w:val="231F20"/>
                <w:kern w:val="0"/>
                <w:sz w:val="18"/>
                <w:szCs w:val="20"/>
              </w:rPr>
              <w:t>6</w:t>
            </w:r>
          </w:p>
        </w:tc>
        <w:tc>
          <w:tcPr>
            <w:tcW w:w="2186" w:type="dxa"/>
            <w:shd w:val="clear" w:color="auto" w:fill="auto"/>
            <w:vAlign w:val="center"/>
          </w:tcPr>
          <w:p w:rsidR="00F35E35" w:rsidRPr="009427CD" w:rsidRDefault="00F35E35" w:rsidP="009427CD">
            <w:pPr>
              <w:kinsoku w:val="0"/>
              <w:autoSpaceDE w:val="0"/>
              <w:autoSpaceDN w:val="0"/>
              <w:snapToGrid w:val="0"/>
              <w:spacing w:before="99" w:line="240" w:lineRule="auto"/>
              <w:ind w:firstLine="659"/>
              <w:textAlignment w:val="baseline"/>
              <w:rPr>
                <w:rFonts w:ascii="宋体" w:hAnsi="宋体" w:cs="宋体"/>
                <w:snapToGrid w:val="0"/>
                <w:color w:val="000000"/>
                <w:kern w:val="0"/>
                <w:sz w:val="18"/>
                <w:szCs w:val="20"/>
              </w:rPr>
            </w:pPr>
            <w:r w:rsidRPr="00F35E35">
              <w:rPr>
                <w:rFonts w:ascii="宋体" w:hAnsi="宋体" w:cs="宋体" w:hint="eastAsia"/>
                <w:snapToGrid w:val="0"/>
                <w:color w:val="000000"/>
                <w:kern w:val="0"/>
                <w:sz w:val="18"/>
                <w:szCs w:val="20"/>
              </w:rPr>
              <w:t>7.2至7.7</w:t>
            </w:r>
          </w:p>
        </w:tc>
      </w:tr>
      <w:tr w:rsidR="00AB1117" w:rsidRPr="009427CD" w:rsidTr="009427CD">
        <w:trPr>
          <w:trHeight w:val="804"/>
        </w:trPr>
        <w:tc>
          <w:tcPr>
            <w:tcW w:w="9900" w:type="dxa"/>
            <w:gridSpan w:val="6"/>
            <w:tcBorders>
              <w:top w:val="single" w:sz="8" w:space="0" w:color="231F20"/>
              <w:bottom w:val="single" w:sz="8" w:space="0" w:color="231F20"/>
            </w:tcBorders>
            <w:shd w:val="clear" w:color="auto" w:fill="auto"/>
            <w:vAlign w:val="center"/>
          </w:tcPr>
          <w:p w:rsidR="00AB1117" w:rsidRDefault="00AB1117" w:rsidP="00AB1117">
            <w:pPr>
              <w:pStyle w:val="af4"/>
              <w:rPr>
                <w:snapToGrid w:val="0"/>
              </w:rPr>
            </w:pPr>
            <w:r>
              <w:rPr>
                <w:rFonts w:hint="eastAsia"/>
                <w:snapToGrid w:val="0"/>
              </w:rPr>
              <w:t>有关执行这些特性的详细指南，请参阅</w:t>
            </w:r>
            <w:r>
              <w:rPr>
                <w:snapToGrid w:val="0"/>
              </w:rPr>
              <w:t>ISO/ASTM51649、ISO/ASTM51818和/或ISO/ASTM51608。</w:t>
            </w:r>
          </w:p>
          <w:p w:rsidR="00AB1117" w:rsidRPr="00AB1117" w:rsidRDefault="00AB1117" w:rsidP="00AB1117">
            <w:pPr>
              <w:pStyle w:val="affff6"/>
              <w:ind w:firstLine="420"/>
            </w:pPr>
            <w:r w:rsidRPr="00AB1117">
              <w:rPr>
                <w:rFonts w:hint="eastAsia"/>
              </w:rPr>
              <w:t>N/A=不适用。</w:t>
            </w:r>
          </w:p>
        </w:tc>
      </w:tr>
    </w:tbl>
    <w:p w:rsidR="00576D2B" w:rsidRPr="00576D2B" w:rsidRDefault="00576D2B" w:rsidP="00576D2B">
      <w:pPr>
        <w:pStyle w:val="aff4"/>
        <w:spacing w:before="156" w:after="156"/>
      </w:pPr>
      <w:bookmarkStart w:id="161" w:name="_Toc112783069"/>
      <w:bookmarkStart w:id="162" w:name="_Toc112844866"/>
      <w:r w:rsidRPr="00576D2B">
        <w:rPr>
          <w:rFonts w:hint="eastAsia"/>
        </w:rPr>
        <w:t>运行鉴定</w:t>
      </w:r>
      <w:bookmarkEnd w:id="161"/>
      <w:bookmarkEnd w:id="162"/>
    </w:p>
    <w:p w:rsidR="00576D2B" w:rsidRDefault="00576D2B" w:rsidP="00576D2B">
      <w:pPr>
        <w:pStyle w:val="aff"/>
        <w:spacing w:before="156" w:after="156"/>
      </w:pPr>
      <w:r w:rsidRPr="00576D2B">
        <w:rPr>
          <w:rFonts w:hint="eastAsia"/>
        </w:rPr>
        <w:t>-γ、电子束和X射线</w:t>
      </w:r>
    </w:p>
    <w:tbl>
      <w:tblPr>
        <w:tblW w:w="9900" w:type="dxa"/>
        <w:jc w:val="center"/>
        <w:tblBorders>
          <w:top w:val="single" w:sz="8" w:space="0" w:color="231F20"/>
          <w:left w:val="single" w:sz="8" w:space="0" w:color="231F20"/>
          <w:bottom w:val="single" w:sz="8" w:space="0" w:color="231F20"/>
          <w:right w:val="single" w:sz="8" w:space="0" w:color="231F20"/>
          <w:insideH w:val="single" w:sz="2" w:space="0" w:color="231F20"/>
          <w:insideV w:val="single" w:sz="2" w:space="0" w:color="231F20"/>
        </w:tblBorders>
        <w:tblLayout w:type="fixed"/>
        <w:tblCellMar>
          <w:left w:w="0" w:type="dxa"/>
          <w:right w:w="0" w:type="dxa"/>
        </w:tblCellMar>
        <w:tblLook w:val="0000"/>
      </w:tblPr>
      <w:tblGrid>
        <w:gridCol w:w="1836"/>
        <w:gridCol w:w="1701"/>
        <w:gridCol w:w="1276"/>
        <w:gridCol w:w="1134"/>
        <w:gridCol w:w="1965"/>
        <w:gridCol w:w="1988"/>
      </w:tblGrid>
      <w:tr w:rsidR="00576D2B" w:rsidRPr="00F35E35" w:rsidTr="00F35E35">
        <w:trPr>
          <w:trHeight w:val="750"/>
          <w:jc w:val="center"/>
        </w:trPr>
        <w:tc>
          <w:tcPr>
            <w:tcW w:w="1836" w:type="dxa"/>
            <w:tcBorders>
              <w:top w:val="single" w:sz="8" w:space="0" w:color="231F20"/>
              <w:bottom w:val="single" w:sz="8" w:space="0" w:color="231F20"/>
            </w:tcBorders>
            <w:shd w:val="clear" w:color="auto" w:fill="auto"/>
            <w:vAlign w:val="center"/>
          </w:tcPr>
          <w:p w:rsidR="00576D2B" w:rsidRPr="00F35E35" w:rsidRDefault="00576D2B" w:rsidP="00F35E35">
            <w:pPr>
              <w:kinsoku w:val="0"/>
              <w:autoSpaceDE w:val="0"/>
              <w:autoSpaceDN w:val="0"/>
              <w:snapToGrid w:val="0"/>
              <w:spacing w:before="42" w:line="240" w:lineRule="auto"/>
              <w:ind w:firstLine="414"/>
              <w:textAlignment w:val="baseline"/>
              <w:rPr>
                <w:rFonts w:ascii="宋体" w:hAnsi="宋体" w:cs="宋体"/>
                <w:snapToGrid w:val="0"/>
                <w:color w:val="000000"/>
                <w:kern w:val="0"/>
                <w:sz w:val="18"/>
                <w:szCs w:val="18"/>
              </w:rPr>
            </w:pPr>
            <w:r w:rsidRPr="00F35E35">
              <w:rPr>
                <w:rFonts w:ascii="宋体" w:hAnsi="宋体" w:cs="宋体" w:hint="eastAsia"/>
                <w:snapToGrid w:val="0"/>
                <w:color w:val="231F20"/>
                <w:spacing w:val="-3"/>
                <w:kern w:val="0"/>
                <w:sz w:val="18"/>
                <w:szCs w:val="18"/>
              </w:rPr>
              <w:t>鉴定项目</w:t>
            </w:r>
          </w:p>
        </w:tc>
        <w:tc>
          <w:tcPr>
            <w:tcW w:w="1701" w:type="dxa"/>
            <w:tcBorders>
              <w:top w:val="single" w:sz="8" w:space="0" w:color="231F20"/>
              <w:bottom w:val="single" w:sz="8" w:space="0" w:color="231F20"/>
            </w:tcBorders>
            <w:shd w:val="clear" w:color="auto" w:fill="auto"/>
            <w:vAlign w:val="center"/>
          </w:tcPr>
          <w:p w:rsidR="00576D2B" w:rsidRPr="00F35E35" w:rsidRDefault="00576D2B" w:rsidP="00F35E35">
            <w:pPr>
              <w:kinsoku w:val="0"/>
              <w:autoSpaceDE w:val="0"/>
              <w:autoSpaceDN w:val="0"/>
              <w:snapToGrid w:val="0"/>
              <w:spacing w:before="42" w:line="240" w:lineRule="auto"/>
              <w:ind w:firstLine="555"/>
              <w:textAlignment w:val="baseline"/>
              <w:rPr>
                <w:rFonts w:ascii="宋体" w:hAnsi="宋体" w:cs="宋体"/>
                <w:snapToGrid w:val="0"/>
                <w:color w:val="000000"/>
                <w:kern w:val="0"/>
                <w:sz w:val="18"/>
                <w:szCs w:val="18"/>
              </w:rPr>
            </w:pPr>
            <w:r w:rsidRPr="00F35E35">
              <w:rPr>
                <w:rFonts w:ascii="宋体" w:hAnsi="宋体" w:cs="宋体"/>
                <w:snapToGrid w:val="0"/>
                <w:color w:val="231F20"/>
                <w:spacing w:val="-5"/>
                <w:kern w:val="0"/>
                <w:sz w:val="18"/>
                <w:szCs w:val="18"/>
              </w:rPr>
              <w:t>描述</w:t>
            </w:r>
          </w:p>
        </w:tc>
        <w:tc>
          <w:tcPr>
            <w:tcW w:w="1276" w:type="dxa"/>
            <w:tcBorders>
              <w:top w:val="single" w:sz="8" w:space="0" w:color="231F20"/>
              <w:bottom w:val="single" w:sz="8" w:space="0" w:color="231F20"/>
            </w:tcBorders>
            <w:shd w:val="clear" w:color="auto" w:fill="auto"/>
            <w:vAlign w:val="center"/>
          </w:tcPr>
          <w:p w:rsidR="00576D2B" w:rsidRPr="00F35E35" w:rsidRDefault="00576D2B" w:rsidP="00F35E35">
            <w:pPr>
              <w:kinsoku w:val="0"/>
              <w:autoSpaceDE w:val="0"/>
              <w:autoSpaceDN w:val="0"/>
              <w:snapToGrid w:val="0"/>
              <w:spacing w:before="24" w:line="240" w:lineRule="auto"/>
              <w:ind w:firstLine="4"/>
              <w:jc w:val="center"/>
              <w:textAlignment w:val="baseline"/>
              <w:rPr>
                <w:rFonts w:ascii="宋体" w:hAnsi="宋体" w:cs="宋体"/>
                <w:snapToGrid w:val="0"/>
                <w:color w:val="000000"/>
                <w:kern w:val="0"/>
                <w:sz w:val="18"/>
                <w:szCs w:val="18"/>
              </w:rPr>
            </w:pPr>
            <w:r w:rsidRPr="00F35E35">
              <w:rPr>
                <w:rFonts w:ascii="宋体" w:hAnsi="宋体" w:cs="宋体" w:hint="eastAsia"/>
                <w:snapToGrid w:val="0"/>
                <w:color w:val="231F20"/>
                <w:spacing w:val="-2"/>
                <w:kern w:val="0"/>
                <w:position w:val="3"/>
                <w:sz w:val="18"/>
                <w:szCs w:val="18"/>
              </w:rPr>
              <w:t>灭菌</w:t>
            </w:r>
            <w:r w:rsidRPr="00F35E35">
              <w:rPr>
                <w:rFonts w:ascii="宋体" w:hAnsi="宋体" w:cs="宋体"/>
                <w:snapToGrid w:val="0"/>
                <w:color w:val="231F20"/>
                <w:spacing w:val="-2"/>
                <w:kern w:val="0"/>
                <w:position w:val="3"/>
                <w:sz w:val="18"/>
                <w:szCs w:val="18"/>
              </w:rPr>
              <w:t>处理</w:t>
            </w:r>
            <w:r w:rsidRPr="00F35E35">
              <w:rPr>
                <w:rFonts w:ascii="宋体" w:hAnsi="宋体" w:cs="宋体" w:hint="eastAsia"/>
                <w:snapToGrid w:val="0"/>
                <w:color w:val="231F20"/>
                <w:spacing w:val="-2"/>
                <w:kern w:val="0"/>
                <w:position w:val="3"/>
                <w:sz w:val="18"/>
                <w:szCs w:val="18"/>
              </w:rPr>
              <w:t>的</w:t>
            </w:r>
            <w:r w:rsidRPr="00F35E35">
              <w:rPr>
                <w:rFonts w:ascii="宋体" w:hAnsi="宋体" w:cs="宋体"/>
                <w:snapToGrid w:val="0"/>
                <w:color w:val="231F20"/>
                <w:spacing w:val="-2"/>
                <w:kern w:val="0"/>
                <w:position w:val="3"/>
                <w:sz w:val="18"/>
                <w:szCs w:val="18"/>
              </w:rPr>
              <w:t>辐照</w:t>
            </w:r>
            <w:r w:rsidRPr="00F35E35">
              <w:rPr>
                <w:rFonts w:ascii="宋体" w:hAnsi="宋体" w:cs="宋体" w:hint="eastAsia"/>
                <w:snapToGrid w:val="0"/>
                <w:color w:val="231F20"/>
                <w:spacing w:val="-2"/>
                <w:kern w:val="0"/>
                <w:position w:val="3"/>
                <w:sz w:val="18"/>
                <w:szCs w:val="18"/>
              </w:rPr>
              <w:t>装置</w:t>
            </w:r>
          </w:p>
        </w:tc>
        <w:tc>
          <w:tcPr>
            <w:tcW w:w="1134" w:type="dxa"/>
            <w:tcBorders>
              <w:top w:val="single" w:sz="8" w:space="0" w:color="231F20"/>
              <w:bottom w:val="single" w:sz="8" w:space="0" w:color="231F20"/>
            </w:tcBorders>
            <w:shd w:val="clear" w:color="auto" w:fill="auto"/>
            <w:vAlign w:val="center"/>
          </w:tcPr>
          <w:p w:rsidR="00576D2B" w:rsidRPr="00F35E35" w:rsidRDefault="00576D2B" w:rsidP="00F35E35">
            <w:pPr>
              <w:kinsoku w:val="0"/>
              <w:autoSpaceDE w:val="0"/>
              <w:autoSpaceDN w:val="0"/>
              <w:snapToGrid w:val="0"/>
              <w:spacing w:line="240" w:lineRule="auto"/>
              <w:ind w:firstLine="2"/>
              <w:jc w:val="center"/>
              <w:textAlignment w:val="baseline"/>
              <w:rPr>
                <w:rFonts w:ascii="宋体" w:hAnsi="宋体" w:cs="宋体"/>
                <w:snapToGrid w:val="0"/>
                <w:color w:val="000000"/>
                <w:kern w:val="0"/>
                <w:sz w:val="18"/>
                <w:szCs w:val="18"/>
              </w:rPr>
            </w:pPr>
            <w:r w:rsidRPr="00F35E35">
              <w:rPr>
                <w:rFonts w:ascii="宋体" w:hAnsi="宋体" w:cs="宋体"/>
                <w:snapToGrid w:val="0"/>
                <w:color w:val="231F20"/>
                <w:spacing w:val="-2"/>
                <w:kern w:val="0"/>
                <w:sz w:val="18"/>
                <w:szCs w:val="18"/>
              </w:rPr>
              <w:t>特殊的</w:t>
            </w:r>
            <w:r w:rsidRPr="00F35E35">
              <w:rPr>
                <w:rFonts w:ascii="宋体" w:hAnsi="宋体" w:cs="宋体"/>
                <w:snapToGrid w:val="0"/>
                <w:color w:val="231F20"/>
                <w:spacing w:val="-1"/>
                <w:kern w:val="0"/>
                <w:sz w:val="18"/>
                <w:szCs w:val="18"/>
              </w:rPr>
              <w:t>辐照</w:t>
            </w:r>
            <w:r w:rsidRPr="00F35E35">
              <w:rPr>
                <w:rFonts w:ascii="宋体" w:hAnsi="宋体" w:cs="宋体" w:hint="eastAsia"/>
                <w:snapToGrid w:val="0"/>
                <w:color w:val="231F20"/>
                <w:spacing w:val="-1"/>
                <w:kern w:val="0"/>
                <w:sz w:val="18"/>
                <w:szCs w:val="18"/>
              </w:rPr>
              <w:t>装置</w:t>
            </w:r>
            <w:r w:rsidRPr="00F35E35">
              <w:rPr>
                <w:rFonts w:ascii="宋体" w:hAnsi="宋体" w:cs="宋体"/>
                <w:snapToGrid w:val="0"/>
                <w:color w:val="231F20"/>
                <w:spacing w:val="-1"/>
                <w:kern w:val="0"/>
                <w:sz w:val="18"/>
                <w:szCs w:val="18"/>
              </w:rPr>
              <w:t>路</w:t>
            </w:r>
            <w:r w:rsidRPr="00F35E35">
              <w:rPr>
                <w:rFonts w:ascii="宋体" w:hAnsi="宋体" w:cs="宋体"/>
                <w:snapToGrid w:val="0"/>
                <w:color w:val="231F20"/>
                <w:kern w:val="0"/>
                <w:sz w:val="18"/>
                <w:szCs w:val="18"/>
              </w:rPr>
              <w:t>径</w:t>
            </w:r>
          </w:p>
        </w:tc>
        <w:tc>
          <w:tcPr>
            <w:tcW w:w="1965" w:type="dxa"/>
            <w:tcBorders>
              <w:top w:val="single" w:sz="8" w:space="0" w:color="231F20"/>
              <w:bottom w:val="single" w:sz="8" w:space="0" w:color="231F20"/>
            </w:tcBorders>
            <w:shd w:val="clear" w:color="auto" w:fill="auto"/>
            <w:vAlign w:val="center"/>
          </w:tcPr>
          <w:p w:rsidR="00576D2B" w:rsidRPr="00F35E35" w:rsidRDefault="00576D2B" w:rsidP="00F35E35">
            <w:pPr>
              <w:kinsoku w:val="0"/>
              <w:autoSpaceDE w:val="0"/>
              <w:autoSpaceDN w:val="0"/>
              <w:snapToGrid w:val="0"/>
              <w:spacing w:before="109" w:line="240" w:lineRule="auto"/>
              <w:ind w:left="437" w:right="89" w:hanging="368"/>
              <w:textAlignment w:val="baseline"/>
              <w:rPr>
                <w:rFonts w:ascii="宋体" w:hAnsi="宋体" w:cs="宋体"/>
                <w:snapToGrid w:val="0"/>
                <w:color w:val="000000"/>
                <w:kern w:val="0"/>
                <w:sz w:val="18"/>
                <w:szCs w:val="18"/>
              </w:rPr>
            </w:pPr>
            <w:r w:rsidRPr="00F35E35">
              <w:rPr>
                <w:rFonts w:ascii="宋体" w:hAnsi="宋体" w:cs="宋体"/>
                <w:snapToGrid w:val="0"/>
                <w:color w:val="231F20"/>
                <w:spacing w:val="-10"/>
                <w:kern w:val="0"/>
                <w:sz w:val="18"/>
                <w:szCs w:val="18"/>
              </w:rPr>
              <w:t>ISO11137-1：2006</w:t>
            </w:r>
            <w:r w:rsidRPr="00F35E35">
              <w:rPr>
                <w:rFonts w:ascii="宋体" w:hAnsi="宋体" w:cs="宋体"/>
                <w:snapToGrid w:val="0"/>
                <w:color w:val="231F20"/>
                <w:spacing w:val="-8"/>
                <w:kern w:val="0"/>
                <w:sz w:val="18"/>
                <w:szCs w:val="18"/>
              </w:rPr>
              <w:t>，条款</w:t>
            </w:r>
          </w:p>
        </w:tc>
        <w:tc>
          <w:tcPr>
            <w:tcW w:w="1988" w:type="dxa"/>
            <w:tcBorders>
              <w:top w:val="single" w:sz="8" w:space="0" w:color="231F20"/>
              <w:bottom w:val="single" w:sz="8" w:space="0" w:color="231F20"/>
            </w:tcBorders>
            <w:shd w:val="clear" w:color="auto" w:fill="auto"/>
            <w:vAlign w:val="center"/>
          </w:tcPr>
          <w:p w:rsidR="00576D2B" w:rsidRPr="00F35E35" w:rsidRDefault="00576D2B" w:rsidP="00F35E35">
            <w:pPr>
              <w:kinsoku w:val="0"/>
              <w:autoSpaceDE w:val="0"/>
              <w:autoSpaceDN w:val="0"/>
              <w:snapToGrid w:val="0"/>
              <w:spacing w:before="109" w:line="240" w:lineRule="auto"/>
              <w:ind w:right="215" w:firstLine="15"/>
              <w:textAlignment w:val="baseline"/>
              <w:rPr>
                <w:rFonts w:ascii="宋体" w:hAnsi="宋体" w:cs="宋体"/>
                <w:snapToGrid w:val="0"/>
                <w:color w:val="000000"/>
                <w:kern w:val="0"/>
                <w:sz w:val="18"/>
                <w:szCs w:val="18"/>
              </w:rPr>
            </w:pPr>
            <w:r w:rsidRPr="00F35E35">
              <w:rPr>
                <w:rFonts w:ascii="宋体" w:hAnsi="宋体" w:cs="宋体"/>
                <w:snapToGrid w:val="0"/>
                <w:color w:val="231F20"/>
                <w:spacing w:val="-10"/>
                <w:kern w:val="0"/>
                <w:sz w:val="18"/>
                <w:szCs w:val="18"/>
              </w:rPr>
              <w:t>ISO11137-3：2017</w:t>
            </w:r>
            <w:r w:rsidRPr="00F35E35">
              <w:rPr>
                <w:rFonts w:ascii="宋体" w:hAnsi="宋体" w:cs="宋体"/>
                <w:snapToGrid w:val="0"/>
                <w:color w:val="231F20"/>
                <w:spacing w:val="-8"/>
                <w:kern w:val="0"/>
                <w:sz w:val="18"/>
                <w:szCs w:val="18"/>
              </w:rPr>
              <w:t>，条款</w:t>
            </w:r>
          </w:p>
        </w:tc>
      </w:tr>
      <w:tr w:rsidR="00576D2B" w:rsidRPr="00F35E35" w:rsidTr="00F35E35">
        <w:trPr>
          <w:trHeight w:val="738"/>
          <w:jc w:val="center"/>
        </w:trPr>
        <w:tc>
          <w:tcPr>
            <w:tcW w:w="1836" w:type="dxa"/>
            <w:tcBorders>
              <w:top w:val="single" w:sz="8" w:space="0" w:color="231F20"/>
            </w:tcBorders>
            <w:shd w:val="clear" w:color="auto" w:fill="auto"/>
            <w:vAlign w:val="center"/>
          </w:tcPr>
          <w:p w:rsidR="00576D2B" w:rsidRPr="00F35E35" w:rsidRDefault="00576D2B" w:rsidP="00F35E35">
            <w:pPr>
              <w:kinsoku w:val="0"/>
              <w:autoSpaceDE w:val="0"/>
              <w:autoSpaceDN w:val="0"/>
              <w:snapToGrid w:val="0"/>
              <w:spacing w:before="69" w:line="240" w:lineRule="auto"/>
              <w:ind w:firstLine="54"/>
              <w:textAlignment w:val="baseline"/>
              <w:rPr>
                <w:rFonts w:ascii="宋体" w:hAnsi="宋体" w:cs="宋体"/>
                <w:snapToGrid w:val="0"/>
                <w:color w:val="000000"/>
                <w:kern w:val="0"/>
                <w:sz w:val="18"/>
                <w:szCs w:val="18"/>
              </w:rPr>
            </w:pPr>
            <w:r w:rsidRPr="00F35E35">
              <w:rPr>
                <w:rFonts w:ascii="宋体" w:hAnsi="宋体" w:cs="宋体"/>
                <w:snapToGrid w:val="0"/>
                <w:color w:val="231F20"/>
                <w:spacing w:val="-2"/>
                <w:kern w:val="0"/>
                <w:sz w:val="18"/>
                <w:szCs w:val="18"/>
              </w:rPr>
              <w:t>均匀剂量</w:t>
            </w:r>
            <w:r w:rsidRPr="00F35E35">
              <w:rPr>
                <w:rFonts w:ascii="宋体" w:hAnsi="宋体" w:cs="宋体" w:hint="eastAsia"/>
                <w:snapToGrid w:val="0"/>
                <w:color w:val="231F20"/>
                <w:spacing w:val="-2"/>
                <w:kern w:val="0"/>
                <w:sz w:val="18"/>
                <w:szCs w:val="18"/>
              </w:rPr>
              <w:t>分布</w:t>
            </w:r>
          </w:p>
        </w:tc>
        <w:tc>
          <w:tcPr>
            <w:tcW w:w="1701" w:type="dxa"/>
            <w:tcBorders>
              <w:top w:val="single" w:sz="8" w:space="0" w:color="231F20"/>
            </w:tcBorders>
            <w:shd w:val="clear" w:color="auto" w:fill="auto"/>
            <w:vAlign w:val="center"/>
          </w:tcPr>
          <w:p w:rsidR="00576D2B" w:rsidRPr="00F35E35" w:rsidRDefault="00576D2B" w:rsidP="00F35E35">
            <w:pPr>
              <w:kinsoku w:val="0"/>
              <w:autoSpaceDE w:val="0"/>
              <w:autoSpaceDN w:val="0"/>
              <w:snapToGrid w:val="0"/>
              <w:spacing w:before="88" w:line="240" w:lineRule="auto"/>
              <w:ind w:firstLine="46"/>
              <w:textAlignment w:val="baseline"/>
              <w:rPr>
                <w:rFonts w:ascii="宋体" w:hAnsi="宋体" w:cs="宋体"/>
                <w:snapToGrid w:val="0"/>
                <w:color w:val="000000"/>
                <w:kern w:val="0"/>
                <w:sz w:val="18"/>
                <w:szCs w:val="18"/>
              </w:rPr>
            </w:pPr>
            <w:r w:rsidRPr="00F35E35">
              <w:rPr>
                <w:rFonts w:ascii="宋体" w:hAnsi="宋体" w:cs="宋体"/>
                <w:snapToGrid w:val="0"/>
                <w:color w:val="231F20"/>
                <w:spacing w:val="-1"/>
                <w:kern w:val="0"/>
                <w:sz w:val="18"/>
                <w:szCs w:val="18"/>
              </w:rPr>
              <w:t>均匀材料</w:t>
            </w:r>
            <w:r w:rsidR="00EB648F" w:rsidRPr="00F35E35">
              <w:rPr>
                <w:rFonts w:ascii="宋体" w:hAnsi="宋体" w:cs="宋体"/>
                <w:snapToGrid w:val="0"/>
                <w:color w:val="231F20"/>
                <w:spacing w:val="-1"/>
                <w:kern w:val="0"/>
                <w:sz w:val="18"/>
                <w:szCs w:val="18"/>
                <w:vertAlign w:val="superscript"/>
              </w:rPr>
              <w:t>a</w:t>
            </w:r>
            <w:r w:rsidRPr="00F35E35">
              <w:rPr>
                <w:rFonts w:ascii="宋体" w:hAnsi="宋体" w:cs="宋体"/>
                <w:snapToGrid w:val="0"/>
                <w:color w:val="231F20"/>
                <w:spacing w:val="-1"/>
                <w:kern w:val="0"/>
                <w:sz w:val="18"/>
                <w:szCs w:val="18"/>
              </w:rPr>
              <w:t>的剂量</w:t>
            </w:r>
            <w:r w:rsidRPr="00F35E35">
              <w:rPr>
                <w:rFonts w:ascii="宋体" w:hAnsi="宋体" w:cs="宋体" w:hint="eastAsia"/>
                <w:snapToGrid w:val="0"/>
                <w:color w:val="231F20"/>
                <w:spacing w:val="-1"/>
                <w:kern w:val="0"/>
                <w:sz w:val="18"/>
                <w:szCs w:val="18"/>
              </w:rPr>
              <w:t>分布</w:t>
            </w:r>
          </w:p>
        </w:tc>
        <w:tc>
          <w:tcPr>
            <w:tcW w:w="1276" w:type="dxa"/>
            <w:tcBorders>
              <w:top w:val="single" w:sz="8" w:space="0" w:color="231F20"/>
            </w:tcBorders>
            <w:shd w:val="clear" w:color="auto" w:fill="auto"/>
            <w:vAlign w:val="center"/>
          </w:tcPr>
          <w:p w:rsidR="00576D2B" w:rsidRPr="00F35E35" w:rsidRDefault="00576D2B" w:rsidP="00F35E35">
            <w:pPr>
              <w:kinsoku w:val="0"/>
              <w:autoSpaceDE w:val="0"/>
              <w:autoSpaceDN w:val="0"/>
              <w:snapToGrid w:val="0"/>
              <w:spacing w:line="240" w:lineRule="auto"/>
              <w:ind w:firstLine="716"/>
              <w:textAlignment w:val="center"/>
              <w:rPr>
                <w:rFonts w:ascii="宋体" w:hAnsi="宋体" w:cs="Arial"/>
                <w:snapToGrid w:val="0"/>
                <w:color w:val="000000"/>
                <w:kern w:val="0"/>
                <w:sz w:val="18"/>
                <w:szCs w:val="18"/>
              </w:rPr>
            </w:pPr>
            <w:r w:rsidRPr="00F35E35">
              <w:rPr>
                <w:rFonts w:ascii="宋体" w:hAnsi="宋体" w:cs="Arial"/>
                <w:noProof/>
                <w:snapToGrid w:val="0"/>
                <w:color w:val="000000"/>
                <w:kern w:val="0"/>
                <w:sz w:val="18"/>
                <w:szCs w:val="18"/>
              </w:rPr>
              <w:drawing>
                <wp:inline distT="0" distB="0" distL="0" distR="0">
                  <wp:extent cx="66040" cy="101600"/>
                  <wp:effectExtent l="0" t="0" r="0" b="0"/>
                  <wp:docPr id="14" name="图片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 49"/>
                          <pic:cNvPicPr>
                            <a:picLocks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040" cy="101600"/>
                          </a:xfrm>
                          <a:prstGeom prst="rect">
                            <a:avLst/>
                          </a:prstGeom>
                          <a:noFill/>
                          <a:ln>
                            <a:noFill/>
                          </a:ln>
                        </pic:spPr>
                      </pic:pic>
                    </a:graphicData>
                  </a:graphic>
                </wp:inline>
              </w:drawing>
            </w:r>
          </w:p>
        </w:tc>
        <w:tc>
          <w:tcPr>
            <w:tcW w:w="1134" w:type="dxa"/>
            <w:tcBorders>
              <w:top w:val="single" w:sz="8" w:space="0" w:color="231F20"/>
            </w:tcBorders>
            <w:shd w:val="clear" w:color="auto" w:fill="auto"/>
            <w:vAlign w:val="center"/>
          </w:tcPr>
          <w:p w:rsidR="00576D2B" w:rsidRPr="00F35E35" w:rsidRDefault="00576D2B" w:rsidP="00F35E35">
            <w:pPr>
              <w:kinsoku w:val="0"/>
              <w:autoSpaceDE w:val="0"/>
              <w:autoSpaceDN w:val="0"/>
              <w:snapToGrid w:val="0"/>
              <w:spacing w:before="307" w:line="240" w:lineRule="auto"/>
              <w:ind w:firstLine="448"/>
              <w:textAlignment w:val="baseline"/>
              <w:rPr>
                <w:rFonts w:ascii="宋体" w:hAnsi="宋体" w:cs="宋体"/>
                <w:snapToGrid w:val="0"/>
                <w:color w:val="000000"/>
                <w:kern w:val="0"/>
                <w:sz w:val="18"/>
                <w:szCs w:val="18"/>
              </w:rPr>
            </w:pPr>
            <w:r w:rsidRPr="00F35E35">
              <w:rPr>
                <w:rFonts w:ascii="宋体" w:hAnsi="宋体" w:cs="宋体"/>
                <w:snapToGrid w:val="0"/>
                <w:color w:val="231F20"/>
                <w:spacing w:val="-1"/>
                <w:kern w:val="0"/>
                <w:sz w:val="18"/>
                <w:szCs w:val="18"/>
              </w:rPr>
              <w:t>N/A</w:t>
            </w:r>
          </w:p>
        </w:tc>
        <w:tc>
          <w:tcPr>
            <w:tcW w:w="1965" w:type="dxa"/>
            <w:tcBorders>
              <w:top w:val="single" w:sz="8" w:space="0" w:color="231F20"/>
            </w:tcBorders>
            <w:shd w:val="clear" w:color="auto" w:fill="auto"/>
            <w:vAlign w:val="center"/>
          </w:tcPr>
          <w:p w:rsidR="00576D2B" w:rsidRPr="00F35E35" w:rsidRDefault="00576D2B" w:rsidP="00F35E35">
            <w:pPr>
              <w:kinsoku w:val="0"/>
              <w:autoSpaceDE w:val="0"/>
              <w:autoSpaceDN w:val="0"/>
              <w:snapToGrid w:val="0"/>
              <w:spacing w:before="46" w:line="240" w:lineRule="auto"/>
              <w:ind w:firstLine="185"/>
              <w:textAlignment w:val="baseline"/>
              <w:rPr>
                <w:rFonts w:ascii="宋体" w:hAnsi="宋体" w:cs="宋体"/>
                <w:snapToGrid w:val="0"/>
                <w:color w:val="000000"/>
                <w:kern w:val="0"/>
                <w:sz w:val="18"/>
                <w:szCs w:val="18"/>
              </w:rPr>
            </w:pPr>
            <w:r w:rsidRPr="00F35E35">
              <w:rPr>
                <w:rFonts w:ascii="宋体" w:hAnsi="宋体" w:cs="宋体"/>
                <w:snapToGrid w:val="0"/>
                <w:color w:val="231F20"/>
                <w:spacing w:val="4"/>
                <w:w w:val="101"/>
                <w:kern w:val="0"/>
                <w:sz w:val="18"/>
                <w:szCs w:val="18"/>
              </w:rPr>
              <w:t>9.2.2和9.2.6</w:t>
            </w:r>
          </w:p>
        </w:tc>
        <w:tc>
          <w:tcPr>
            <w:tcW w:w="1988" w:type="dxa"/>
            <w:tcBorders>
              <w:top w:val="single" w:sz="8" w:space="0" w:color="231F20"/>
            </w:tcBorders>
            <w:shd w:val="clear" w:color="auto" w:fill="auto"/>
            <w:vAlign w:val="center"/>
          </w:tcPr>
          <w:p w:rsidR="00F35E35" w:rsidRPr="00F35E35" w:rsidRDefault="00F35E35" w:rsidP="00F35E35">
            <w:pPr>
              <w:kinsoku w:val="0"/>
              <w:autoSpaceDE w:val="0"/>
              <w:autoSpaceDN w:val="0"/>
              <w:snapToGrid w:val="0"/>
              <w:spacing w:before="70" w:line="240" w:lineRule="auto"/>
              <w:ind w:firstLine="12"/>
              <w:jc w:val="center"/>
              <w:textAlignment w:val="baseline"/>
              <w:rPr>
                <w:rFonts w:ascii="宋体" w:hAnsi="宋体" w:cs="宋体"/>
                <w:snapToGrid w:val="0"/>
                <w:color w:val="000000"/>
                <w:kern w:val="0"/>
                <w:sz w:val="18"/>
                <w:szCs w:val="18"/>
              </w:rPr>
            </w:pPr>
            <w:r w:rsidRPr="00F35E35">
              <w:rPr>
                <w:rFonts w:ascii="宋体" w:hAnsi="宋体" w:cs="Arial" w:hint="eastAsia"/>
                <w:snapToGrid w:val="0"/>
                <w:color w:val="000000"/>
                <w:kern w:val="0"/>
                <w:sz w:val="18"/>
                <w:szCs w:val="18"/>
              </w:rPr>
              <w:t>8.2.1至8.2.6, 8.3.1至8.3.4, 8.4.1至8.4.6,</w:t>
            </w:r>
          </w:p>
        </w:tc>
      </w:tr>
      <w:tr w:rsidR="00576D2B" w:rsidRPr="00F35E35" w:rsidTr="00F35E35">
        <w:trPr>
          <w:trHeight w:val="957"/>
          <w:jc w:val="center"/>
        </w:trPr>
        <w:tc>
          <w:tcPr>
            <w:tcW w:w="1836" w:type="dxa"/>
            <w:shd w:val="clear" w:color="auto" w:fill="auto"/>
            <w:vAlign w:val="center"/>
          </w:tcPr>
          <w:p w:rsidR="00576D2B" w:rsidRPr="00F35E35" w:rsidRDefault="00576D2B" w:rsidP="00F35E35">
            <w:pPr>
              <w:kinsoku w:val="0"/>
              <w:autoSpaceDE w:val="0"/>
              <w:autoSpaceDN w:val="0"/>
              <w:snapToGrid w:val="0"/>
              <w:spacing w:before="90" w:line="240" w:lineRule="auto"/>
              <w:ind w:left="60" w:right="17" w:hanging="9"/>
              <w:textAlignment w:val="baseline"/>
              <w:rPr>
                <w:rFonts w:ascii="宋体" w:hAnsi="宋体" w:cs="宋体"/>
                <w:snapToGrid w:val="0"/>
                <w:color w:val="000000"/>
                <w:kern w:val="0"/>
                <w:sz w:val="18"/>
                <w:szCs w:val="18"/>
              </w:rPr>
            </w:pPr>
            <w:r w:rsidRPr="00F35E35">
              <w:rPr>
                <w:rFonts w:ascii="宋体" w:hAnsi="宋体" w:cs="宋体"/>
                <w:snapToGrid w:val="0"/>
                <w:color w:val="231F20"/>
                <w:spacing w:val="-6"/>
                <w:kern w:val="0"/>
                <w:sz w:val="18"/>
                <w:szCs w:val="18"/>
              </w:rPr>
              <w:t>特殊输送系统（</w:t>
            </w:r>
            <w:r w:rsidRPr="00F35E35">
              <w:rPr>
                <w:rFonts w:ascii="宋体" w:hAnsi="宋体" w:cs="宋体" w:hint="eastAsia"/>
                <w:snapToGrid w:val="0"/>
                <w:color w:val="231F20"/>
                <w:spacing w:val="-6"/>
                <w:kern w:val="0"/>
                <w:sz w:val="18"/>
                <w:szCs w:val="18"/>
              </w:rPr>
              <w:t>实验线</w:t>
            </w:r>
            <w:r w:rsidRPr="00F35E35">
              <w:rPr>
                <w:rFonts w:ascii="宋体" w:hAnsi="宋体" w:cs="宋体"/>
                <w:snapToGrid w:val="0"/>
                <w:color w:val="231F20"/>
                <w:spacing w:val="-6"/>
                <w:kern w:val="0"/>
                <w:sz w:val="18"/>
                <w:szCs w:val="18"/>
              </w:rPr>
              <w:t>）或</w:t>
            </w:r>
            <w:r w:rsidRPr="00F35E35">
              <w:rPr>
                <w:rFonts w:ascii="宋体" w:hAnsi="宋体" w:cs="宋体"/>
                <w:snapToGrid w:val="0"/>
                <w:color w:val="231F20"/>
                <w:spacing w:val="-2"/>
                <w:kern w:val="0"/>
                <w:sz w:val="18"/>
                <w:szCs w:val="18"/>
              </w:rPr>
              <w:t>固定位置-均匀剂量</w:t>
            </w:r>
            <w:r w:rsidRPr="00F35E35">
              <w:rPr>
                <w:rFonts w:ascii="宋体" w:hAnsi="宋体" w:cs="宋体" w:hint="eastAsia"/>
                <w:snapToGrid w:val="0"/>
                <w:color w:val="231F20"/>
                <w:spacing w:val="-2"/>
                <w:kern w:val="0"/>
                <w:sz w:val="18"/>
                <w:szCs w:val="18"/>
              </w:rPr>
              <w:t>分布</w:t>
            </w:r>
          </w:p>
        </w:tc>
        <w:tc>
          <w:tcPr>
            <w:tcW w:w="1701" w:type="dxa"/>
            <w:shd w:val="clear" w:color="auto" w:fill="auto"/>
            <w:vAlign w:val="center"/>
          </w:tcPr>
          <w:p w:rsidR="00576D2B" w:rsidRPr="00F35E35" w:rsidRDefault="00576D2B" w:rsidP="00F35E35">
            <w:pPr>
              <w:kinsoku w:val="0"/>
              <w:autoSpaceDE w:val="0"/>
              <w:autoSpaceDN w:val="0"/>
              <w:snapToGrid w:val="0"/>
              <w:spacing w:before="89" w:line="240" w:lineRule="auto"/>
              <w:ind w:firstLine="46"/>
              <w:textAlignment w:val="baseline"/>
              <w:rPr>
                <w:rFonts w:ascii="宋体" w:hAnsi="宋体" w:cs="宋体"/>
                <w:snapToGrid w:val="0"/>
                <w:color w:val="000000"/>
                <w:kern w:val="0"/>
                <w:sz w:val="18"/>
                <w:szCs w:val="18"/>
              </w:rPr>
            </w:pPr>
            <w:r w:rsidRPr="00F35E35">
              <w:rPr>
                <w:rFonts w:ascii="宋体" w:hAnsi="宋体" w:cs="宋体"/>
                <w:snapToGrid w:val="0"/>
                <w:color w:val="231F20"/>
                <w:spacing w:val="-1"/>
                <w:kern w:val="0"/>
                <w:sz w:val="18"/>
                <w:szCs w:val="18"/>
              </w:rPr>
              <w:t>均匀材料</w:t>
            </w:r>
            <w:r w:rsidR="00EB648F" w:rsidRPr="00F35E35">
              <w:rPr>
                <w:rFonts w:ascii="宋体" w:hAnsi="宋体" w:cs="宋体"/>
                <w:snapToGrid w:val="0"/>
                <w:color w:val="231F20"/>
                <w:spacing w:val="-1"/>
                <w:kern w:val="0"/>
                <w:sz w:val="18"/>
                <w:szCs w:val="18"/>
                <w:vertAlign w:val="superscript"/>
              </w:rPr>
              <w:t>a</w:t>
            </w:r>
            <w:r w:rsidRPr="00F35E35">
              <w:rPr>
                <w:rFonts w:ascii="宋体" w:hAnsi="宋体" w:cs="宋体"/>
                <w:snapToGrid w:val="0"/>
                <w:color w:val="231F20"/>
                <w:spacing w:val="-1"/>
                <w:kern w:val="0"/>
                <w:sz w:val="18"/>
                <w:szCs w:val="18"/>
              </w:rPr>
              <w:t>的剂量</w:t>
            </w:r>
            <w:r w:rsidRPr="00F35E35">
              <w:rPr>
                <w:rFonts w:ascii="宋体" w:hAnsi="宋体" w:cs="宋体" w:hint="eastAsia"/>
                <w:snapToGrid w:val="0"/>
                <w:color w:val="231F20"/>
                <w:spacing w:val="-1"/>
                <w:kern w:val="0"/>
                <w:sz w:val="18"/>
                <w:szCs w:val="18"/>
              </w:rPr>
              <w:t>分布</w:t>
            </w:r>
          </w:p>
        </w:tc>
        <w:tc>
          <w:tcPr>
            <w:tcW w:w="1276" w:type="dxa"/>
            <w:shd w:val="clear" w:color="auto" w:fill="auto"/>
            <w:vAlign w:val="center"/>
          </w:tcPr>
          <w:p w:rsidR="00576D2B" w:rsidRPr="00F35E35" w:rsidRDefault="00576D2B" w:rsidP="00F35E35">
            <w:pPr>
              <w:kinsoku w:val="0"/>
              <w:autoSpaceDE w:val="0"/>
              <w:autoSpaceDN w:val="0"/>
              <w:snapToGrid w:val="0"/>
              <w:spacing w:before="45" w:line="240" w:lineRule="auto"/>
              <w:ind w:firstLine="645"/>
              <w:textAlignment w:val="baseline"/>
              <w:rPr>
                <w:rFonts w:ascii="宋体" w:hAnsi="宋体" w:cs="宋体"/>
                <w:snapToGrid w:val="0"/>
                <w:color w:val="000000"/>
                <w:kern w:val="0"/>
                <w:sz w:val="18"/>
                <w:szCs w:val="18"/>
              </w:rPr>
            </w:pPr>
            <w:r w:rsidRPr="00F35E35">
              <w:rPr>
                <w:rFonts w:ascii="宋体" w:hAnsi="宋体" w:cs="宋体"/>
                <w:snapToGrid w:val="0"/>
                <w:color w:val="231F20"/>
                <w:spacing w:val="-1"/>
                <w:kern w:val="0"/>
                <w:sz w:val="18"/>
                <w:szCs w:val="18"/>
              </w:rPr>
              <w:t>N/A</w:t>
            </w:r>
          </w:p>
        </w:tc>
        <w:tc>
          <w:tcPr>
            <w:tcW w:w="1134" w:type="dxa"/>
            <w:shd w:val="clear" w:color="auto" w:fill="auto"/>
            <w:vAlign w:val="center"/>
          </w:tcPr>
          <w:p w:rsidR="00576D2B" w:rsidRPr="00F35E35" w:rsidRDefault="00576D2B" w:rsidP="00F35E35">
            <w:pPr>
              <w:kinsoku w:val="0"/>
              <w:autoSpaceDE w:val="0"/>
              <w:autoSpaceDN w:val="0"/>
              <w:snapToGrid w:val="0"/>
              <w:spacing w:line="240" w:lineRule="auto"/>
              <w:ind w:firstLine="519"/>
              <w:textAlignment w:val="center"/>
              <w:rPr>
                <w:rFonts w:ascii="宋体" w:hAnsi="宋体" w:cs="Arial"/>
                <w:snapToGrid w:val="0"/>
                <w:color w:val="000000"/>
                <w:kern w:val="0"/>
                <w:sz w:val="18"/>
                <w:szCs w:val="18"/>
              </w:rPr>
            </w:pPr>
            <w:r w:rsidRPr="00F35E35">
              <w:rPr>
                <w:rFonts w:ascii="宋体" w:hAnsi="宋体" w:cs="Arial"/>
                <w:noProof/>
                <w:snapToGrid w:val="0"/>
                <w:color w:val="000000"/>
                <w:kern w:val="0"/>
                <w:sz w:val="18"/>
                <w:szCs w:val="18"/>
              </w:rPr>
              <w:drawing>
                <wp:inline distT="0" distB="0" distL="0" distR="0">
                  <wp:extent cx="66040" cy="101600"/>
                  <wp:effectExtent l="0" t="0" r="0" b="0"/>
                  <wp:docPr id="13" name="图片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 50"/>
                          <pic:cNvPicPr>
                            <a:picLocks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040" cy="101600"/>
                          </a:xfrm>
                          <a:prstGeom prst="rect">
                            <a:avLst/>
                          </a:prstGeom>
                          <a:noFill/>
                          <a:ln>
                            <a:noFill/>
                          </a:ln>
                        </pic:spPr>
                      </pic:pic>
                    </a:graphicData>
                  </a:graphic>
                </wp:inline>
              </w:drawing>
            </w:r>
          </w:p>
        </w:tc>
        <w:tc>
          <w:tcPr>
            <w:tcW w:w="1965" w:type="dxa"/>
            <w:shd w:val="clear" w:color="auto" w:fill="auto"/>
            <w:vAlign w:val="center"/>
          </w:tcPr>
          <w:p w:rsidR="00576D2B" w:rsidRPr="00F35E35" w:rsidRDefault="00576D2B" w:rsidP="00F35E35">
            <w:pPr>
              <w:kinsoku w:val="0"/>
              <w:autoSpaceDE w:val="0"/>
              <w:autoSpaceDN w:val="0"/>
              <w:snapToGrid w:val="0"/>
              <w:spacing w:before="46" w:line="240" w:lineRule="auto"/>
              <w:ind w:firstLine="185"/>
              <w:textAlignment w:val="baseline"/>
              <w:rPr>
                <w:rFonts w:ascii="宋体" w:hAnsi="宋体" w:cs="宋体"/>
                <w:snapToGrid w:val="0"/>
                <w:color w:val="000000"/>
                <w:kern w:val="0"/>
                <w:sz w:val="18"/>
                <w:szCs w:val="18"/>
              </w:rPr>
            </w:pPr>
            <w:r w:rsidRPr="00F35E35">
              <w:rPr>
                <w:rFonts w:ascii="宋体" w:hAnsi="宋体" w:cs="宋体"/>
                <w:snapToGrid w:val="0"/>
                <w:color w:val="231F20"/>
                <w:spacing w:val="4"/>
                <w:w w:val="101"/>
                <w:kern w:val="0"/>
                <w:sz w:val="18"/>
                <w:szCs w:val="18"/>
              </w:rPr>
              <w:t>9.2.2和9.2.6</w:t>
            </w:r>
          </w:p>
        </w:tc>
        <w:tc>
          <w:tcPr>
            <w:tcW w:w="1988" w:type="dxa"/>
            <w:shd w:val="clear" w:color="auto" w:fill="auto"/>
            <w:vAlign w:val="center"/>
          </w:tcPr>
          <w:p w:rsidR="00576D2B" w:rsidRPr="00F35E35" w:rsidRDefault="00F35E35" w:rsidP="00F35E35">
            <w:pPr>
              <w:kinsoku w:val="0"/>
              <w:autoSpaceDE w:val="0"/>
              <w:autoSpaceDN w:val="0"/>
              <w:snapToGrid w:val="0"/>
              <w:spacing w:before="92" w:line="240" w:lineRule="auto"/>
              <w:ind w:firstLine="2"/>
              <w:jc w:val="center"/>
              <w:textAlignment w:val="baseline"/>
              <w:rPr>
                <w:rFonts w:ascii="宋体" w:hAnsi="宋体" w:cs="宋体"/>
                <w:snapToGrid w:val="0"/>
                <w:color w:val="000000"/>
                <w:kern w:val="0"/>
                <w:sz w:val="18"/>
                <w:szCs w:val="18"/>
              </w:rPr>
            </w:pPr>
            <w:r w:rsidRPr="00F35E35">
              <w:rPr>
                <w:rFonts w:ascii="宋体" w:hAnsi="宋体" w:cs="Arial"/>
                <w:snapToGrid w:val="0"/>
                <w:color w:val="000000"/>
                <w:kern w:val="0"/>
                <w:sz w:val="18"/>
                <w:szCs w:val="18"/>
              </w:rPr>
              <w:t>8.2.9, 8.4.9</w:t>
            </w:r>
          </w:p>
        </w:tc>
      </w:tr>
      <w:tr w:rsidR="00576D2B" w:rsidRPr="00F35E35" w:rsidTr="00F35E35">
        <w:trPr>
          <w:trHeight w:val="756"/>
          <w:jc w:val="center"/>
        </w:trPr>
        <w:tc>
          <w:tcPr>
            <w:tcW w:w="1836" w:type="dxa"/>
            <w:shd w:val="clear" w:color="auto" w:fill="auto"/>
            <w:vAlign w:val="center"/>
          </w:tcPr>
          <w:p w:rsidR="00576D2B" w:rsidRPr="00F35E35" w:rsidRDefault="00576D2B" w:rsidP="00F35E35">
            <w:pPr>
              <w:kinsoku w:val="0"/>
              <w:autoSpaceDE w:val="0"/>
              <w:autoSpaceDN w:val="0"/>
              <w:snapToGrid w:val="0"/>
              <w:spacing w:before="87" w:line="240" w:lineRule="auto"/>
              <w:ind w:firstLine="49"/>
              <w:textAlignment w:val="baseline"/>
              <w:rPr>
                <w:rFonts w:ascii="宋体" w:hAnsi="宋体" w:cs="宋体"/>
                <w:snapToGrid w:val="0"/>
                <w:color w:val="000000"/>
                <w:kern w:val="0"/>
                <w:sz w:val="18"/>
                <w:szCs w:val="18"/>
              </w:rPr>
            </w:pPr>
            <w:r w:rsidRPr="00F35E35">
              <w:rPr>
                <w:rFonts w:ascii="宋体" w:hAnsi="宋体" w:cs="宋体"/>
                <w:snapToGrid w:val="0"/>
                <w:color w:val="231F20"/>
                <w:spacing w:val="-2"/>
                <w:kern w:val="0"/>
                <w:sz w:val="18"/>
                <w:szCs w:val="18"/>
              </w:rPr>
              <w:t>过渡研究</w:t>
            </w:r>
          </w:p>
        </w:tc>
        <w:tc>
          <w:tcPr>
            <w:tcW w:w="1701" w:type="dxa"/>
            <w:shd w:val="clear" w:color="auto" w:fill="auto"/>
            <w:vAlign w:val="center"/>
          </w:tcPr>
          <w:p w:rsidR="00576D2B" w:rsidRPr="00F35E35" w:rsidRDefault="00576D2B" w:rsidP="00F35E35">
            <w:pPr>
              <w:kinsoku w:val="0"/>
              <w:autoSpaceDE w:val="0"/>
              <w:autoSpaceDN w:val="0"/>
              <w:snapToGrid w:val="0"/>
              <w:spacing w:before="95" w:line="240" w:lineRule="auto"/>
              <w:ind w:left="39" w:right="351" w:firstLine="6"/>
              <w:textAlignment w:val="baseline"/>
              <w:rPr>
                <w:rFonts w:ascii="宋体" w:hAnsi="宋体" w:cs="宋体"/>
                <w:snapToGrid w:val="0"/>
                <w:color w:val="000000"/>
                <w:kern w:val="0"/>
                <w:sz w:val="18"/>
                <w:szCs w:val="18"/>
              </w:rPr>
            </w:pPr>
            <w:r w:rsidRPr="00F35E35">
              <w:rPr>
                <w:rFonts w:ascii="宋体" w:hAnsi="宋体" w:cs="宋体"/>
                <w:snapToGrid w:val="0"/>
                <w:color w:val="231F20"/>
                <w:spacing w:val="-1"/>
                <w:kern w:val="0"/>
                <w:sz w:val="18"/>
                <w:szCs w:val="18"/>
              </w:rPr>
              <w:t>在不同密度之间过渡时对剂量传递的影响</w:t>
            </w:r>
          </w:p>
        </w:tc>
        <w:tc>
          <w:tcPr>
            <w:tcW w:w="1276" w:type="dxa"/>
            <w:shd w:val="clear" w:color="auto" w:fill="auto"/>
            <w:vAlign w:val="center"/>
          </w:tcPr>
          <w:p w:rsidR="00576D2B" w:rsidRPr="00F35E35" w:rsidRDefault="00576D2B" w:rsidP="00F35E35">
            <w:pPr>
              <w:kinsoku w:val="0"/>
              <w:autoSpaceDE w:val="0"/>
              <w:autoSpaceDN w:val="0"/>
              <w:snapToGrid w:val="0"/>
              <w:spacing w:line="240" w:lineRule="auto"/>
              <w:ind w:firstLine="716"/>
              <w:textAlignment w:val="center"/>
              <w:rPr>
                <w:rFonts w:ascii="宋体" w:hAnsi="宋体" w:cs="Arial"/>
                <w:snapToGrid w:val="0"/>
                <w:color w:val="000000"/>
                <w:kern w:val="0"/>
                <w:sz w:val="18"/>
                <w:szCs w:val="18"/>
              </w:rPr>
            </w:pPr>
            <w:r w:rsidRPr="00F35E35">
              <w:rPr>
                <w:rFonts w:ascii="宋体" w:hAnsi="宋体" w:cs="Arial"/>
                <w:noProof/>
                <w:snapToGrid w:val="0"/>
                <w:color w:val="000000"/>
                <w:kern w:val="0"/>
                <w:sz w:val="18"/>
                <w:szCs w:val="18"/>
              </w:rPr>
              <w:drawing>
                <wp:inline distT="0" distB="0" distL="0" distR="0">
                  <wp:extent cx="66040" cy="101600"/>
                  <wp:effectExtent l="0" t="0" r="0" b="0"/>
                  <wp:docPr id="12" name="图片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 51"/>
                          <pic:cNvPicPr>
                            <a:picLocks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040" cy="101600"/>
                          </a:xfrm>
                          <a:prstGeom prst="rect">
                            <a:avLst/>
                          </a:prstGeom>
                          <a:noFill/>
                          <a:ln>
                            <a:noFill/>
                          </a:ln>
                        </pic:spPr>
                      </pic:pic>
                    </a:graphicData>
                  </a:graphic>
                </wp:inline>
              </w:drawing>
            </w:r>
          </w:p>
        </w:tc>
        <w:tc>
          <w:tcPr>
            <w:tcW w:w="1134" w:type="dxa"/>
            <w:shd w:val="clear" w:color="auto" w:fill="auto"/>
            <w:vAlign w:val="center"/>
          </w:tcPr>
          <w:p w:rsidR="00576D2B" w:rsidRPr="00F35E35" w:rsidRDefault="00576D2B" w:rsidP="00F35E35">
            <w:pPr>
              <w:kinsoku w:val="0"/>
              <w:autoSpaceDE w:val="0"/>
              <w:autoSpaceDN w:val="0"/>
              <w:snapToGrid w:val="0"/>
              <w:spacing w:before="46" w:line="240" w:lineRule="auto"/>
              <w:ind w:firstLine="448"/>
              <w:textAlignment w:val="baseline"/>
              <w:rPr>
                <w:rFonts w:ascii="宋体" w:hAnsi="宋体" w:cs="宋体"/>
                <w:snapToGrid w:val="0"/>
                <w:color w:val="000000"/>
                <w:kern w:val="0"/>
                <w:sz w:val="18"/>
                <w:szCs w:val="18"/>
              </w:rPr>
            </w:pPr>
            <w:r w:rsidRPr="00F35E35">
              <w:rPr>
                <w:rFonts w:ascii="宋体" w:hAnsi="宋体" w:cs="宋体"/>
                <w:snapToGrid w:val="0"/>
                <w:color w:val="231F20"/>
                <w:spacing w:val="-1"/>
                <w:kern w:val="0"/>
                <w:sz w:val="18"/>
                <w:szCs w:val="18"/>
              </w:rPr>
              <w:t>N/A</w:t>
            </w:r>
          </w:p>
        </w:tc>
        <w:tc>
          <w:tcPr>
            <w:tcW w:w="1965" w:type="dxa"/>
            <w:shd w:val="clear" w:color="auto" w:fill="auto"/>
            <w:vAlign w:val="center"/>
          </w:tcPr>
          <w:p w:rsidR="00576D2B" w:rsidRPr="00F35E35" w:rsidRDefault="00576D2B" w:rsidP="00F35E35">
            <w:pPr>
              <w:kinsoku w:val="0"/>
              <w:autoSpaceDE w:val="0"/>
              <w:autoSpaceDN w:val="0"/>
              <w:snapToGrid w:val="0"/>
              <w:spacing w:before="45" w:line="240" w:lineRule="auto"/>
              <w:ind w:firstLine="496"/>
              <w:textAlignment w:val="baseline"/>
              <w:rPr>
                <w:rFonts w:ascii="宋体" w:hAnsi="宋体" w:cs="宋体"/>
                <w:snapToGrid w:val="0"/>
                <w:color w:val="000000"/>
                <w:kern w:val="0"/>
                <w:sz w:val="18"/>
                <w:szCs w:val="18"/>
              </w:rPr>
            </w:pPr>
            <w:r w:rsidRPr="00F35E35">
              <w:rPr>
                <w:rFonts w:ascii="宋体" w:hAnsi="宋体" w:cs="宋体"/>
                <w:snapToGrid w:val="0"/>
                <w:color w:val="231F20"/>
                <w:spacing w:val="3"/>
                <w:kern w:val="0"/>
                <w:sz w:val="18"/>
                <w:szCs w:val="18"/>
              </w:rPr>
              <w:t>9.2.3</w:t>
            </w:r>
          </w:p>
        </w:tc>
        <w:tc>
          <w:tcPr>
            <w:tcW w:w="1988" w:type="dxa"/>
            <w:shd w:val="clear" w:color="auto" w:fill="auto"/>
            <w:vAlign w:val="center"/>
          </w:tcPr>
          <w:p w:rsidR="00F35E35" w:rsidRPr="00F35E35" w:rsidRDefault="00F35E35" w:rsidP="00F35E35">
            <w:pPr>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sidRPr="00F35E35">
              <w:rPr>
                <w:rFonts w:ascii="宋体" w:hAnsi="宋体" w:cs="Arial"/>
                <w:snapToGrid w:val="0"/>
                <w:color w:val="000000"/>
                <w:kern w:val="0"/>
                <w:sz w:val="18"/>
                <w:szCs w:val="18"/>
              </w:rPr>
              <w:t>8.2.11</w:t>
            </w:r>
          </w:p>
          <w:p w:rsidR="00F35E35" w:rsidRPr="00F35E35" w:rsidRDefault="00F35E35" w:rsidP="00F35E35">
            <w:pPr>
              <w:kinsoku w:val="0"/>
              <w:autoSpaceDE w:val="0"/>
              <w:autoSpaceDN w:val="0"/>
              <w:snapToGrid w:val="0"/>
              <w:spacing w:line="240" w:lineRule="auto"/>
              <w:jc w:val="center"/>
              <w:textAlignment w:val="baseline"/>
              <w:rPr>
                <w:rFonts w:ascii="宋体" w:hAnsi="宋体" w:cs="Arial"/>
                <w:snapToGrid w:val="0"/>
                <w:color w:val="000000"/>
                <w:kern w:val="0"/>
                <w:sz w:val="18"/>
                <w:szCs w:val="18"/>
              </w:rPr>
            </w:pPr>
            <w:r w:rsidRPr="00F35E35">
              <w:rPr>
                <w:rFonts w:ascii="宋体" w:hAnsi="宋体" w:cs="Arial"/>
                <w:snapToGrid w:val="0"/>
                <w:color w:val="000000"/>
                <w:kern w:val="0"/>
                <w:sz w:val="18"/>
                <w:szCs w:val="18"/>
              </w:rPr>
              <w:t>8.3.3</w:t>
            </w:r>
          </w:p>
          <w:p w:rsidR="00576D2B" w:rsidRPr="00F35E35" w:rsidRDefault="00F35E35" w:rsidP="00F35E35">
            <w:pPr>
              <w:kinsoku w:val="0"/>
              <w:autoSpaceDE w:val="0"/>
              <w:autoSpaceDN w:val="0"/>
              <w:snapToGrid w:val="0"/>
              <w:spacing w:before="30" w:line="240" w:lineRule="auto"/>
              <w:ind w:firstLine="2"/>
              <w:jc w:val="center"/>
              <w:textAlignment w:val="baseline"/>
              <w:rPr>
                <w:rFonts w:ascii="宋体" w:hAnsi="宋体" w:cs="Cambria"/>
                <w:snapToGrid w:val="0"/>
                <w:color w:val="000000"/>
                <w:kern w:val="0"/>
                <w:sz w:val="18"/>
                <w:szCs w:val="18"/>
              </w:rPr>
            </w:pPr>
            <w:r w:rsidRPr="00F35E35">
              <w:rPr>
                <w:rFonts w:ascii="宋体" w:hAnsi="宋体" w:cs="Arial"/>
                <w:snapToGrid w:val="0"/>
                <w:color w:val="000000"/>
                <w:kern w:val="0"/>
                <w:sz w:val="18"/>
                <w:szCs w:val="18"/>
              </w:rPr>
              <w:t>8.4.11</w:t>
            </w:r>
          </w:p>
        </w:tc>
      </w:tr>
      <w:tr w:rsidR="00576D2B" w:rsidRPr="00F35E35" w:rsidTr="00F35E35">
        <w:trPr>
          <w:trHeight w:val="626"/>
          <w:jc w:val="center"/>
        </w:trPr>
        <w:tc>
          <w:tcPr>
            <w:tcW w:w="1836" w:type="dxa"/>
            <w:shd w:val="clear" w:color="auto" w:fill="auto"/>
            <w:vAlign w:val="center"/>
          </w:tcPr>
          <w:p w:rsidR="00576D2B" w:rsidRPr="00F35E35" w:rsidRDefault="00576D2B" w:rsidP="00F35E35">
            <w:pPr>
              <w:kinsoku w:val="0"/>
              <w:autoSpaceDE w:val="0"/>
              <w:autoSpaceDN w:val="0"/>
              <w:snapToGrid w:val="0"/>
              <w:spacing w:before="71" w:line="240" w:lineRule="auto"/>
              <w:ind w:firstLine="46"/>
              <w:textAlignment w:val="baseline"/>
              <w:rPr>
                <w:rFonts w:ascii="宋体" w:hAnsi="宋体" w:cs="宋体"/>
                <w:snapToGrid w:val="0"/>
                <w:color w:val="000000"/>
                <w:kern w:val="0"/>
                <w:sz w:val="18"/>
                <w:szCs w:val="18"/>
              </w:rPr>
            </w:pPr>
            <w:r w:rsidRPr="00F35E35">
              <w:rPr>
                <w:rFonts w:ascii="宋体" w:hAnsi="宋体" w:cs="宋体"/>
                <w:snapToGrid w:val="0"/>
                <w:color w:val="231F20"/>
                <w:spacing w:val="2"/>
                <w:kern w:val="0"/>
                <w:sz w:val="18"/>
                <w:szCs w:val="18"/>
              </w:rPr>
              <w:t>变异性</w:t>
            </w:r>
          </w:p>
        </w:tc>
        <w:tc>
          <w:tcPr>
            <w:tcW w:w="1701" w:type="dxa"/>
            <w:shd w:val="clear" w:color="auto" w:fill="auto"/>
            <w:vAlign w:val="center"/>
          </w:tcPr>
          <w:p w:rsidR="00576D2B" w:rsidRPr="00F35E35" w:rsidRDefault="00576D2B" w:rsidP="00F35E35">
            <w:pPr>
              <w:kinsoku w:val="0"/>
              <w:autoSpaceDE w:val="0"/>
              <w:autoSpaceDN w:val="0"/>
              <w:snapToGrid w:val="0"/>
              <w:spacing w:before="98" w:line="240" w:lineRule="auto"/>
              <w:ind w:left="43" w:right="358" w:hanging="5"/>
              <w:textAlignment w:val="baseline"/>
              <w:rPr>
                <w:rFonts w:ascii="宋体" w:hAnsi="宋体" w:cs="宋体"/>
                <w:snapToGrid w:val="0"/>
                <w:color w:val="000000"/>
                <w:kern w:val="0"/>
                <w:sz w:val="18"/>
                <w:szCs w:val="18"/>
              </w:rPr>
            </w:pPr>
            <w:r w:rsidRPr="00F35E35">
              <w:rPr>
                <w:rFonts w:ascii="宋体" w:hAnsi="宋体" w:cs="宋体"/>
                <w:snapToGrid w:val="0"/>
                <w:color w:val="231F20"/>
                <w:spacing w:val="-1"/>
                <w:kern w:val="0"/>
                <w:sz w:val="18"/>
                <w:szCs w:val="18"/>
              </w:rPr>
              <w:t>评估辐照容器之间的剂量</w:t>
            </w:r>
            <w:r w:rsidR="00F35E35" w:rsidRPr="00F35E35">
              <w:rPr>
                <w:rFonts w:ascii="宋体" w:hAnsi="宋体" w:cs="宋体" w:hint="eastAsia"/>
                <w:snapToGrid w:val="0"/>
                <w:color w:val="231F20"/>
                <w:spacing w:val="-2"/>
                <w:kern w:val="0"/>
                <w:sz w:val="18"/>
                <w:szCs w:val="18"/>
              </w:rPr>
              <w:t>变异性</w:t>
            </w:r>
          </w:p>
        </w:tc>
        <w:tc>
          <w:tcPr>
            <w:tcW w:w="1276" w:type="dxa"/>
            <w:shd w:val="clear" w:color="auto" w:fill="auto"/>
            <w:vAlign w:val="center"/>
          </w:tcPr>
          <w:p w:rsidR="00576D2B" w:rsidRPr="00F35E35" w:rsidRDefault="00576D2B" w:rsidP="00F35E35">
            <w:pPr>
              <w:kinsoku w:val="0"/>
              <w:autoSpaceDE w:val="0"/>
              <w:autoSpaceDN w:val="0"/>
              <w:snapToGrid w:val="0"/>
              <w:spacing w:line="240" w:lineRule="auto"/>
              <w:ind w:firstLine="716"/>
              <w:textAlignment w:val="center"/>
              <w:rPr>
                <w:rFonts w:ascii="宋体" w:hAnsi="宋体" w:cs="Arial"/>
                <w:snapToGrid w:val="0"/>
                <w:color w:val="000000"/>
                <w:kern w:val="0"/>
                <w:sz w:val="18"/>
                <w:szCs w:val="18"/>
              </w:rPr>
            </w:pPr>
            <w:r w:rsidRPr="00F35E35">
              <w:rPr>
                <w:rFonts w:ascii="宋体" w:hAnsi="宋体" w:cs="Arial"/>
                <w:noProof/>
                <w:snapToGrid w:val="0"/>
                <w:color w:val="000000"/>
                <w:kern w:val="0"/>
                <w:sz w:val="18"/>
                <w:szCs w:val="18"/>
              </w:rPr>
              <w:drawing>
                <wp:inline distT="0" distB="0" distL="0" distR="0">
                  <wp:extent cx="66040" cy="101600"/>
                  <wp:effectExtent l="0" t="0" r="0" b="0"/>
                  <wp:docPr id="11" name="图片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 52"/>
                          <pic:cNvPicPr>
                            <a:picLocks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040" cy="101600"/>
                          </a:xfrm>
                          <a:prstGeom prst="rect">
                            <a:avLst/>
                          </a:prstGeom>
                          <a:noFill/>
                          <a:ln>
                            <a:noFill/>
                          </a:ln>
                        </pic:spPr>
                      </pic:pic>
                    </a:graphicData>
                  </a:graphic>
                </wp:inline>
              </w:drawing>
            </w:r>
          </w:p>
        </w:tc>
        <w:tc>
          <w:tcPr>
            <w:tcW w:w="1134" w:type="dxa"/>
            <w:shd w:val="clear" w:color="auto" w:fill="auto"/>
            <w:vAlign w:val="center"/>
          </w:tcPr>
          <w:p w:rsidR="00576D2B" w:rsidRPr="00F35E35" w:rsidRDefault="00576D2B" w:rsidP="00F35E35">
            <w:pPr>
              <w:kinsoku w:val="0"/>
              <w:autoSpaceDE w:val="0"/>
              <w:autoSpaceDN w:val="0"/>
              <w:snapToGrid w:val="0"/>
              <w:spacing w:before="311" w:line="240" w:lineRule="auto"/>
              <w:ind w:firstLine="448"/>
              <w:textAlignment w:val="baseline"/>
              <w:rPr>
                <w:rFonts w:ascii="宋体" w:hAnsi="宋体" w:cs="宋体"/>
                <w:snapToGrid w:val="0"/>
                <w:color w:val="000000"/>
                <w:kern w:val="0"/>
                <w:sz w:val="18"/>
                <w:szCs w:val="18"/>
              </w:rPr>
            </w:pPr>
            <w:r w:rsidRPr="00F35E35">
              <w:rPr>
                <w:rFonts w:ascii="宋体" w:hAnsi="宋体" w:cs="宋体"/>
                <w:snapToGrid w:val="0"/>
                <w:color w:val="231F20"/>
                <w:spacing w:val="-1"/>
                <w:kern w:val="0"/>
                <w:sz w:val="18"/>
                <w:szCs w:val="18"/>
              </w:rPr>
              <w:t>N/A</w:t>
            </w:r>
          </w:p>
        </w:tc>
        <w:tc>
          <w:tcPr>
            <w:tcW w:w="1965" w:type="dxa"/>
            <w:shd w:val="clear" w:color="auto" w:fill="auto"/>
            <w:vAlign w:val="center"/>
          </w:tcPr>
          <w:p w:rsidR="00576D2B" w:rsidRPr="00F35E35" w:rsidRDefault="00576D2B" w:rsidP="00F35E35">
            <w:pPr>
              <w:kinsoku w:val="0"/>
              <w:autoSpaceDE w:val="0"/>
              <w:autoSpaceDN w:val="0"/>
              <w:snapToGrid w:val="0"/>
              <w:spacing w:before="45" w:line="240" w:lineRule="auto"/>
              <w:ind w:firstLine="304"/>
              <w:textAlignment w:val="baseline"/>
              <w:rPr>
                <w:rFonts w:ascii="宋体" w:hAnsi="宋体" w:cs="宋体"/>
                <w:snapToGrid w:val="0"/>
                <w:color w:val="000000"/>
                <w:kern w:val="0"/>
                <w:sz w:val="18"/>
                <w:szCs w:val="18"/>
              </w:rPr>
            </w:pPr>
            <w:r w:rsidRPr="00F35E35">
              <w:rPr>
                <w:rFonts w:ascii="宋体" w:hAnsi="宋体" w:cs="宋体"/>
                <w:snapToGrid w:val="0"/>
                <w:color w:val="231F20"/>
                <w:spacing w:val="-2"/>
                <w:kern w:val="0"/>
                <w:sz w:val="18"/>
                <w:szCs w:val="18"/>
              </w:rPr>
              <w:t>9.2.3</w:t>
            </w:r>
            <w:r w:rsidR="00ED09CC">
              <w:rPr>
                <w:rFonts w:ascii="宋体" w:hAnsi="宋体" w:cs="宋体" w:hint="eastAsia"/>
                <w:snapToGrid w:val="0"/>
                <w:color w:val="231F20"/>
                <w:spacing w:val="-2"/>
                <w:kern w:val="0"/>
                <w:sz w:val="18"/>
                <w:szCs w:val="18"/>
              </w:rPr>
              <w:t>，</w:t>
            </w:r>
            <w:r w:rsidRPr="00F35E35">
              <w:rPr>
                <w:rFonts w:ascii="宋体" w:hAnsi="宋体" w:cs="宋体"/>
                <w:snapToGrid w:val="0"/>
                <w:color w:val="231F20"/>
                <w:spacing w:val="-2"/>
                <w:kern w:val="0"/>
                <w:sz w:val="18"/>
                <w:szCs w:val="18"/>
              </w:rPr>
              <w:t>9.2.5</w:t>
            </w:r>
          </w:p>
        </w:tc>
        <w:tc>
          <w:tcPr>
            <w:tcW w:w="1988" w:type="dxa"/>
            <w:shd w:val="clear" w:color="auto" w:fill="auto"/>
            <w:vAlign w:val="center"/>
          </w:tcPr>
          <w:p w:rsidR="00576D2B" w:rsidRPr="00F35E35" w:rsidRDefault="00F35E35" w:rsidP="00F35E35">
            <w:pPr>
              <w:kinsoku w:val="0"/>
              <w:autoSpaceDE w:val="0"/>
              <w:autoSpaceDN w:val="0"/>
              <w:snapToGrid w:val="0"/>
              <w:spacing w:line="240" w:lineRule="auto"/>
              <w:ind w:firstLine="12"/>
              <w:jc w:val="center"/>
              <w:textAlignment w:val="baseline"/>
              <w:rPr>
                <w:rFonts w:ascii="宋体" w:hAnsi="宋体" w:cs="Arial"/>
                <w:snapToGrid w:val="0"/>
                <w:color w:val="000000"/>
                <w:kern w:val="0"/>
                <w:sz w:val="18"/>
                <w:szCs w:val="18"/>
              </w:rPr>
            </w:pPr>
            <w:r w:rsidRPr="00F35E35">
              <w:rPr>
                <w:rFonts w:ascii="宋体" w:hAnsi="宋体" w:cs="Arial"/>
                <w:snapToGrid w:val="0"/>
                <w:color w:val="000000"/>
                <w:kern w:val="0"/>
                <w:sz w:val="18"/>
                <w:szCs w:val="18"/>
              </w:rPr>
              <w:t>8.2.3, 8.3.3, 8.4.4</w:t>
            </w:r>
          </w:p>
        </w:tc>
      </w:tr>
      <w:tr w:rsidR="00576D2B" w:rsidRPr="00F35E35" w:rsidTr="00F35E35">
        <w:trPr>
          <w:trHeight w:val="707"/>
          <w:jc w:val="center"/>
        </w:trPr>
        <w:tc>
          <w:tcPr>
            <w:tcW w:w="1836" w:type="dxa"/>
            <w:shd w:val="clear" w:color="auto" w:fill="auto"/>
            <w:vAlign w:val="center"/>
          </w:tcPr>
          <w:p w:rsidR="00576D2B" w:rsidRPr="00F35E35" w:rsidRDefault="00576D2B" w:rsidP="00F35E35">
            <w:pPr>
              <w:kinsoku w:val="0"/>
              <w:autoSpaceDE w:val="0"/>
              <w:autoSpaceDN w:val="0"/>
              <w:snapToGrid w:val="0"/>
              <w:spacing w:before="72" w:line="240" w:lineRule="auto"/>
              <w:ind w:firstLine="54"/>
              <w:textAlignment w:val="baseline"/>
              <w:rPr>
                <w:rFonts w:ascii="宋体" w:hAnsi="宋体" w:cs="宋体"/>
                <w:snapToGrid w:val="0"/>
                <w:color w:val="000000"/>
                <w:kern w:val="0"/>
                <w:sz w:val="18"/>
                <w:szCs w:val="18"/>
              </w:rPr>
            </w:pPr>
            <w:r w:rsidRPr="00F35E35">
              <w:rPr>
                <w:rFonts w:ascii="宋体" w:hAnsi="宋体" w:cs="宋体"/>
                <w:snapToGrid w:val="0"/>
                <w:color w:val="231F20"/>
                <w:spacing w:val="-2"/>
                <w:kern w:val="0"/>
                <w:sz w:val="18"/>
                <w:szCs w:val="18"/>
              </w:rPr>
              <w:t>过程中断</w:t>
            </w:r>
          </w:p>
        </w:tc>
        <w:tc>
          <w:tcPr>
            <w:tcW w:w="1701" w:type="dxa"/>
            <w:shd w:val="clear" w:color="auto" w:fill="auto"/>
            <w:vAlign w:val="center"/>
          </w:tcPr>
          <w:p w:rsidR="00576D2B" w:rsidRPr="00F35E35" w:rsidRDefault="00576D2B" w:rsidP="00F35E35">
            <w:pPr>
              <w:kinsoku w:val="0"/>
              <w:autoSpaceDE w:val="0"/>
              <w:autoSpaceDN w:val="0"/>
              <w:snapToGrid w:val="0"/>
              <w:spacing w:before="97" w:line="240" w:lineRule="auto"/>
              <w:ind w:left="43" w:right="209" w:firstLine="18"/>
              <w:textAlignment w:val="baseline"/>
              <w:rPr>
                <w:rFonts w:ascii="宋体" w:hAnsi="宋体" w:cs="宋体"/>
                <w:snapToGrid w:val="0"/>
                <w:color w:val="000000"/>
                <w:kern w:val="0"/>
                <w:sz w:val="18"/>
                <w:szCs w:val="18"/>
              </w:rPr>
            </w:pPr>
            <w:r w:rsidRPr="00F35E35">
              <w:rPr>
                <w:rFonts w:ascii="宋体" w:hAnsi="宋体" w:cs="宋体"/>
                <w:snapToGrid w:val="0"/>
                <w:color w:val="231F20"/>
                <w:spacing w:val="-2"/>
                <w:kern w:val="0"/>
                <w:sz w:val="18"/>
                <w:szCs w:val="18"/>
              </w:rPr>
              <w:t>由于源</w:t>
            </w:r>
            <w:r w:rsidRPr="00F35E35">
              <w:rPr>
                <w:rFonts w:ascii="宋体" w:hAnsi="宋体" w:cs="宋体" w:hint="eastAsia"/>
                <w:snapToGrid w:val="0"/>
                <w:color w:val="231F20"/>
                <w:spacing w:val="-2"/>
                <w:kern w:val="0"/>
                <w:sz w:val="18"/>
                <w:szCs w:val="18"/>
              </w:rPr>
              <w:t>移动</w:t>
            </w:r>
            <w:r w:rsidRPr="00F35E35">
              <w:rPr>
                <w:rFonts w:ascii="宋体" w:hAnsi="宋体" w:cs="宋体"/>
                <w:snapToGrid w:val="0"/>
                <w:color w:val="231F20"/>
                <w:spacing w:val="-2"/>
                <w:kern w:val="0"/>
                <w:sz w:val="18"/>
                <w:szCs w:val="18"/>
              </w:rPr>
              <w:t>或</w:t>
            </w:r>
            <w:r w:rsidRPr="00F35E35">
              <w:rPr>
                <w:rFonts w:ascii="宋体" w:hAnsi="宋体" w:cs="宋体" w:hint="eastAsia"/>
                <w:snapToGrid w:val="0"/>
                <w:color w:val="231F20"/>
                <w:spacing w:val="-2"/>
                <w:kern w:val="0"/>
                <w:sz w:val="18"/>
                <w:szCs w:val="18"/>
              </w:rPr>
              <w:t>电子束</w:t>
            </w:r>
            <w:r w:rsidRPr="00F35E35">
              <w:rPr>
                <w:rFonts w:ascii="宋体" w:hAnsi="宋体" w:cs="宋体"/>
                <w:snapToGrid w:val="0"/>
                <w:color w:val="231F20"/>
                <w:spacing w:val="-2"/>
                <w:kern w:val="0"/>
                <w:sz w:val="18"/>
                <w:szCs w:val="18"/>
              </w:rPr>
              <w:t>停止和重</w:t>
            </w:r>
            <w:r w:rsidRPr="00F35E35">
              <w:rPr>
                <w:rFonts w:ascii="宋体" w:hAnsi="宋体" w:cs="宋体"/>
                <w:snapToGrid w:val="0"/>
                <w:color w:val="231F20"/>
                <w:spacing w:val="-1"/>
                <w:kern w:val="0"/>
                <w:sz w:val="18"/>
                <w:szCs w:val="18"/>
              </w:rPr>
              <w:t>启而对剂量传递的影响</w:t>
            </w:r>
          </w:p>
        </w:tc>
        <w:tc>
          <w:tcPr>
            <w:tcW w:w="1276" w:type="dxa"/>
            <w:shd w:val="clear" w:color="auto" w:fill="auto"/>
            <w:vAlign w:val="center"/>
          </w:tcPr>
          <w:p w:rsidR="00576D2B" w:rsidRPr="00F35E35" w:rsidRDefault="00576D2B" w:rsidP="00F35E35">
            <w:pPr>
              <w:kinsoku w:val="0"/>
              <w:autoSpaceDE w:val="0"/>
              <w:autoSpaceDN w:val="0"/>
              <w:snapToGrid w:val="0"/>
              <w:spacing w:line="240" w:lineRule="auto"/>
              <w:ind w:firstLine="716"/>
              <w:textAlignment w:val="center"/>
              <w:rPr>
                <w:rFonts w:ascii="宋体" w:hAnsi="宋体" w:cs="Arial"/>
                <w:snapToGrid w:val="0"/>
                <w:color w:val="000000"/>
                <w:kern w:val="0"/>
                <w:sz w:val="18"/>
                <w:szCs w:val="18"/>
              </w:rPr>
            </w:pPr>
            <w:r w:rsidRPr="00F35E35">
              <w:rPr>
                <w:rFonts w:ascii="宋体" w:hAnsi="宋体" w:cs="Arial"/>
                <w:noProof/>
                <w:snapToGrid w:val="0"/>
                <w:color w:val="000000"/>
                <w:kern w:val="0"/>
                <w:sz w:val="18"/>
                <w:szCs w:val="18"/>
              </w:rPr>
              <w:drawing>
                <wp:inline distT="0" distB="0" distL="0" distR="0">
                  <wp:extent cx="66040" cy="101600"/>
                  <wp:effectExtent l="0" t="0" r="0" b="0"/>
                  <wp:docPr id="10" name="图片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 55"/>
                          <pic:cNvPicPr>
                            <a:picLocks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040" cy="101600"/>
                          </a:xfrm>
                          <a:prstGeom prst="rect">
                            <a:avLst/>
                          </a:prstGeom>
                          <a:noFill/>
                          <a:ln>
                            <a:noFill/>
                          </a:ln>
                        </pic:spPr>
                      </pic:pic>
                    </a:graphicData>
                  </a:graphic>
                </wp:inline>
              </w:drawing>
            </w:r>
          </w:p>
        </w:tc>
        <w:tc>
          <w:tcPr>
            <w:tcW w:w="1134" w:type="dxa"/>
            <w:shd w:val="clear" w:color="auto" w:fill="auto"/>
            <w:vAlign w:val="center"/>
          </w:tcPr>
          <w:p w:rsidR="00576D2B" w:rsidRPr="00F35E35" w:rsidRDefault="00576D2B" w:rsidP="00F35E35">
            <w:pPr>
              <w:kinsoku w:val="0"/>
              <w:autoSpaceDE w:val="0"/>
              <w:autoSpaceDN w:val="0"/>
              <w:snapToGrid w:val="0"/>
              <w:spacing w:before="46" w:line="240" w:lineRule="auto"/>
              <w:ind w:firstLine="448"/>
              <w:textAlignment w:val="baseline"/>
              <w:rPr>
                <w:rFonts w:ascii="宋体" w:hAnsi="宋体" w:cs="宋体"/>
                <w:snapToGrid w:val="0"/>
                <w:color w:val="000000"/>
                <w:kern w:val="0"/>
                <w:sz w:val="18"/>
                <w:szCs w:val="18"/>
              </w:rPr>
            </w:pPr>
            <w:r w:rsidRPr="00F35E35">
              <w:rPr>
                <w:rFonts w:ascii="宋体" w:hAnsi="宋体" w:cs="宋体"/>
                <w:snapToGrid w:val="0"/>
                <w:color w:val="231F20"/>
                <w:spacing w:val="-1"/>
                <w:kern w:val="0"/>
                <w:sz w:val="18"/>
                <w:szCs w:val="18"/>
              </w:rPr>
              <w:t>N/A</w:t>
            </w:r>
          </w:p>
        </w:tc>
        <w:tc>
          <w:tcPr>
            <w:tcW w:w="1965" w:type="dxa"/>
            <w:shd w:val="clear" w:color="auto" w:fill="auto"/>
            <w:vAlign w:val="center"/>
          </w:tcPr>
          <w:p w:rsidR="00576D2B" w:rsidRPr="00F35E35" w:rsidRDefault="00576D2B" w:rsidP="00F35E35">
            <w:pPr>
              <w:kinsoku w:val="0"/>
              <w:autoSpaceDE w:val="0"/>
              <w:autoSpaceDN w:val="0"/>
              <w:snapToGrid w:val="0"/>
              <w:spacing w:line="240" w:lineRule="auto"/>
              <w:textAlignment w:val="baseline"/>
              <w:rPr>
                <w:rFonts w:ascii="宋体" w:hAnsi="宋体" w:cs="Arial"/>
                <w:snapToGrid w:val="0"/>
                <w:color w:val="000000"/>
                <w:kern w:val="0"/>
                <w:sz w:val="18"/>
                <w:szCs w:val="18"/>
              </w:rPr>
            </w:pPr>
          </w:p>
          <w:p w:rsidR="00576D2B" w:rsidRPr="00F35E35" w:rsidRDefault="00576D2B" w:rsidP="00F35E35">
            <w:pPr>
              <w:kinsoku w:val="0"/>
              <w:autoSpaceDE w:val="0"/>
              <w:autoSpaceDN w:val="0"/>
              <w:snapToGrid w:val="0"/>
              <w:spacing w:before="45" w:line="240" w:lineRule="auto"/>
              <w:ind w:firstLine="501"/>
              <w:textAlignment w:val="baseline"/>
              <w:rPr>
                <w:rFonts w:ascii="宋体" w:hAnsi="宋体" w:cs="宋体"/>
                <w:snapToGrid w:val="0"/>
                <w:color w:val="000000"/>
                <w:kern w:val="0"/>
                <w:sz w:val="18"/>
                <w:szCs w:val="18"/>
              </w:rPr>
            </w:pPr>
            <w:r w:rsidRPr="00F35E35">
              <w:rPr>
                <w:rFonts w:ascii="宋体" w:hAnsi="宋体" w:cs="宋体"/>
                <w:snapToGrid w:val="0"/>
                <w:color w:val="231F20"/>
                <w:spacing w:val="3"/>
                <w:kern w:val="0"/>
                <w:sz w:val="18"/>
                <w:szCs w:val="18"/>
              </w:rPr>
              <w:t>9.2.7</w:t>
            </w:r>
          </w:p>
        </w:tc>
        <w:tc>
          <w:tcPr>
            <w:tcW w:w="1988" w:type="dxa"/>
            <w:shd w:val="clear" w:color="auto" w:fill="auto"/>
            <w:vAlign w:val="center"/>
          </w:tcPr>
          <w:p w:rsidR="00576D2B" w:rsidRPr="00F35E35" w:rsidRDefault="00A0242A" w:rsidP="00F35E35">
            <w:pPr>
              <w:kinsoku w:val="0"/>
              <w:autoSpaceDE w:val="0"/>
              <w:autoSpaceDN w:val="0"/>
              <w:snapToGrid w:val="0"/>
              <w:spacing w:before="62" w:line="240" w:lineRule="auto"/>
              <w:jc w:val="center"/>
              <w:textAlignment w:val="baseline"/>
              <w:rPr>
                <w:rFonts w:ascii="宋体" w:hAnsi="宋体" w:cs="宋体"/>
                <w:snapToGrid w:val="0"/>
                <w:color w:val="000000"/>
                <w:kern w:val="0"/>
                <w:sz w:val="18"/>
                <w:szCs w:val="18"/>
              </w:rPr>
            </w:pPr>
            <w:hyperlink w:anchor="_bookmark94" w:history="1"/>
            <w:r w:rsidR="00F90D7F" w:rsidRPr="00F35E35">
              <w:rPr>
                <w:rFonts w:ascii="宋体" w:hAnsi="宋体" w:cs="Arial" w:hint="eastAsia"/>
                <w:snapToGrid w:val="0"/>
                <w:color w:val="000000"/>
                <w:kern w:val="0"/>
                <w:sz w:val="18"/>
                <w:szCs w:val="18"/>
              </w:rPr>
              <w:t>8.2.7, 8.2.8, 8.3.6至 8.3.8, 8.4.8</w:t>
            </w:r>
          </w:p>
        </w:tc>
      </w:tr>
      <w:tr w:rsidR="00576D2B" w:rsidRPr="00F35E35" w:rsidTr="00F35E35">
        <w:trPr>
          <w:trHeight w:val="738"/>
          <w:jc w:val="center"/>
        </w:trPr>
        <w:tc>
          <w:tcPr>
            <w:tcW w:w="1836" w:type="dxa"/>
            <w:shd w:val="clear" w:color="auto" w:fill="auto"/>
            <w:vAlign w:val="center"/>
          </w:tcPr>
          <w:p w:rsidR="00576D2B" w:rsidRPr="00F35E35" w:rsidRDefault="00576D2B" w:rsidP="00F35E35">
            <w:pPr>
              <w:kinsoku w:val="0"/>
              <w:autoSpaceDE w:val="0"/>
              <w:autoSpaceDN w:val="0"/>
              <w:snapToGrid w:val="0"/>
              <w:spacing w:before="97" w:line="240" w:lineRule="auto"/>
              <w:ind w:firstLine="55"/>
              <w:textAlignment w:val="baseline"/>
              <w:rPr>
                <w:rFonts w:ascii="宋体" w:hAnsi="宋体" w:cs="宋体"/>
                <w:snapToGrid w:val="0"/>
                <w:color w:val="000000"/>
                <w:kern w:val="0"/>
                <w:sz w:val="18"/>
                <w:szCs w:val="18"/>
              </w:rPr>
            </w:pPr>
            <w:r w:rsidRPr="00F35E35">
              <w:rPr>
                <w:rFonts w:ascii="宋体" w:hAnsi="宋体" w:cs="宋体"/>
                <w:snapToGrid w:val="0"/>
                <w:color w:val="231F20"/>
                <w:spacing w:val="-1"/>
                <w:kern w:val="0"/>
                <w:sz w:val="18"/>
                <w:szCs w:val="18"/>
              </w:rPr>
              <w:t>部分</w:t>
            </w:r>
            <w:r w:rsidRPr="00F35E35">
              <w:rPr>
                <w:rFonts w:ascii="宋体" w:hAnsi="宋体" w:cs="宋体" w:hint="eastAsia"/>
                <w:snapToGrid w:val="0"/>
                <w:color w:val="231F20"/>
                <w:spacing w:val="-1"/>
                <w:kern w:val="0"/>
                <w:sz w:val="18"/>
                <w:szCs w:val="18"/>
              </w:rPr>
              <w:t>装载</w:t>
            </w:r>
            <w:r w:rsidRPr="00F35E35">
              <w:rPr>
                <w:rFonts w:ascii="宋体" w:hAnsi="宋体" w:cs="宋体"/>
                <w:snapToGrid w:val="0"/>
                <w:color w:val="231F20"/>
                <w:spacing w:val="-1"/>
                <w:kern w:val="0"/>
                <w:sz w:val="18"/>
                <w:szCs w:val="18"/>
              </w:rPr>
              <w:t>辐照容器</w:t>
            </w:r>
          </w:p>
        </w:tc>
        <w:tc>
          <w:tcPr>
            <w:tcW w:w="1701" w:type="dxa"/>
            <w:shd w:val="clear" w:color="auto" w:fill="auto"/>
            <w:vAlign w:val="center"/>
          </w:tcPr>
          <w:p w:rsidR="00576D2B" w:rsidRPr="00F35E35" w:rsidRDefault="00576D2B" w:rsidP="00F35E35">
            <w:pPr>
              <w:kinsoku w:val="0"/>
              <w:autoSpaceDE w:val="0"/>
              <w:autoSpaceDN w:val="0"/>
              <w:snapToGrid w:val="0"/>
              <w:spacing w:before="94" w:line="240" w:lineRule="auto"/>
              <w:ind w:left="41" w:right="209" w:firstLine="4"/>
              <w:textAlignment w:val="baseline"/>
              <w:rPr>
                <w:rFonts w:ascii="宋体" w:hAnsi="宋体" w:cs="宋体"/>
                <w:snapToGrid w:val="0"/>
                <w:color w:val="000000"/>
                <w:kern w:val="0"/>
                <w:sz w:val="18"/>
                <w:szCs w:val="18"/>
              </w:rPr>
            </w:pPr>
            <w:r w:rsidRPr="00F35E35">
              <w:rPr>
                <w:rFonts w:ascii="宋体" w:hAnsi="宋体" w:cs="宋体"/>
                <w:snapToGrid w:val="0"/>
                <w:color w:val="231F20"/>
                <w:spacing w:val="-1"/>
                <w:kern w:val="0"/>
                <w:sz w:val="18"/>
                <w:szCs w:val="18"/>
              </w:rPr>
              <w:t>基于容器</w:t>
            </w:r>
            <w:r w:rsidRPr="00F35E35">
              <w:rPr>
                <w:rFonts w:ascii="宋体" w:hAnsi="宋体" w:cs="宋体" w:hint="eastAsia"/>
                <w:snapToGrid w:val="0"/>
                <w:color w:val="231F20"/>
                <w:spacing w:val="-1"/>
                <w:kern w:val="0"/>
                <w:sz w:val="18"/>
                <w:szCs w:val="18"/>
              </w:rPr>
              <w:t>装载</w:t>
            </w:r>
            <w:r w:rsidRPr="00F35E35">
              <w:rPr>
                <w:rFonts w:ascii="宋体" w:hAnsi="宋体" w:cs="宋体"/>
                <w:snapToGrid w:val="0"/>
                <w:color w:val="231F20"/>
                <w:spacing w:val="-1"/>
                <w:kern w:val="0"/>
                <w:sz w:val="18"/>
                <w:szCs w:val="18"/>
              </w:rPr>
              <w:t>水平对剂量分</w:t>
            </w:r>
            <w:r w:rsidRPr="00F35E35">
              <w:rPr>
                <w:rFonts w:ascii="宋体" w:hAnsi="宋体" w:cs="宋体"/>
                <w:snapToGrid w:val="0"/>
                <w:color w:val="231F20"/>
                <w:spacing w:val="-2"/>
                <w:kern w:val="0"/>
                <w:sz w:val="18"/>
                <w:szCs w:val="18"/>
              </w:rPr>
              <w:t>布的影响</w:t>
            </w:r>
          </w:p>
        </w:tc>
        <w:tc>
          <w:tcPr>
            <w:tcW w:w="1276" w:type="dxa"/>
            <w:shd w:val="clear" w:color="auto" w:fill="auto"/>
            <w:vAlign w:val="center"/>
          </w:tcPr>
          <w:p w:rsidR="00576D2B" w:rsidRPr="00F35E35" w:rsidRDefault="00576D2B" w:rsidP="00F35E35">
            <w:pPr>
              <w:kinsoku w:val="0"/>
              <w:autoSpaceDE w:val="0"/>
              <w:autoSpaceDN w:val="0"/>
              <w:snapToGrid w:val="0"/>
              <w:spacing w:line="240" w:lineRule="auto"/>
              <w:ind w:firstLine="716"/>
              <w:textAlignment w:val="center"/>
              <w:rPr>
                <w:rFonts w:ascii="宋体" w:hAnsi="宋体" w:cs="Arial"/>
                <w:snapToGrid w:val="0"/>
                <w:color w:val="000000"/>
                <w:kern w:val="0"/>
                <w:sz w:val="18"/>
                <w:szCs w:val="18"/>
              </w:rPr>
            </w:pPr>
            <w:r w:rsidRPr="00F35E35">
              <w:rPr>
                <w:rFonts w:ascii="宋体" w:hAnsi="宋体" w:cs="Arial"/>
                <w:noProof/>
                <w:snapToGrid w:val="0"/>
                <w:color w:val="000000"/>
                <w:kern w:val="0"/>
                <w:sz w:val="18"/>
                <w:szCs w:val="18"/>
              </w:rPr>
              <w:drawing>
                <wp:inline distT="0" distB="0" distL="0" distR="0">
                  <wp:extent cx="66040" cy="101600"/>
                  <wp:effectExtent l="0" t="0" r="0" b="0"/>
                  <wp:docPr id="9" name="图片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 56"/>
                          <pic:cNvPicPr>
                            <a:picLocks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040" cy="101600"/>
                          </a:xfrm>
                          <a:prstGeom prst="rect">
                            <a:avLst/>
                          </a:prstGeom>
                          <a:noFill/>
                          <a:ln>
                            <a:noFill/>
                          </a:ln>
                        </pic:spPr>
                      </pic:pic>
                    </a:graphicData>
                  </a:graphic>
                </wp:inline>
              </w:drawing>
            </w:r>
          </w:p>
        </w:tc>
        <w:tc>
          <w:tcPr>
            <w:tcW w:w="1134" w:type="dxa"/>
            <w:shd w:val="clear" w:color="auto" w:fill="auto"/>
            <w:vAlign w:val="center"/>
          </w:tcPr>
          <w:p w:rsidR="00576D2B" w:rsidRPr="00F35E35" w:rsidRDefault="00576D2B" w:rsidP="00F35E35">
            <w:pPr>
              <w:kinsoku w:val="0"/>
              <w:autoSpaceDE w:val="0"/>
              <w:autoSpaceDN w:val="0"/>
              <w:snapToGrid w:val="0"/>
              <w:spacing w:before="310" w:line="240" w:lineRule="auto"/>
              <w:ind w:firstLine="448"/>
              <w:textAlignment w:val="baseline"/>
              <w:rPr>
                <w:rFonts w:ascii="宋体" w:hAnsi="宋体" w:cs="宋体"/>
                <w:snapToGrid w:val="0"/>
                <w:color w:val="000000"/>
                <w:kern w:val="0"/>
                <w:sz w:val="18"/>
                <w:szCs w:val="18"/>
              </w:rPr>
            </w:pPr>
            <w:r w:rsidRPr="00F35E35">
              <w:rPr>
                <w:rFonts w:ascii="宋体" w:hAnsi="宋体" w:cs="宋体"/>
                <w:snapToGrid w:val="0"/>
                <w:color w:val="231F20"/>
                <w:spacing w:val="-1"/>
                <w:kern w:val="0"/>
                <w:sz w:val="18"/>
                <w:szCs w:val="18"/>
              </w:rPr>
              <w:t>N/A</w:t>
            </w:r>
          </w:p>
        </w:tc>
        <w:tc>
          <w:tcPr>
            <w:tcW w:w="1965" w:type="dxa"/>
            <w:shd w:val="clear" w:color="auto" w:fill="auto"/>
            <w:vAlign w:val="center"/>
          </w:tcPr>
          <w:p w:rsidR="00576D2B" w:rsidRPr="00F35E35" w:rsidRDefault="00576D2B" w:rsidP="00F35E35">
            <w:pPr>
              <w:kinsoku w:val="0"/>
              <w:autoSpaceDE w:val="0"/>
              <w:autoSpaceDN w:val="0"/>
              <w:snapToGrid w:val="0"/>
              <w:spacing w:line="240" w:lineRule="auto"/>
              <w:textAlignment w:val="baseline"/>
              <w:rPr>
                <w:rFonts w:ascii="宋体" w:hAnsi="宋体" w:cs="Arial"/>
                <w:snapToGrid w:val="0"/>
                <w:color w:val="000000"/>
                <w:kern w:val="0"/>
                <w:sz w:val="18"/>
                <w:szCs w:val="18"/>
              </w:rPr>
            </w:pPr>
          </w:p>
        </w:tc>
        <w:tc>
          <w:tcPr>
            <w:tcW w:w="1988" w:type="dxa"/>
            <w:shd w:val="clear" w:color="auto" w:fill="auto"/>
            <w:vAlign w:val="center"/>
          </w:tcPr>
          <w:p w:rsidR="00187F79" w:rsidRPr="00F35E35" w:rsidRDefault="00187F79" w:rsidP="00F35E35">
            <w:pPr>
              <w:kinsoku w:val="0"/>
              <w:autoSpaceDE w:val="0"/>
              <w:autoSpaceDN w:val="0"/>
              <w:snapToGrid w:val="0"/>
              <w:spacing w:before="95" w:line="240" w:lineRule="auto"/>
              <w:ind w:firstLine="12"/>
              <w:jc w:val="center"/>
              <w:textAlignment w:val="baseline"/>
              <w:rPr>
                <w:rFonts w:ascii="宋体" w:hAnsi="宋体" w:cs="宋体"/>
                <w:snapToGrid w:val="0"/>
                <w:color w:val="053CF5"/>
                <w:spacing w:val="2"/>
                <w:kern w:val="0"/>
                <w:sz w:val="18"/>
                <w:szCs w:val="18"/>
                <w:u w:val="single"/>
              </w:rPr>
            </w:pPr>
            <w:r w:rsidRPr="00F35E35">
              <w:rPr>
                <w:rFonts w:ascii="宋体" w:hAnsi="宋体" w:cs="Arial"/>
                <w:snapToGrid w:val="0"/>
                <w:color w:val="000000"/>
                <w:kern w:val="0"/>
                <w:sz w:val="18"/>
                <w:szCs w:val="18"/>
              </w:rPr>
              <w:t>8.2.10,8.4.10</w:t>
            </w:r>
          </w:p>
        </w:tc>
      </w:tr>
      <w:tr w:rsidR="00576D2B" w:rsidRPr="00F35E35" w:rsidTr="00F35E35">
        <w:trPr>
          <w:trHeight w:val="989"/>
          <w:jc w:val="center"/>
        </w:trPr>
        <w:tc>
          <w:tcPr>
            <w:tcW w:w="1836" w:type="dxa"/>
            <w:shd w:val="clear" w:color="auto" w:fill="auto"/>
            <w:vAlign w:val="center"/>
          </w:tcPr>
          <w:p w:rsidR="00576D2B" w:rsidRPr="00F35E35" w:rsidRDefault="00576D2B" w:rsidP="00F35E35">
            <w:pPr>
              <w:kinsoku w:val="0"/>
              <w:autoSpaceDE w:val="0"/>
              <w:autoSpaceDN w:val="0"/>
              <w:snapToGrid w:val="0"/>
              <w:spacing w:before="98" w:line="240" w:lineRule="auto"/>
              <w:ind w:left="53" w:right="295"/>
              <w:textAlignment w:val="baseline"/>
              <w:rPr>
                <w:rFonts w:ascii="宋体" w:hAnsi="宋体" w:cs="宋体"/>
                <w:snapToGrid w:val="0"/>
                <w:color w:val="000000"/>
                <w:kern w:val="0"/>
                <w:sz w:val="18"/>
                <w:szCs w:val="18"/>
              </w:rPr>
            </w:pPr>
            <w:r w:rsidRPr="00F35E35">
              <w:rPr>
                <w:rFonts w:ascii="宋体" w:hAnsi="宋体" w:cs="宋体"/>
                <w:snapToGrid w:val="0"/>
                <w:color w:val="231F20"/>
                <w:spacing w:val="-6"/>
                <w:kern w:val="0"/>
                <w:sz w:val="18"/>
                <w:szCs w:val="18"/>
              </w:rPr>
              <w:lastRenderedPageBreak/>
              <w:t>特殊输送系统（</w:t>
            </w:r>
            <w:r w:rsidRPr="00F35E35">
              <w:rPr>
                <w:rFonts w:ascii="宋体" w:hAnsi="宋体" w:cs="宋体" w:hint="eastAsia"/>
                <w:snapToGrid w:val="0"/>
                <w:color w:val="231F20"/>
                <w:spacing w:val="-6"/>
                <w:kern w:val="0"/>
                <w:sz w:val="18"/>
                <w:szCs w:val="18"/>
              </w:rPr>
              <w:t>实验线</w:t>
            </w:r>
            <w:r w:rsidRPr="00F35E35">
              <w:rPr>
                <w:rFonts w:ascii="宋体" w:hAnsi="宋体" w:cs="宋体"/>
                <w:snapToGrid w:val="0"/>
                <w:color w:val="231F20"/>
                <w:spacing w:val="-6"/>
                <w:kern w:val="0"/>
                <w:sz w:val="18"/>
                <w:szCs w:val="18"/>
              </w:rPr>
              <w:t>）</w:t>
            </w:r>
            <w:r w:rsidRPr="00F35E35">
              <w:rPr>
                <w:rFonts w:ascii="宋体" w:hAnsi="宋体" w:cs="宋体"/>
                <w:snapToGrid w:val="0"/>
                <w:color w:val="231F20"/>
                <w:spacing w:val="6"/>
                <w:kern w:val="0"/>
                <w:sz w:val="18"/>
                <w:szCs w:val="18"/>
              </w:rPr>
              <w:t xml:space="preserve"> </w:t>
            </w:r>
            <w:r w:rsidRPr="00F35E35">
              <w:rPr>
                <w:rFonts w:ascii="宋体" w:hAnsi="宋体" w:cs="宋体"/>
                <w:snapToGrid w:val="0"/>
                <w:color w:val="231F20"/>
                <w:spacing w:val="-6"/>
                <w:kern w:val="0"/>
                <w:sz w:val="18"/>
                <w:szCs w:val="18"/>
              </w:rPr>
              <w:t>或固</w:t>
            </w:r>
            <w:r w:rsidRPr="00F35E35">
              <w:rPr>
                <w:rFonts w:ascii="宋体" w:hAnsi="宋体" w:cs="宋体"/>
                <w:snapToGrid w:val="0"/>
                <w:color w:val="231F20"/>
                <w:spacing w:val="-1"/>
                <w:kern w:val="0"/>
                <w:sz w:val="18"/>
                <w:szCs w:val="18"/>
              </w:rPr>
              <w:t>定位置</w:t>
            </w:r>
            <w:r w:rsidRPr="00F35E35">
              <w:rPr>
                <w:rFonts w:ascii="宋体" w:hAnsi="宋体" w:cs="宋体" w:hint="eastAsia"/>
                <w:snapToGrid w:val="0"/>
                <w:color w:val="231F20"/>
                <w:spacing w:val="-1"/>
                <w:kern w:val="0"/>
                <w:sz w:val="18"/>
                <w:szCs w:val="18"/>
              </w:rPr>
              <w:t>容器传输</w:t>
            </w:r>
            <w:r w:rsidRPr="00F35E35">
              <w:rPr>
                <w:rFonts w:ascii="宋体" w:hAnsi="宋体" w:cs="宋体"/>
                <w:snapToGrid w:val="0"/>
                <w:color w:val="231F20"/>
                <w:spacing w:val="-1"/>
                <w:kern w:val="0"/>
                <w:sz w:val="18"/>
                <w:szCs w:val="18"/>
              </w:rPr>
              <w:t>剂量</w:t>
            </w:r>
          </w:p>
        </w:tc>
        <w:tc>
          <w:tcPr>
            <w:tcW w:w="1701" w:type="dxa"/>
            <w:shd w:val="clear" w:color="auto" w:fill="auto"/>
            <w:vAlign w:val="center"/>
          </w:tcPr>
          <w:p w:rsidR="00576D2B" w:rsidRPr="00F35E35" w:rsidRDefault="00576D2B" w:rsidP="00F35E35">
            <w:pPr>
              <w:kinsoku w:val="0"/>
              <w:autoSpaceDE w:val="0"/>
              <w:autoSpaceDN w:val="0"/>
              <w:snapToGrid w:val="0"/>
              <w:spacing w:before="98" w:line="240" w:lineRule="auto"/>
              <w:ind w:left="41" w:right="209" w:firstLine="4"/>
              <w:textAlignment w:val="baseline"/>
              <w:rPr>
                <w:rFonts w:ascii="宋体" w:hAnsi="宋体" w:cs="宋体"/>
                <w:snapToGrid w:val="0"/>
                <w:color w:val="000000"/>
                <w:kern w:val="0"/>
                <w:sz w:val="18"/>
                <w:szCs w:val="18"/>
              </w:rPr>
            </w:pPr>
            <w:r w:rsidRPr="00F35E35">
              <w:rPr>
                <w:rFonts w:ascii="宋体" w:hAnsi="宋体" w:cs="宋体"/>
                <w:snapToGrid w:val="0"/>
                <w:color w:val="231F20"/>
                <w:spacing w:val="-1"/>
                <w:kern w:val="0"/>
                <w:sz w:val="18"/>
                <w:szCs w:val="18"/>
              </w:rPr>
              <w:t>特殊输送系统容器进出辐照位置所产生的剂量贡献</w:t>
            </w:r>
          </w:p>
        </w:tc>
        <w:tc>
          <w:tcPr>
            <w:tcW w:w="1276" w:type="dxa"/>
            <w:shd w:val="clear" w:color="auto" w:fill="auto"/>
            <w:vAlign w:val="center"/>
          </w:tcPr>
          <w:p w:rsidR="00576D2B" w:rsidRPr="00F35E35" w:rsidRDefault="00576D2B" w:rsidP="00F35E35">
            <w:pPr>
              <w:kinsoku w:val="0"/>
              <w:autoSpaceDE w:val="0"/>
              <w:autoSpaceDN w:val="0"/>
              <w:snapToGrid w:val="0"/>
              <w:spacing w:before="45" w:line="240" w:lineRule="auto"/>
              <w:ind w:firstLine="645"/>
              <w:textAlignment w:val="baseline"/>
              <w:rPr>
                <w:rFonts w:ascii="宋体" w:hAnsi="宋体" w:cs="宋体"/>
                <w:snapToGrid w:val="0"/>
                <w:color w:val="000000"/>
                <w:kern w:val="0"/>
                <w:sz w:val="18"/>
                <w:szCs w:val="18"/>
              </w:rPr>
            </w:pPr>
            <w:r w:rsidRPr="00F35E35">
              <w:rPr>
                <w:rFonts w:ascii="宋体" w:hAnsi="宋体" w:cs="宋体"/>
                <w:snapToGrid w:val="0"/>
                <w:color w:val="231F20"/>
                <w:spacing w:val="-1"/>
                <w:kern w:val="0"/>
                <w:sz w:val="18"/>
                <w:szCs w:val="18"/>
              </w:rPr>
              <w:t>N/A</w:t>
            </w:r>
          </w:p>
        </w:tc>
        <w:tc>
          <w:tcPr>
            <w:tcW w:w="1134" w:type="dxa"/>
            <w:shd w:val="clear" w:color="auto" w:fill="auto"/>
            <w:vAlign w:val="center"/>
          </w:tcPr>
          <w:p w:rsidR="00576D2B" w:rsidRPr="00F35E35" w:rsidRDefault="00576D2B" w:rsidP="00F35E35">
            <w:pPr>
              <w:kinsoku w:val="0"/>
              <w:autoSpaceDE w:val="0"/>
              <w:autoSpaceDN w:val="0"/>
              <w:snapToGrid w:val="0"/>
              <w:spacing w:line="240" w:lineRule="auto"/>
              <w:ind w:firstLine="519"/>
              <w:textAlignment w:val="center"/>
              <w:rPr>
                <w:rFonts w:ascii="宋体" w:hAnsi="宋体" w:cs="Arial"/>
                <w:snapToGrid w:val="0"/>
                <w:color w:val="000000"/>
                <w:kern w:val="0"/>
                <w:sz w:val="18"/>
                <w:szCs w:val="18"/>
              </w:rPr>
            </w:pPr>
            <w:r w:rsidRPr="00F35E35">
              <w:rPr>
                <w:rFonts w:ascii="宋体" w:hAnsi="宋体" w:cs="Arial"/>
                <w:noProof/>
                <w:snapToGrid w:val="0"/>
                <w:color w:val="000000"/>
                <w:kern w:val="0"/>
                <w:sz w:val="18"/>
                <w:szCs w:val="18"/>
              </w:rPr>
              <w:drawing>
                <wp:inline distT="0" distB="0" distL="0" distR="0">
                  <wp:extent cx="66040" cy="101600"/>
                  <wp:effectExtent l="0" t="0" r="0" b="0"/>
                  <wp:docPr id="8" name="图片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 57"/>
                          <pic:cNvPicPr>
                            <a:picLocks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040" cy="101600"/>
                          </a:xfrm>
                          <a:prstGeom prst="rect">
                            <a:avLst/>
                          </a:prstGeom>
                          <a:noFill/>
                          <a:ln>
                            <a:noFill/>
                          </a:ln>
                        </pic:spPr>
                      </pic:pic>
                    </a:graphicData>
                  </a:graphic>
                </wp:inline>
              </w:drawing>
            </w:r>
          </w:p>
        </w:tc>
        <w:tc>
          <w:tcPr>
            <w:tcW w:w="1965" w:type="dxa"/>
            <w:shd w:val="clear" w:color="auto" w:fill="auto"/>
            <w:vAlign w:val="center"/>
          </w:tcPr>
          <w:p w:rsidR="00576D2B" w:rsidRPr="00F35E35" w:rsidRDefault="00576D2B" w:rsidP="00F35E35">
            <w:pPr>
              <w:kinsoku w:val="0"/>
              <w:autoSpaceDE w:val="0"/>
              <w:autoSpaceDN w:val="0"/>
              <w:snapToGrid w:val="0"/>
              <w:spacing w:line="240" w:lineRule="auto"/>
              <w:textAlignment w:val="baseline"/>
              <w:rPr>
                <w:rFonts w:ascii="宋体" w:hAnsi="宋体" w:cs="Arial"/>
                <w:snapToGrid w:val="0"/>
                <w:color w:val="000000"/>
                <w:kern w:val="0"/>
                <w:sz w:val="18"/>
                <w:szCs w:val="18"/>
              </w:rPr>
            </w:pPr>
          </w:p>
        </w:tc>
        <w:tc>
          <w:tcPr>
            <w:tcW w:w="1988" w:type="dxa"/>
            <w:shd w:val="clear" w:color="auto" w:fill="auto"/>
            <w:vAlign w:val="center"/>
          </w:tcPr>
          <w:p w:rsidR="00187F79" w:rsidRPr="00F35E35" w:rsidRDefault="00187F79" w:rsidP="00F35E35">
            <w:pPr>
              <w:kinsoku w:val="0"/>
              <w:autoSpaceDE w:val="0"/>
              <w:autoSpaceDN w:val="0"/>
              <w:snapToGrid w:val="0"/>
              <w:spacing w:before="95" w:line="240" w:lineRule="auto"/>
              <w:ind w:firstLine="12"/>
              <w:jc w:val="center"/>
              <w:textAlignment w:val="baseline"/>
              <w:rPr>
                <w:rFonts w:ascii="宋体" w:hAnsi="宋体" w:cs="宋体"/>
                <w:snapToGrid w:val="0"/>
                <w:color w:val="000000"/>
                <w:kern w:val="0"/>
                <w:sz w:val="18"/>
                <w:szCs w:val="18"/>
              </w:rPr>
            </w:pPr>
            <w:r w:rsidRPr="00F35E35">
              <w:rPr>
                <w:rFonts w:ascii="宋体" w:hAnsi="宋体" w:cs="宋体"/>
                <w:snapToGrid w:val="0"/>
                <w:color w:val="000000"/>
                <w:kern w:val="0"/>
                <w:sz w:val="18"/>
                <w:szCs w:val="18"/>
              </w:rPr>
              <w:t>8.2.9, 8.4.9</w:t>
            </w:r>
          </w:p>
        </w:tc>
      </w:tr>
      <w:tr w:rsidR="00576D2B" w:rsidRPr="00F35E35" w:rsidTr="00F35E35">
        <w:trPr>
          <w:trHeight w:val="1117"/>
          <w:jc w:val="center"/>
        </w:trPr>
        <w:tc>
          <w:tcPr>
            <w:tcW w:w="1836" w:type="dxa"/>
            <w:shd w:val="clear" w:color="auto" w:fill="auto"/>
            <w:vAlign w:val="center"/>
          </w:tcPr>
          <w:p w:rsidR="00576D2B" w:rsidRPr="00F35E35" w:rsidRDefault="00576D2B" w:rsidP="00F35E35">
            <w:pPr>
              <w:kinsoku w:val="0"/>
              <w:autoSpaceDE w:val="0"/>
              <w:autoSpaceDN w:val="0"/>
              <w:snapToGrid w:val="0"/>
              <w:spacing w:before="76" w:line="240" w:lineRule="auto"/>
              <w:ind w:firstLine="54"/>
              <w:textAlignment w:val="baseline"/>
              <w:rPr>
                <w:rFonts w:ascii="宋体" w:hAnsi="宋体" w:cs="宋体"/>
                <w:snapToGrid w:val="0"/>
                <w:color w:val="000000"/>
                <w:kern w:val="0"/>
                <w:sz w:val="18"/>
                <w:szCs w:val="18"/>
              </w:rPr>
            </w:pPr>
            <w:r w:rsidRPr="00F35E35">
              <w:rPr>
                <w:rFonts w:ascii="宋体" w:hAnsi="宋体" w:cs="宋体"/>
                <w:snapToGrid w:val="0"/>
                <w:color w:val="231F20"/>
                <w:spacing w:val="-1"/>
                <w:kern w:val="0"/>
                <w:sz w:val="18"/>
                <w:szCs w:val="18"/>
              </w:rPr>
              <w:t>参数相互关系</w:t>
            </w:r>
            <w:r w:rsidR="00EB648F" w:rsidRPr="00F35E35">
              <w:rPr>
                <w:rFonts w:ascii="宋体" w:hAnsi="宋体" w:cs="宋体"/>
                <w:snapToGrid w:val="0"/>
                <w:color w:val="231F20"/>
                <w:spacing w:val="-1"/>
                <w:kern w:val="0"/>
                <w:sz w:val="18"/>
                <w:szCs w:val="18"/>
                <w:vertAlign w:val="superscript"/>
              </w:rPr>
              <w:t>b,</w:t>
            </w:r>
          </w:p>
        </w:tc>
        <w:tc>
          <w:tcPr>
            <w:tcW w:w="1701" w:type="dxa"/>
            <w:shd w:val="clear" w:color="auto" w:fill="auto"/>
            <w:vAlign w:val="center"/>
          </w:tcPr>
          <w:p w:rsidR="00576D2B" w:rsidRPr="00F35E35" w:rsidRDefault="00576D2B" w:rsidP="00F35E35">
            <w:pPr>
              <w:kinsoku w:val="0"/>
              <w:autoSpaceDE w:val="0"/>
              <w:autoSpaceDN w:val="0"/>
              <w:snapToGrid w:val="0"/>
              <w:spacing w:before="99" w:line="240" w:lineRule="auto"/>
              <w:ind w:left="41" w:right="351" w:firstLine="5"/>
              <w:textAlignment w:val="baseline"/>
              <w:rPr>
                <w:rFonts w:ascii="宋体" w:hAnsi="宋体" w:cs="宋体"/>
                <w:snapToGrid w:val="0"/>
                <w:color w:val="000000"/>
                <w:kern w:val="0"/>
                <w:sz w:val="18"/>
                <w:szCs w:val="18"/>
              </w:rPr>
            </w:pPr>
            <w:r w:rsidRPr="00F35E35">
              <w:rPr>
                <w:rFonts w:ascii="宋体" w:hAnsi="宋体" w:cs="宋体"/>
                <w:snapToGrid w:val="0"/>
                <w:color w:val="231F20"/>
                <w:spacing w:val="-1"/>
                <w:kern w:val="0"/>
                <w:sz w:val="18"/>
                <w:szCs w:val="18"/>
              </w:rPr>
              <w:t>描述</w:t>
            </w:r>
            <w:r w:rsidRPr="00F35E35">
              <w:rPr>
                <w:rFonts w:ascii="宋体" w:hAnsi="宋体" w:cs="宋体" w:hint="eastAsia"/>
                <w:snapToGrid w:val="0"/>
                <w:color w:val="231F20"/>
                <w:spacing w:val="-1"/>
                <w:kern w:val="0"/>
                <w:sz w:val="18"/>
                <w:szCs w:val="18"/>
              </w:rPr>
              <w:t>电子束</w:t>
            </w:r>
            <w:r w:rsidRPr="00F35E35">
              <w:rPr>
                <w:rFonts w:ascii="宋体" w:hAnsi="宋体" w:cs="宋体"/>
                <w:snapToGrid w:val="0"/>
                <w:color w:val="231F20"/>
                <w:spacing w:val="-1"/>
                <w:kern w:val="0"/>
                <w:sz w:val="18"/>
                <w:szCs w:val="18"/>
              </w:rPr>
              <w:t>特性、</w:t>
            </w:r>
            <w:r w:rsidR="00187F79" w:rsidRPr="00F35E35">
              <w:rPr>
                <w:rFonts w:ascii="宋体" w:hAnsi="宋体" w:cs="宋体" w:hint="eastAsia"/>
                <w:snapToGrid w:val="0"/>
                <w:color w:val="231F20"/>
                <w:spacing w:val="-1"/>
                <w:kern w:val="0"/>
                <w:sz w:val="18"/>
                <w:szCs w:val="18"/>
              </w:rPr>
              <w:t>传输</w:t>
            </w:r>
            <w:r w:rsidRPr="00F35E35">
              <w:rPr>
                <w:rFonts w:ascii="宋体" w:hAnsi="宋体" w:cs="宋体"/>
                <w:snapToGrid w:val="0"/>
                <w:color w:val="231F20"/>
                <w:spacing w:val="-1"/>
                <w:kern w:val="0"/>
                <w:sz w:val="18"/>
                <w:szCs w:val="18"/>
              </w:rPr>
              <w:t>速度和剂量之间的相互关系</w:t>
            </w:r>
          </w:p>
        </w:tc>
        <w:tc>
          <w:tcPr>
            <w:tcW w:w="1276" w:type="dxa"/>
            <w:shd w:val="clear" w:color="auto" w:fill="auto"/>
            <w:vAlign w:val="center"/>
          </w:tcPr>
          <w:p w:rsidR="00576D2B" w:rsidRPr="00F35E35" w:rsidRDefault="00576D2B" w:rsidP="00F35E35">
            <w:pPr>
              <w:kinsoku w:val="0"/>
              <w:autoSpaceDE w:val="0"/>
              <w:autoSpaceDN w:val="0"/>
              <w:snapToGrid w:val="0"/>
              <w:spacing w:line="240" w:lineRule="auto"/>
              <w:ind w:firstLine="716"/>
              <w:textAlignment w:val="center"/>
              <w:rPr>
                <w:rFonts w:ascii="宋体" w:hAnsi="宋体" w:cs="Arial"/>
                <w:snapToGrid w:val="0"/>
                <w:color w:val="000000"/>
                <w:kern w:val="0"/>
                <w:sz w:val="18"/>
                <w:szCs w:val="18"/>
              </w:rPr>
            </w:pPr>
            <w:r w:rsidRPr="00F35E35">
              <w:rPr>
                <w:rFonts w:ascii="宋体" w:hAnsi="宋体" w:cs="Arial"/>
                <w:noProof/>
                <w:snapToGrid w:val="0"/>
                <w:color w:val="000000"/>
                <w:kern w:val="0"/>
                <w:sz w:val="18"/>
                <w:szCs w:val="18"/>
              </w:rPr>
              <w:drawing>
                <wp:inline distT="0" distB="0" distL="0" distR="0">
                  <wp:extent cx="66040" cy="101600"/>
                  <wp:effectExtent l="0" t="0" r="0" b="0"/>
                  <wp:docPr id="7"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 58"/>
                          <pic:cNvPicPr>
                            <a:picLocks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040" cy="101600"/>
                          </a:xfrm>
                          <a:prstGeom prst="rect">
                            <a:avLst/>
                          </a:prstGeom>
                          <a:noFill/>
                          <a:ln>
                            <a:noFill/>
                          </a:ln>
                        </pic:spPr>
                      </pic:pic>
                    </a:graphicData>
                  </a:graphic>
                </wp:inline>
              </w:drawing>
            </w:r>
          </w:p>
        </w:tc>
        <w:tc>
          <w:tcPr>
            <w:tcW w:w="1134" w:type="dxa"/>
            <w:shd w:val="clear" w:color="auto" w:fill="auto"/>
            <w:vAlign w:val="center"/>
          </w:tcPr>
          <w:p w:rsidR="00576D2B" w:rsidRPr="00F35E35" w:rsidRDefault="00576D2B" w:rsidP="00F35E35">
            <w:pPr>
              <w:kinsoku w:val="0"/>
              <w:autoSpaceDE w:val="0"/>
              <w:autoSpaceDN w:val="0"/>
              <w:snapToGrid w:val="0"/>
              <w:spacing w:before="46" w:line="240" w:lineRule="auto"/>
              <w:ind w:firstLine="448"/>
              <w:textAlignment w:val="baseline"/>
              <w:rPr>
                <w:rFonts w:ascii="宋体" w:hAnsi="宋体" w:cs="宋体"/>
                <w:snapToGrid w:val="0"/>
                <w:color w:val="000000"/>
                <w:kern w:val="0"/>
                <w:sz w:val="18"/>
                <w:szCs w:val="18"/>
              </w:rPr>
            </w:pPr>
            <w:r w:rsidRPr="00F35E35">
              <w:rPr>
                <w:rFonts w:ascii="宋体" w:hAnsi="宋体" w:cs="宋体"/>
                <w:snapToGrid w:val="0"/>
                <w:color w:val="231F20"/>
                <w:spacing w:val="-1"/>
                <w:kern w:val="0"/>
                <w:sz w:val="18"/>
                <w:szCs w:val="18"/>
              </w:rPr>
              <w:t>N/A</w:t>
            </w:r>
          </w:p>
        </w:tc>
        <w:tc>
          <w:tcPr>
            <w:tcW w:w="1965" w:type="dxa"/>
            <w:shd w:val="clear" w:color="auto" w:fill="auto"/>
            <w:vAlign w:val="center"/>
          </w:tcPr>
          <w:p w:rsidR="00576D2B" w:rsidRPr="00F35E35" w:rsidRDefault="00576D2B" w:rsidP="00F35E35">
            <w:pPr>
              <w:kinsoku w:val="0"/>
              <w:autoSpaceDE w:val="0"/>
              <w:autoSpaceDN w:val="0"/>
              <w:snapToGrid w:val="0"/>
              <w:spacing w:before="46" w:line="240" w:lineRule="auto"/>
              <w:ind w:firstLine="460"/>
              <w:textAlignment w:val="baseline"/>
              <w:rPr>
                <w:rFonts w:ascii="宋体" w:hAnsi="宋体" w:cs="宋体"/>
                <w:snapToGrid w:val="0"/>
                <w:color w:val="000000"/>
                <w:kern w:val="0"/>
                <w:sz w:val="18"/>
                <w:szCs w:val="18"/>
              </w:rPr>
            </w:pPr>
            <w:r w:rsidRPr="00F35E35">
              <w:rPr>
                <w:rFonts w:ascii="宋体" w:hAnsi="宋体" w:cs="宋体"/>
                <w:snapToGrid w:val="0"/>
                <w:color w:val="231F20"/>
                <w:spacing w:val="1"/>
                <w:kern w:val="0"/>
                <w:sz w:val="18"/>
                <w:szCs w:val="18"/>
              </w:rPr>
              <w:t>9.2.11</w:t>
            </w:r>
          </w:p>
        </w:tc>
        <w:tc>
          <w:tcPr>
            <w:tcW w:w="1988" w:type="dxa"/>
            <w:shd w:val="clear" w:color="auto" w:fill="auto"/>
            <w:vAlign w:val="center"/>
          </w:tcPr>
          <w:p w:rsidR="00316DD7" w:rsidRPr="00F35E35" w:rsidRDefault="00316DD7" w:rsidP="00F35E35">
            <w:pPr>
              <w:kinsoku w:val="0"/>
              <w:autoSpaceDE w:val="0"/>
              <w:autoSpaceDN w:val="0"/>
              <w:snapToGrid w:val="0"/>
              <w:spacing w:line="240" w:lineRule="auto"/>
              <w:ind w:firstLine="12"/>
              <w:textAlignment w:val="baseline"/>
              <w:rPr>
                <w:rFonts w:ascii="宋体" w:hAnsi="宋体" w:cs="Arial"/>
                <w:snapToGrid w:val="0"/>
                <w:color w:val="000000"/>
                <w:kern w:val="0"/>
                <w:sz w:val="18"/>
                <w:szCs w:val="18"/>
              </w:rPr>
            </w:pPr>
            <w:r w:rsidRPr="00F35E35">
              <w:rPr>
                <w:rFonts w:ascii="宋体" w:hAnsi="宋体" w:cs="Arial"/>
                <w:snapToGrid w:val="0"/>
                <w:color w:val="000000"/>
                <w:kern w:val="0"/>
                <w:sz w:val="18"/>
                <w:szCs w:val="18"/>
              </w:rPr>
              <w:t>8.2.6, 8.3.5, 8.4.7</w:t>
            </w:r>
          </w:p>
        </w:tc>
      </w:tr>
      <w:tr w:rsidR="00AB1117" w:rsidRPr="00F35E35" w:rsidTr="00F35E35">
        <w:trPr>
          <w:trHeight w:val="919"/>
          <w:jc w:val="center"/>
        </w:trPr>
        <w:tc>
          <w:tcPr>
            <w:tcW w:w="9900" w:type="dxa"/>
            <w:gridSpan w:val="6"/>
            <w:tcBorders>
              <w:top w:val="single" w:sz="8" w:space="0" w:color="231F20"/>
              <w:bottom w:val="single" w:sz="8" w:space="0" w:color="231F20"/>
            </w:tcBorders>
            <w:shd w:val="clear" w:color="auto" w:fill="auto"/>
            <w:vAlign w:val="center"/>
          </w:tcPr>
          <w:p w:rsidR="00EB648F" w:rsidRDefault="00EB648F">
            <w:pPr>
              <w:pStyle w:val="af4"/>
              <w:numPr>
                <w:ilvl w:val="0"/>
                <w:numId w:val="35"/>
              </w:numPr>
            </w:pPr>
            <w:r>
              <w:rPr>
                <w:rFonts w:hint="eastAsia"/>
              </w:rPr>
              <w:t>有关剂量分布的详细指南，请参见</w:t>
            </w:r>
            <w:r>
              <w:t>ISO/ASTM52303。</w:t>
            </w:r>
          </w:p>
          <w:p w:rsidR="00EB648F" w:rsidRPr="00EB648F" w:rsidRDefault="00EB648F" w:rsidP="00F35E35">
            <w:pPr>
              <w:pStyle w:val="af4"/>
            </w:pPr>
            <w:r>
              <w:rPr>
                <w:rFonts w:hint="eastAsia"/>
              </w:rPr>
              <w:t>仅适用于电子束和</w:t>
            </w:r>
            <w:r>
              <w:t>X射线。</w:t>
            </w:r>
          </w:p>
          <w:p w:rsidR="00EB648F" w:rsidRPr="00F35E35" w:rsidRDefault="00EB648F" w:rsidP="00F35E35">
            <w:pPr>
              <w:pStyle w:val="affff6"/>
              <w:ind w:firstLine="360"/>
              <w:rPr>
                <w:sz w:val="18"/>
              </w:rPr>
            </w:pPr>
            <w:r w:rsidRPr="00F35E35">
              <w:rPr>
                <w:rFonts w:hint="eastAsia"/>
                <w:sz w:val="18"/>
              </w:rPr>
              <w:t>N/A=不适用。</w:t>
            </w:r>
          </w:p>
        </w:tc>
      </w:tr>
    </w:tbl>
    <w:p w:rsidR="00576D2B" w:rsidRDefault="00576D2B" w:rsidP="00576D2B">
      <w:pPr>
        <w:pStyle w:val="aff4"/>
        <w:spacing w:before="156" w:after="156"/>
      </w:pPr>
      <w:bookmarkStart w:id="163" w:name="_Toc112783070"/>
      <w:bookmarkStart w:id="164" w:name="_Toc112844867"/>
      <w:r w:rsidRPr="00576D2B">
        <w:rPr>
          <w:rFonts w:hint="eastAsia"/>
        </w:rPr>
        <w:t>性能鉴定</w:t>
      </w:r>
      <w:bookmarkEnd w:id="163"/>
      <w:bookmarkEnd w:id="164"/>
    </w:p>
    <w:p w:rsidR="00576D2B" w:rsidRDefault="00576D2B" w:rsidP="00576D2B">
      <w:pPr>
        <w:pStyle w:val="aff"/>
        <w:spacing w:before="156" w:after="156"/>
      </w:pPr>
      <w:r w:rsidRPr="00576D2B">
        <w:rPr>
          <w:rFonts w:hint="eastAsia"/>
        </w:rPr>
        <w:t>-γ、电子束和X射线</w:t>
      </w:r>
    </w:p>
    <w:tbl>
      <w:tblPr>
        <w:tblW w:w="9735" w:type="dxa"/>
        <w:tblInd w:w="47" w:type="dxa"/>
        <w:tblBorders>
          <w:top w:val="single" w:sz="8" w:space="0" w:color="231F20"/>
          <w:left w:val="single" w:sz="8" w:space="0" w:color="231F20"/>
          <w:bottom w:val="single" w:sz="8" w:space="0" w:color="231F20"/>
          <w:right w:val="single" w:sz="8" w:space="0" w:color="231F20"/>
          <w:insideH w:val="single" w:sz="2" w:space="0" w:color="231F20"/>
          <w:insideV w:val="single" w:sz="2" w:space="0" w:color="231F20"/>
        </w:tblBorders>
        <w:tblLayout w:type="fixed"/>
        <w:tblCellMar>
          <w:left w:w="0" w:type="dxa"/>
          <w:right w:w="0" w:type="dxa"/>
        </w:tblCellMar>
        <w:tblLook w:val="0000"/>
      </w:tblPr>
      <w:tblGrid>
        <w:gridCol w:w="1521"/>
        <w:gridCol w:w="1842"/>
        <w:gridCol w:w="1276"/>
        <w:gridCol w:w="1398"/>
        <w:gridCol w:w="1837"/>
        <w:gridCol w:w="1861"/>
      </w:tblGrid>
      <w:tr w:rsidR="00FD18C0" w:rsidRPr="002A5D94" w:rsidTr="002A5D94">
        <w:trPr>
          <w:trHeight w:val="801"/>
        </w:trPr>
        <w:tc>
          <w:tcPr>
            <w:tcW w:w="1521" w:type="dxa"/>
            <w:tcBorders>
              <w:top w:val="single" w:sz="8" w:space="0" w:color="231F20"/>
              <w:bottom w:val="single" w:sz="8" w:space="0" w:color="231F20"/>
            </w:tcBorders>
            <w:shd w:val="clear" w:color="auto" w:fill="auto"/>
            <w:vAlign w:val="center"/>
          </w:tcPr>
          <w:p w:rsidR="00FD18C0" w:rsidRPr="002A5D94" w:rsidRDefault="00FD18C0" w:rsidP="002A5D94">
            <w:pPr>
              <w:kinsoku w:val="0"/>
              <w:autoSpaceDE w:val="0"/>
              <w:autoSpaceDN w:val="0"/>
              <w:snapToGrid w:val="0"/>
              <w:spacing w:before="45" w:line="240" w:lineRule="auto"/>
              <w:ind w:firstLine="264"/>
              <w:textAlignment w:val="baseline"/>
              <w:rPr>
                <w:rFonts w:ascii="宋体" w:hAnsi="宋体" w:cs="宋体"/>
                <w:snapToGrid w:val="0"/>
                <w:color w:val="000000"/>
                <w:kern w:val="0"/>
                <w:sz w:val="18"/>
                <w:szCs w:val="20"/>
              </w:rPr>
            </w:pPr>
            <w:r w:rsidRPr="002A5D94">
              <w:rPr>
                <w:rFonts w:hint="eastAsia"/>
                <w:sz w:val="18"/>
              </w:rPr>
              <w:t>鉴定项目</w:t>
            </w:r>
          </w:p>
        </w:tc>
        <w:tc>
          <w:tcPr>
            <w:tcW w:w="1842" w:type="dxa"/>
            <w:tcBorders>
              <w:top w:val="single" w:sz="8" w:space="0" w:color="231F20"/>
              <w:bottom w:val="single" w:sz="8" w:space="0" w:color="231F20"/>
            </w:tcBorders>
            <w:shd w:val="clear" w:color="auto" w:fill="auto"/>
            <w:vAlign w:val="center"/>
          </w:tcPr>
          <w:p w:rsidR="00FD18C0" w:rsidRPr="002A5D94" w:rsidRDefault="00FD18C0" w:rsidP="002A5D94">
            <w:pPr>
              <w:kinsoku w:val="0"/>
              <w:autoSpaceDE w:val="0"/>
              <w:autoSpaceDN w:val="0"/>
              <w:snapToGrid w:val="0"/>
              <w:spacing w:before="28" w:line="240" w:lineRule="auto"/>
              <w:ind w:firstLine="376"/>
              <w:textAlignment w:val="baseline"/>
              <w:rPr>
                <w:rFonts w:ascii="宋体" w:hAnsi="宋体" w:cs="宋体"/>
                <w:snapToGrid w:val="0"/>
                <w:color w:val="000000"/>
                <w:kern w:val="0"/>
                <w:sz w:val="18"/>
                <w:szCs w:val="20"/>
              </w:rPr>
            </w:pPr>
            <w:r w:rsidRPr="002A5D94">
              <w:rPr>
                <w:rFonts w:hint="eastAsia"/>
                <w:sz w:val="18"/>
              </w:rPr>
              <w:t>描述</w:t>
            </w:r>
          </w:p>
        </w:tc>
        <w:tc>
          <w:tcPr>
            <w:tcW w:w="1276" w:type="dxa"/>
            <w:tcBorders>
              <w:top w:val="single" w:sz="8" w:space="0" w:color="231F20"/>
              <w:bottom w:val="single" w:sz="8" w:space="0" w:color="231F20"/>
            </w:tcBorders>
            <w:shd w:val="clear" w:color="auto" w:fill="auto"/>
            <w:vAlign w:val="center"/>
          </w:tcPr>
          <w:p w:rsidR="00FD18C0" w:rsidRPr="002A5D94" w:rsidRDefault="00FD18C0" w:rsidP="002A5D94">
            <w:pPr>
              <w:kinsoku w:val="0"/>
              <w:autoSpaceDE w:val="0"/>
              <w:autoSpaceDN w:val="0"/>
              <w:snapToGrid w:val="0"/>
              <w:spacing w:before="27" w:line="240" w:lineRule="auto"/>
              <w:jc w:val="center"/>
              <w:textAlignment w:val="baseline"/>
              <w:rPr>
                <w:rFonts w:ascii="宋体" w:hAnsi="宋体" w:cs="宋体"/>
                <w:snapToGrid w:val="0"/>
                <w:color w:val="000000"/>
                <w:kern w:val="0"/>
                <w:sz w:val="18"/>
                <w:szCs w:val="18"/>
              </w:rPr>
            </w:pPr>
            <w:r w:rsidRPr="002A5D94">
              <w:rPr>
                <w:rFonts w:hint="eastAsia"/>
                <w:sz w:val="18"/>
              </w:rPr>
              <w:t>灭菌处理的辐照装置</w:t>
            </w:r>
          </w:p>
        </w:tc>
        <w:tc>
          <w:tcPr>
            <w:tcW w:w="1398" w:type="dxa"/>
            <w:tcBorders>
              <w:top w:val="single" w:sz="8" w:space="0" w:color="231F20"/>
              <w:bottom w:val="single" w:sz="8" w:space="0" w:color="231F20"/>
            </w:tcBorders>
            <w:shd w:val="clear" w:color="auto" w:fill="auto"/>
            <w:vAlign w:val="center"/>
          </w:tcPr>
          <w:p w:rsidR="00FD18C0" w:rsidRPr="002A5D94" w:rsidRDefault="00FD18C0" w:rsidP="002A5D94">
            <w:pPr>
              <w:kinsoku w:val="0"/>
              <w:autoSpaceDE w:val="0"/>
              <w:autoSpaceDN w:val="0"/>
              <w:snapToGrid w:val="0"/>
              <w:spacing w:before="43" w:line="240" w:lineRule="auto"/>
              <w:ind w:left="108" w:right="225" w:firstLine="55"/>
              <w:textAlignment w:val="baseline"/>
              <w:rPr>
                <w:rFonts w:ascii="宋体" w:hAnsi="宋体" w:cs="宋体"/>
                <w:snapToGrid w:val="0"/>
                <w:color w:val="000000"/>
                <w:kern w:val="0"/>
                <w:sz w:val="18"/>
                <w:szCs w:val="20"/>
              </w:rPr>
            </w:pPr>
            <w:r w:rsidRPr="002A5D94">
              <w:rPr>
                <w:rFonts w:hint="eastAsia"/>
                <w:sz w:val="18"/>
              </w:rPr>
              <w:t>特殊的辐照装置路径</w:t>
            </w:r>
          </w:p>
        </w:tc>
        <w:tc>
          <w:tcPr>
            <w:tcW w:w="1837" w:type="dxa"/>
            <w:tcBorders>
              <w:top w:val="single" w:sz="8" w:space="0" w:color="231F20"/>
              <w:bottom w:val="single" w:sz="8" w:space="0" w:color="231F20"/>
            </w:tcBorders>
            <w:shd w:val="clear" w:color="auto" w:fill="auto"/>
            <w:vAlign w:val="center"/>
          </w:tcPr>
          <w:p w:rsidR="00FD18C0" w:rsidRPr="002A5D94" w:rsidRDefault="00FD18C0" w:rsidP="002A5D94">
            <w:pPr>
              <w:kinsoku w:val="0"/>
              <w:autoSpaceDE w:val="0"/>
              <w:autoSpaceDN w:val="0"/>
              <w:snapToGrid w:val="0"/>
              <w:spacing w:before="112" w:line="240" w:lineRule="auto"/>
              <w:ind w:right="128"/>
              <w:jc w:val="center"/>
              <w:textAlignment w:val="baseline"/>
              <w:rPr>
                <w:rFonts w:ascii="宋体" w:hAnsi="宋体" w:cs="宋体"/>
                <w:snapToGrid w:val="0"/>
                <w:color w:val="000000"/>
                <w:kern w:val="0"/>
                <w:sz w:val="18"/>
                <w:szCs w:val="20"/>
              </w:rPr>
            </w:pPr>
            <w:r w:rsidRPr="002A5D94">
              <w:rPr>
                <w:rFonts w:ascii="宋体" w:hAnsi="宋体" w:hint="eastAsia"/>
                <w:sz w:val="18"/>
              </w:rPr>
              <w:t>ISO11137-1：2006，条款</w:t>
            </w:r>
          </w:p>
        </w:tc>
        <w:tc>
          <w:tcPr>
            <w:tcW w:w="1861" w:type="dxa"/>
            <w:tcBorders>
              <w:top w:val="single" w:sz="8" w:space="0" w:color="231F20"/>
              <w:bottom w:val="single" w:sz="8" w:space="0" w:color="231F20"/>
            </w:tcBorders>
            <w:shd w:val="clear" w:color="auto" w:fill="auto"/>
            <w:vAlign w:val="center"/>
          </w:tcPr>
          <w:p w:rsidR="00FD18C0" w:rsidRPr="002A5D94" w:rsidRDefault="00FD18C0" w:rsidP="002A5D94">
            <w:pPr>
              <w:kinsoku w:val="0"/>
              <w:autoSpaceDE w:val="0"/>
              <w:autoSpaceDN w:val="0"/>
              <w:snapToGrid w:val="0"/>
              <w:spacing w:before="112" w:line="240" w:lineRule="auto"/>
              <w:ind w:left="659" w:right="127" w:hanging="526"/>
              <w:textAlignment w:val="baseline"/>
              <w:rPr>
                <w:rFonts w:ascii="宋体" w:hAnsi="宋体" w:cs="宋体"/>
                <w:snapToGrid w:val="0"/>
                <w:color w:val="000000"/>
                <w:kern w:val="0"/>
                <w:sz w:val="18"/>
                <w:szCs w:val="20"/>
              </w:rPr>
            </w:pPr>
            <w:r w:rsidRPr="002A5D94">
              <w:rPr>
                <w:rFonts w:hint="eastAsia"/>
                <w:sz w:val="18"/>
              </w:rPr>
              <w:t>ISO11137-3</w:t>
            </w:r>
            <w:r w:rsidRPr="002A5D94">
              <w:rPr>
                <w:rFonts w:hint="eastAsia"/>
                <w:sz w:val="18"/>
              </w:rPr>
              <w:t>：</w:t>
            </w:r>
            <w:r w:rsidRPr="002A5D94">
              <w:rPr>
                <w:rFonts w:hint="eastAsia"/>
                <w:sz w:val="18"/>
              </w:rPr>
              <w:t>2017</w:t>
            </w:r>
            <w:r w:rsidRPr="002A5D94">
              <w:rPr>
                <w:rFonts w:hint="eastAsia"/>
                <w:sz w:val="18"/>
              </w:rPr>
              <w:t>，条款</w:t>
            </w:r>
          </w:p>
        </w:tc>
      </w:tr>
      <w:tr w:rsidR="00FD18C0" w:rsidRPr="002A5D94" w:rsidTr="002A5D94">
        <w:trPr>
          <w:trHeight w:val="1438"/>
        </w:trPr>
        <w:tc>
          <w:tcPr>
            <w:tcW w:w="1521" w:type="dxa"/>
            <w:tcBorders>
              <w:top w:val="single" w:sz="8" w:space="0" w:color="231F20"/>
            </w:tcBorders>
            <w:shd w:val="clear" w:color="auto" w:fill="auto"/>
            <w:vAlign w:val="center"/>
          </w:tcPr>
          <w:p w:rsidR="00FD18C0" w:rsidRPr="002A5D94" w:rsidRDefault="00FD18C0" w:rsidP="002A5D94">
            <w:pPr>
              <w:kinsoku w:val="0"/>
              <w:autoSpaceDE w:val="0"/>
              <w:autoSpaceDN w:val="0"/>
              <w:snapToGrid w:val="0"/>
              <w:spacing w:before="89" w:line="240" w:lineRule="auto"/>
              <w:ind w:firstLine="59"/>
              <w:textAlignment w:val="baseline"/>
              <w:rPr>
                <w:rFonts w:ascii="宋体" w:hAnsi="宋体" w:cs="宋体"/>
                <w:snapToGrid w:val="0"/>
                <w:color w:val="000000"/>
                <w:kern w:val="0"/>
                <w:sz w:val="18"/>
                <w:szCs w:val="20"/>
              </w:rPr>
            </w:pPr>
            <w:r w:rsidRPr="002A5D94">
              <w:rPr>
                <w:rFonts w:ascii="宋体" w:hAnsi="宋体" w:cs="宋体"/>
                <w:snapToGrid w:val="0"/>
                <w:color w:val="231F20"/>
                <w:spacing w:val="-2"/>
                <w:kern w:val="0"/>
                <w:sz w:val="18"/>
                <w:szCs w:val="20"/>
              </w:rPr>
              <w:t>产品剂量</w:t>
            </w:r>
            <w:r w:rsidRPr="002A5D94">
              <w:rPr>
                <w:rFonts w:ascii="宋体" w:hAnsi="宋体" w:cs="宋体" w:hint="eastAsia"/>
                <w:snapToGrid w:val="0"/>
                <w:color w:val="231F20"/>
                <w:spacing w:val="-2"/>
                <w:kern w:val="0"/>
                <w:sz w:val="18"/>
                <w:szCs w:val="20"/>
              </w:rPr>
              <w:t>分布</w:t>
            </w:r>
          </w:p>
        </w:tc>
        <w:tc>
          <w:tcPr>
            <w:tcW w:w="1842" w:type="dxa"/>
            <w:tcBorders>
              <w:top w:val="single" w:sz="8" w:space="0" w:color="231F20"/>
            </w:tcBorders>
            <w:shd w:val="clear" w:color="auto" w:fill="auto"/>
            <w:vAlign w:val="center"/>
          </w:tcPr>
          <w:p w:rsidR="00FD18C0" w:rsidRPr="002A5D94" w:rsidRDefault="00FD18C0" w:rsidP="002A5D94">
            <w:pPr>
              <w:kinsoku w:val="0"/>
              <w:autoSpaceDE w:val="0"/>
              <w:autoSpaceDN w:val="0"/>
              <w:snapToGrid w:val="0"/>
              <w:spacing w:before="84" w:line="240" w:lineRule="auto"/>
              <w:ind w:firstLine="50"/>
              <w:textAlignment w:val="baseline"/>
              <w:rPr>
                <w:rFonts w:ascii="宋体" w:hAnsi="宋体" w:cs="宋体"/>
                <w:snapToGrid w:val="0"/>
                <w:color w:val="000000"/>
                <w:kern w:val="0"/>
                <w:sz w:val="18"/>
                <w:szCs w:val="20"/>
              </w:rPr>
            </w:pPr>
            <w:r w:rsidRPr="002A5D94">
              <w:rPr>
                <w:rFonts w:ascii="宋体" w:hAnsi="宋体" w:cs="宋体"/>
                <w:snapToGrid w:val="0"/>
                <w:color w:val="231F20"/>
                <w:spacing w:val="-2"/>
                <w:kern w:val="0"/>
                <w:sz w:val="18"/>
                <w:szCs w:val="20"/>
              </w:rPr>
              <w:t>产品的剂量</w:t>
            </w:r>
            <w:r w:rsidRPr="002A5D94">
              <w:rPr>
                <w:rFonts w:ascii="宋体" w:hAnsi="宋体" w:cs="宋体" w:hint="eastAsia"/>
                <w:snapToGrid w:val="0"/>
                <w:color w:val="231F20"/>
                <w:spacing w:val="-2"/>
                <w:kern w:val="0"/>
                <w:sz w:val="18"/>
                <w:szCs w:val="20"/>
              </w:rPr>
              <w:t>分布</w:t>
            </w:r>
            <w:r w:rsidRPr="002A5D94">
              <w:rPr>
                <w:rFonts w:ascii="宋体" w:hAnsi="宋体" w:cs="宋体"/>
                <w:snapToGrid w:val="0"/>
                <w:color w:val="231F20"/>
                <w:spacing w:val="-2"/>
                <w:kern w:val="0"/>
                <w:sz w:val="18"/>
                <w:szCs w:val="20"/>
                <w:vertAlign w:val="superscript"/>
              </w:rPr>
              <w:t>a</w:t>
            </w:r>
          </w:p>
        </w:tc>
        <w:tc>
          <w:tcPr>
            <w:tcW w:w="1276" w:type="dxa"/>
            <w:tcBorders>
              <w:top w:val="single" w:sz="8" w:space="0" w:color="231F20"/>
            </w:tcBorders>
            <w:shd w:val="clear" w:color="auto" w:fill="auto"/>
            <w:vAlign w:val="center"/>
          </w:tcPr>
          <w:p w:rsidR="00FD18C0" w:rsidRPr="002A5D94" w:rsidRDefault="00FD18C0" w:rsidP="002A5D94">
            <w:pPr>
              <w:kinsoku w:val="0"/>
              <w:autoSpaceDE w:val="0"/>
              <w:autoSpaceDN w:val="0"/>
              <w:snapToGrid w:val="0"/>
              <w:spacing w:before="245" w:line="240" w:lineRule="auto"/>
              <w:ind w:firstLine="600"/>
              <w:textAlignment w:val="center"/>
              <w:rPr>
                <w:rFonts w:ascii="Arial" w:eastAsia="Arial" w:hAnsi="Arial" w:cs="Arial"/>
                <w:snapToGrid w:val="0"/>
                <w:color w:val="000000"/>
                <w:kern w:val="0"/>
                <w:sz w:val="18"/>
              </w:rPr>
            </w:pPr>
            <w:r w:rsidRPr="002A5D94">
              <w:rPr>
                <w:rFonts w:ascii="Arial" w:eastAsia="Arial" w:hAnsi="Arial" w:cs="Arial"/>
                <w:noProof/>
                <w:snapToGrid w:val="0"/>
                <w:color w:val="000000"/>
                <w:kern w:val="0"/>
                <w:sz w:val="18"/>
              </w:rPr>
              <w:drawing>
                <wp:inline distT="0" distB="0" distL="0" distR="0">
                  <wp:extent cx="83820" cy="137160"/>
                  <wp:effectExtent l="0" t="0" r="0" b="0"/>
                  <wp:docPr id="19" name="图片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 60"/>
                          <pic:cNvPicPr>
                            <a:picLocks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820" cy="137160"/>
                          </a:xfrm>
                          <a:prstGeom prst="rect">
                            <a:avLst/>
                          </a:prstGeom>
                          <a:noFill/>
                          <a:ln>
                            <a:noFill/>
                          </a:ln>
                        </pic:spPr>
                      </pic:pic>
                    </a:graphicData>
                  </a:graphic>
                </wp:inline>
              </w:drawing>
            </w:r>
          </w:p>
        </w:tc>
        <w:tc>
          <w:tcPr>
            <w:tcW w:w="1398" w:type="dxa"/>
            <w:tcBorders>
              <w:top w:val="single" w:sz="8" w:space="0" w:color="231F20"/>
            </w:tcBorders>
            <w:shd w:val="clear" w:color="auto" w:fill="auto"/>
            <w:vAlign w:val="center"/>
          </w:tcPr>
          <w:p w:rsidR="00FD18C0" w:rsidRPr="002A5D94" w:rsidRDefault="00FD18C0" w:rsidP="002A5D94">
            <w:pPr>
              <w:kinsoku w:val="0"/>
              <w:autoSpaceDE w:val="0"/>
              <w:autoSpaceDN w:val="0"/>
              <w:snapToGrid w:val="0"/>
              <w:spacing w:before="278" w:line="240" w:lineRule="auto"/>
              <w:ind w:firstLine="410"/>
              <w:textAlignment w:val="baseline"/>
              <w:rPr>
                <w:rFonts w:ascii="宋体" w:hAnsi="宋体" w:cs="宋体"/>
                <w:snapToGrid w:val="0"/>
                <w:color w:val="000000"/>
                <w:kern w:val="0"/>
                <w:sz w:val="18"/>
                <w:szCs w:val="20"/>
              </w:rPr>
            </w:pPr>
            <w:r w:rsidRPr="002A5D94">
              <w:rPr>
                <w:rFonts w:ascii="宋体" w:hAnsi="宋体" w:cs="宋体"/>
                <w:snapToGrid w:val="0"/>
                <w:color w:val="231F20"/>
                <w:spacing w:val="-1"/>
                <w:kern w:val="0"/>
                <w:sz w:val="18"/>
                <w:szCs w:val="20"/>
              </w:rPr>
              <w:t>N/A</w:t>
            </w:r>
          </w:p>
        </w:tc>
        <w:tc>
          <w:tcPr>
            <w:tcW w:w="1837" w:type="dxa"/>
            <w:tcBorders>
              <w:top w:val="single" w:sz="8" w:space="0" w:color="231F20"/>
            </w:tcBorders>
            <w:shd w:val="clear" w:color="auto" w:fill="auto"/>
            <w:vAlign w:val="center"/>
          </w:tcPr>
          <w:p w:rsidR="00FD18C0" w:rsidRPr="002A5D94" w:rsidRDefault="00FD18C0" w:rsidP="00316DD7">
            <w:pPr>
              <w:kinsoku w:val="0"/>
              <w:autoSpaceDE w:val="0"/>
              <w:autoSpaceDN w:val="0"/>
              <w:snapToGrid w:val="0"/>
              <w:spacing w:before="243" w:line="240" w:lineRule="auto"/>
              <w:ind w:left="147" w:right="344"/>
              <w:textAlignment w:val="baseline"/>
              <w:rPr>
                <w:rFonts w:ascii="宋体" w:hAnsi="宋体" w:cs="宋体"/>
                <w:snapToGrid w:val="0"/>
                <w:color w:val="000000"/>
                <w:kern w:val="0"/>
                <w:sz w:val="18"/>
                <w:szCs w:val="20"/>
              </w:rPr>
            </w:pPr>
            <w:r w:rsidRPr="002A5D94">
              <w:rPr>
                <w:rFonts w:ascii="宋体" w:hAnsi="宋体" w:cs="宋体"/>
                <w:snapToGrid w:val="0"/>
                <w:color w:val="231F20"/>
                <w:spacing w:val="-1"/>
                <w:kern w:val="0"/>
                <w:sz w:val="18"/>
                <w:szCs w:val="20"/>
              </w:rPr>
              <w:t>9.3.1</w:t>
            </w:r>
            <w:r w:rsidR="00316DD7">
              <w:rPr>
                <w:rFonts w:ascii="宋体" w:hAnsi="宋体" w:cs="宋体" w:hint="eastAsia"/>
                <w:snapToGrid w:val="0"/>
                <w:color w:val="231F20"/>
                <w:spacing w:val="-1"/>
                <w:kern w:val="0"/>
                <w:sz w:val="18"/>
                <w:szCs w:val="20"/>
              </w:rPr>
              <w:t>,</w:t>
            </w:r>
            <w:r w:rsidRPr="002A5D94">
              <w:rPr>
                <w:rFonts w:ascii="宋体" w:hAnsi="宋体" w:cs="宋体"/>
                <w:snapToGrid w:val="0"/>
                <w:color w:val="231F20"/>
                <w:spacing w:val="-1"/>
                <w:kern w:val="0"/>
                <w:sz w:val="18"/>
                <w:szCs w:val="20"/>
              </w:rPr>
              <w:t>9.3.3</w:t>
            </w:r>
            <w:r w:rsidRPr="002A5D94">
              <w:rPr>
                <w:rFonts w:ascii="宋体" w:hAnsi="宋体" w:cs="宋体"/>
                <w:snapToGrid w:val="0"/>
                <w:color w:val="231F20"/>
                <w:spacing w:val="-2"/>
                <w:kern w:val="0"/>
                <w:sz w:val="18"/>
                <w:szCs w:val="20"/>
              </w:rPr>
              <w:t>和9</w:t>
            </w:r>
            <w:r w:rsidRPr="002A5D94">
              <w:rPr>
                <w:rFonts w:ascii="宋体" w:hAnsi="宋体" w:cs="宋体" w:hint="eastAsia"/>
                <w:snapToGrid w:val="0"/>
                <w:color w:val="231F20"/>
                <w:spacing w:val="-2"/>
                <w:kern w:val="0"/>
                <w:sz w:val="18"/>
                <w:szCs w:val="20"/>
              </w:rPr>
              <w:t>.</w:t>
            </w:r>
            <w:r w:rsidRPr="002A5D94">
              <w:rPr>
                <w:rFonts w:ascii="宋体" w:hAnsi="宋体" w:cs="宋体"/>
                <w:snapToGrid w:val="0"/>
                <w:color w:val="231F20"/>
                <w:spacing w:val="-2"/>
                <w:kern w:val="0"/>
                <w:sz w:val="18"/>
                <w:szCs w:val="20"/>
              </w:rPr>
              <w:t>3.6,</w:t>
            </w:r>
            <w:r w:rsidRPr="002A5D94">
              <w:rPr>
                <w:rFonts w:ascii="宋体" w:hAnsi="宋体" w:cs="宋体"/>
                <w:snapToGrid w:val="0"/>
                <w:color w:val="231F20"/>
                <w:spacing w:val="3"/>
                <w:kern w:val="0"/>
                <w:sz w:val="18"/>
                <w:szCs w:val="20"/>
              </w:rPr>
              <w:t xml:space="preserve"> </w:t>
            </w:r>
            <w:r w:rsidRPr="002A5D94">
              <w:rPr>
                <w:rFonts w:ascii="宋体" w:hAnsi="宋体" w:cs="宋体"/>
                <w:snapToGrid w:val="0"/>
                <w:color w:val="231F20"/>
                <w:kern w:val="0"/>
                <w:sz w:val="18"/>
                <w:szCs w:val="20"/>
              </w:rPr>
              <w:t>9.3.7</w:t>
            </w:r>
          </w:p>
        </w:tc>
        <w:tc>
          <w:tcPr>
            <w:tcW w:w="1861" w:type="dxa"/>
            <w:tcBorders>
              <w:top w:val="single" w:sz="8" w:space="0" w:color="231F20"/>
            </w:tcBorders>
            <w:shd w:val="clear" w:color="auto" w:fill="auto"/>
            <w:vAlign w:val="center"/>
          </w:tcPr>
          <w:p w:rsidR="00FD18C0" w:rsidRPr="002A5D94" w:rsidRDefault="00FD18C0" w:rsidP="002A5D94">
            <w:pPr>
              <w:kinsoku w:val="0"/>
              <w:autoSpaceDE w:val="0"/>
              <w:autoSpaceDN w:val="0"/>
              <w:snapToGrid w:val="0"/>
              <w:spacing w:before="2" w:line="240" w:lineRule="auto"/>
              <w:ind w:left="8" w:right="141" w:firstLine="12"/>
              <w:textAlignment w:val="baseline"/>
              <w:rPr>
                <w:rFonts w:ascii="宋体" w:hAnsi="宋体" w:cs="宋体"/>
                <w:snapToGrid w:val="0"/>
                <w:color w:val="000000"/>
                <w:kern w:val="0"/>
                <w:sz w:val="18"/>
                <w:szCs w:val="20"/>
              </w:rPr>
            </w:pPr>
            <w:r w:rsidRPr="002A5D94">
              <w:rPr>
                <w:rFonts w:ascii="宋体" w:hAnsi="宋体" w:cs="宋体" w:hint="eastAsia"/>
                <w:snapToGrid w:val="0"/>
                <w:color w:val="000000"/>
                <w:kern w:val="0"/>
                <w:sz w:val="18"/>
                <w:szCs w:val="20"/>
              </w:rPr>
              <w:t>9.1.1至9.1.5, 9.2.1至9.2.3,9.3.1至9.3.3, 9.4.1至9.4.3</w:t>
            </w:r>
          </w:p>
        </w:tc>
      </w:tr>
      <w:tr w:rsidR="00FD18C0" w:rsidRPr="002A5D94" w:rsidTr="002A5D94">
        <w:trPr>
          <w:trHeight w:val="1349"/>
        </w:trPr>
        <w:tc>
          <w:tcPr>
            <w:tcW w:w="1521" w:type="dxa"/>
            <w:shd w:val="clear" w:color="auto" w:fill="auto"/>
            <w:vAlign w:val="center"/>
          </w:tcPr>
          <w:p w:rsidR="00FD18C0" w:rsidRPr="002A5D94" w:rsidRDefault="00FD18C0" w:rsidP="002A5D94">
            <w:pPr>
              <w:kinsoku w:val="0"/>
              <w:autoSpaceDE w:val="0"/>
              <w:autoSpaceDN w:val="0"/>
              <w:snapToGrid w:val="0"/>
              <w:spacing w:before="58" w:line="240" w:lineRule="auto"/>
              <w:ind w:firstLine="59"/>
              <w:textAlignment w:val="baseline"/>
              <w:rPr>
                <w:rFonts w:ascii="宋体" w:hAnsi="宋体" w:cs="宋体"/>
                <w:snapToGrid w:val="0"/>
                <w:color w:val="000000"/>
                <w:kern w:val="0"/>
                <w:sz w:val="18"/>
                <w:szCs w:val="19"/>
              </w:rPr>
            </w:pPr>
            <w:r w:rsidRPr="002A5D94">
              <w:rPr>
                <w:rFonts w:ascii="宋体" w:hAnsi="宋体" w:cs="宋体" w:hint="eastAsia"/>
                <w:snapToGrid w:val="0"/>
                <w:color w:val="000000"/>
                <w:kern w:val="0"/>
                <w:sz w:val="18"/>
                <w:szCs w:val="19"/>
              </w:rPr>
              <w:t>特殊的输送系统或在辐照装置中为人工放置产品而设计的固定位置</w:t>
            </w:r>
          </w:p>
        </w:tc>
        <w:tc>
          <w:tcPr>
            <w:tcW w:w="1842" w:type="dxa"/>
            <w:shd w:val="clear" w:color="auto" w:fill="auto"/>
            <w:vAlign w:val="center"/>
          </w:tcPr>
          <w:p w:rsidR="00FD18C0" w:rsidRPr="002A5D94" w:rsidRDefault="00FD18C0" w:rsidP="002A5D94">
            <w:pPr>
              <w:kinsoku w:val="0"/>
              <w:autoSpaceDE w:val="0"/>
              <w:autoSpaceDN w:val="0"/>
              <w:snapToGrid w:val="0"/>
              <w:spacing w:before="91" w:line="240" w:lineRule="auto"/>
              <w:ind w:firstLine="50"/>
              <w:textAlignment w:val="baseline"/>
              <w:rPr>
                <w:rFonts w:ascii="宋体" w:hAnsi="宋体" w:cs="宋体"/>
                <w:snapToGrid w:val="0"/>
                <w:color w:val="000000"/>
                <w:kern w:val="0"/>
                <w:sz w:val="18"/>
                <w:szCs w:val="20"/>
              </w:rPr>
            </w:pPr>
            <w:r w:rsidRPr="002A5D94">
              <w:rPr>
                <w:rFonts w:ascii="宋体" w:hAnsi="宋体" w:cs="宋体"/>
                <w:snapToGrid w:val="0"/>
                <w:color w:val="231F20"/>
                <w:spacing w:val="-1"/>
                <w:kern w:val="0"/>
                <w:sz w:val="18"/>
                <w:szCs w:val="20"/>
              </w:rPr>
              <w:t>产品的</w:t>
            </w:r>
            <w:r w:rsidRPr="002A5D94">
              <w:rPr>
                <w:rFonts w:ascii="宋体" w:hAnsi="宋体" w:cs="宋体"/>
                <w:snapToGrid w:val="0"/>
                <w:color w:val="231F20"/>
                <w:spacing w:val="-3"/>
                <w:kern w:val="0"/>
                <w:sz w:val="18"/>
                <w:szCs w:val="20"/>
              </w:rPr>
              <w:t>剂量</w:t>
            </w:r>
            <w:r w:rsidRPr="002A5D94">
              <w:rPr>
                <w:rFonts w:ascii="宋体" w:hAnsi="宋体" w:cs="宋体" w:hint="eastAsia"/>
                <w:snapToGrid w:val="0"/>
                <w:color w:val="231F20"/>
                <w:spacing w:val="-3"/>
                <w:kern w:val="0"/>
                <w:sz w:val="18"/>
                <w:szCs w:val="20"/>
              </w:rPr>
              <w:t>分布</w:t>
            </w:r>
            <w:proofErr w:type="spellStart"/>
            <w:r w:rsidRPr="002A5D94">
              <w:rPr>
                <w:rFonts w:ascii="宋体" w:hAnsi="宋体" w:cs="宋体"/>
                <w:snapToGrid w:val="0"/>
                <w:color w:val="231F20"/>
                <w:spacing w:val="-3"/>
                <w:kern w:val="0"/>
                <w:sz w:val="18"/>
                <w:szCs w:val="20"/>
                <w:vertAlign w:val="superscript"/>
              </w:rPr>
              <w:t>a,b</w:t>
            </w:r>
            <w:proofErr w:type="spellEnd"/>
          </w:p>
        </w:tc>
        <w:tc>
          <w:tcPr>
            <w:tcW w:w="1276" w:type="dxa"/>
            <w:shd w:val="clear" w:color="auto" w:fill="auto"/>
            <w:vAlign w:val="center"/>
          </w:tcPr>
          <w:p w:rsidR="00FD18C0" w:rsidRPr="002A5D94" w:rsidRDefault="00FD18C0" w:rsidP="002A5D94">
            <w:pPr>
              <w:kinsoku w:val="0"/>
              <w:autoSpaceDE w:val="0"/>
              <w:autoSpaceDN w:val="0"/>
              <w:snapToGrid w:val="0"/>
              <w:spacing w:before="65" w:line="240" w:lineRule="auto"/>
              <w:ind w:firstLine="508"/>
              <w:textAlignment w:val="baseline"/>
              <w:rPr>
                <w:rFonts w:ascii="宋体" w:hAnsi="宋体" w:cs="宋体"/>
                <w:snapToGrid w:val="0"/>
                <w:color w:val="000000"/>
                <w:kern w:val="0"/>
                <w:sz w:val="18"/>
                <w:szCs w:val="20"/>
              </w:rPr>
            </w:pPr>
            <w:r w:rsidRPr="002A5D94">
              <w:rPr>
                <w:rFonts w:ascii="宋体" w:hAnsi="宋体" w:cs="宋体"/>
                <w:snapToGrid w:val="0"/>
                <w:color w:val="231F20"/>
                <w:spacing w:val="-1"/>
                <w:kern w:val="0"/>
                <w:sz w:val="18"/>
                <w:szCs w:val="20"/>
              </w:rPr>
              <w:t>N/A</w:t>
            </w:r>
          </w:p>
        </w:tc>
        <w:tc>
          <w:tcPr>
            <w:tcW w:w="1398" w:type="dxa"/>
            <w:shd w:val="clear" w:color="auto" w:fill="auto"/>
            <w:vAlign w:val="center"/>
          </w:tcPr>
          <w:p w:rsidR="00FD18C0" w:rsidRPr="002A5D94" w:rsidRDefault="00FD18C0" w:rsidP="002A5D94">
            <w:pPr>
              <w:kinsoku w:val="0"/>
              <w:autoSpaceDE w:val="0"/>
              <w:autoSpaceDN w:val="0"/>
              <w:snapToGrid w:val="0"/>
              <w:spacing w:line="240" w:lineRule="auto"/>
              <w:ind w:firstLine="502"/>
              <w:textAlignment w:val="center"/>
              <w:rPr>
                <w:rFonts w:ascii="Arial" w:eastAsia="Arial" w:hAnsi="Arial" w:cs="Arial"/>
                <w:snapToGrid w:val="0"/>
                <w:color w:val="000000"/>
                <w:kern w:val="0"/>
                <w:sz w:val="18"/>
              </w:rPr>
            </w:pPr>
            <w:r w:rsidRPr="002A5D94">
              <w:rPr>
                <w:rFonts w:ascii="Arial" w:eastAsia="Arial" w:hAnsi="Arial" w:cs="Arial"/>
                <w:noProof/>
                <w:snapToGrid w:val="0"/>
                <w:color w:val="000000"/>
                <w:kern w:val="0"/>
                <w:sz w:val="18"/>
              </w:rPr>
              <w:drawing>
                <wp:inline distT="0" distB="0" distL="0" distR="0">
                  <wp:extent cx="83820" cy="137160"/>
                  <wp:effectExtent l="0" t="0" r="0" b="0"/>
                  <wp:docPr id="18" name="图片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 61"/>
                          <pic:cNvPicPr>
                            <a:picLocks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820" cy="137160"/>
                          </a:xfrm>
                          <a:prstGeom prst="rect">
                            <a:avLst/>
                          </a:prstGeom>
                          <a:noFill/>
                          <a:ln>
                            <a:noFill/>
                          </a:ln>
                        </pic:spPr>
                      </pic:pic>
                    </a:graphicData>
                  </a:graphic>
                </wp:inline>
              </w:drawing>
            </w:r>
          </w:p>
        </w:tc>
        <w:tc>
          <w:tcPr>
            <w:tcW w:w="1837" w:type="dxa"/>
            <w:shd w:val="clear" w:color="auto" w:fill="auto"/>
            <w:vAlign w:val="center"/>
          </w:tcPr>
          <w:p w:rsidR="00FD18C0" w:rsidRPr="002A5D94" w:rsidRDefault="00FD18C0" w:rsidP="002A5D94">
            <w:pPr>
              <w:kinsoku w:val="0"/>
              <w:autoSpaceDE w:val="0"/>
              <w:autoSpaceDN w:val="0"/>
              <w:snapToGrid w:val="0"/>
              <w:spacing w:before="65" w:line="240" w:lineRule="auto"/>
              <w:ind w:firstLine="313"/>
              <w:textAlignment w:val="baseline"/>
              <w:rPr>
                <w:rFonts w:ascii="宋体" w:hAnsi="宋体" w:cs="宋体"/>
                <w:snapToGrid w:val="0"/>
                <w:color w:val="000000"/>
                <w:kern w:val="0"/>
                <w:sz w:val="18"/>
                <w:szCs w:val="20"/>
              </w:rPr>
            </w:pPr>
            <w:r w:rsidRPr="002A5D94">
              <w:rPr>
                <w:rFonts w:ascii="宋体" w:hAnsi="宋体" w:cs="宋体"/>
                <w:snapToGrid w:val="0"/>
                <w:color w:val="231F20"/>
                <w:kern w:val="0"/>
                <w:sz w:val="18"/>
                <w:szCs w:val="20"/>
              </w:rPr>
              <w:t>9.3.2和9.3</w:t>
            </w:r>
            <w:r w:rsidRPr="002A5D94">
              <w:rPr>
                <w:rFonts w:ascii="宋体" w:hAnsi="宋体" w:cs="宋体" w:hint="eastAsia"/>
                <w:snapToGrid w:val="0"/>
                <w:color w:val="231F20"/>
                <w:kern w:val="0"/>
                <w:sz w:val="18"/>
                <w:szCs w:val="20"/>
              </w:rPr>
              <w:t>.</w:t>
            </w:r>
            <w:r w:rsidRPr="002A5D94">
              <w:rPr>
                <w:rFonts w:ascii="宋体" w:hAnsi="宋体" w:cs="宋体"/>
                <w:snapToGrid w:val="0"/>
                <w:color w:val="231F20"/>
                <w:kern w:val="0"/>
                <w:sz w:val="18"/>
                <w:szCs w:val="20"/>
              </w:rPr>
              <w:t>6</w:t>
            </w:r>
          </w:p>
        </w:tc>
        <w:tc>
          <w:tcPr>
            <w:tcW w:w="1861" w:type="dxa"/>
            <w:shd w:val="clear" w:color="auto" w:fill="auto"/>
            <w:vAlign w:val="center"/>
          </w:tcPr>
          <w:p w:rsidR="00FD18C0" w:rsidRPr="002A5D94" w:rsidRDefault="00FD18C0" w:rsidP="002A5D94">
            <w:pPr>
              <w:kinsoku w:val="0"/>
              <w:autoSpaceDE w:val="0"/>
              <w:autoSpaceDN w:val="0"/>
              <w:snapToGrid w:val="0"/>
              <w:spacing w:before="66" w:line="240" w:lineRule="auto"/>
              <w:ind w:firstLine="776"/>
              <w:textAlignment w:val="baseline"/>
              <w:rPr>
                <w:rFonts w:ascii="宋体" w:hAnsi="宋体" w:cs="宋体"/>
                <w:snapToGrid w:val="0"/>
                <w:color w:val="000000"/>
                <w:kern w:val="0"/>
                <w:sz w:val="18"/>
                <w:szCs w:val="20"/>
              </w:rPr>
            </w:pPr>
            <w:r w:rsidRPr="002A5D94">
              <w:rPr>
                <w:rFonts w:ascii="宋体" w:hAnsi="宋体" w:cs="宋体"/>
                <w:snapToGrid w:val="0"/>
                <w:color w:val="231F20"/>
                <w:spacing w:val="-1"/>
                <w:kern w:val="0"/>
                <w:sz w:val="18"/>
                <w:szCs w:val="20"/>
              </w:rPr>
              <w:t>N/A</w:t>
            </w:r>
          </w:p>
        </w:tc>
      </w:tr>
      <w:tr w:rsidR="00FD18C0" w:rsidRPr="002A5D94" w:rsidTr="002A5D94">
        <w:trPr>
          <w:trHeight w:val="1008"/>
        </w:trPr>
        <w:tc>
          <w:tcPr>
            <w:tcW w:w="1521" w:type="dxa"/>
            <w:shd w:val="clear" w:color="auto" w:fill="auto"/>
            <w:vAlign w:val="center"/>
          </w:tcPr>
          <w:p w:rsidR="00FD18C0" w:rsidRPr="002A5D94" w:rsidRDefault="00FD18C0" w:rsidP="002A5D94">
            <w:pPr>
              <w:kinsoku w:val="0"/>
              <w:autoSpaceDE w:val="0"/>
              <w:autoSpaceDN w:val="0"/>
              <w:snapToGrid w:val="0"/>
              <w:spacing w:before="93" w:line="240" w:lineRule="auto"/>
              <w:ind w:firstLine="52"/>
              <w:textAlignment w:val="baseline"/>
              <w:rPr>
                <w:rFonts w:ascii="宋体" w:hAnsi="宋体" w:cs="宋体"/>
                <w:snapToGrid w:val="0"/>
                <w:color w:val="000000"/>
                <w:kern w:val="0"/>
                <w:sz w:val="18"/>
                <w:szCs w:val="20"/>
              </w:rPr>
            </w:pPr>
            <w:r w:rsidRPr="002A5D94">
              <w:rPr>
                <w:rFonts w:ascii="宋体" w:hAnsi="宋体" w:cs="宋体"/>
                <w:snapToGrid w:val="0"/>
                <w:color w:val="231F20"/>
                <w:spacing w:val="-3"/>
                <w:kern w:val="0"/>
                <w:sz w:val="18"/>
                <w:szCs w:val="20"/>
              </w:rPr>
              <w:t>过渡研究</w:t>
            </w:r>
          </w:p>
        </w:tc>
        <w:tc>
          <w:tcPr>
            <w:tcW w:w="1842" w:type="dxa"/>
            <w:shd w:val="clear" w:color="auto" w:fill="auto"/>
            <w:vAlign w:val="center"/>
          </w:tcPr>
          <w:p w:rsidR="00FD18C0" w:rsidRPr="002A5D94" w:rsidRDefault="00FD18C0" w:rsidP="002A5D94">
            <w:pPr>
              <w:kinsoku w:val="0"/>
              <w:autoSpaceDE w:val="0"/>
              <w:autoSpaceDN w:val="0"/>
              <w:snapToGrid w:val="0"/>
              <w:spacing w:before="61" w:line="240" w:lineRule="auto"/>
              <w:ind w:left="43" w:right="267" w:firstLine="5"/>
              <w:textAlignment w:val="baseline"/>
              <w:rPr>
                <w:rFonts w:ascii="宋体" w:hAnsi="宋体" w:cs="宋体"/>
                <w:snapToGrid w:val="0"/>
                <w:color w:val="000000"/>
                <w:kern w:val="0"/>
                <w:sz w:val="18"/>
                <w:szCs w:val="19"/>
              </w:rPr>
            </w:pPr>
            <w:r w:rsidRPr="002A5D94">
              <w:rPr>
                <w:rFonts w:ascii="宋体" w:hAnsi="宋体" w:cs="宋体"/>
                <w:snapToGrid w:val="0"/>
                <w:color w:val="231F20"/>
                <w:spacing w:val="-1"/>
                <w:kern w:val="0"/>
                <w:sz w:val="18"/>
                <w:szCs w:val="19"/>
              </w:rPr>
              <w:t>在不同密度之间</w:t>
            </w:r>
            <w:r w:rsidRPr="002A5D94">
              <w:rPr>
                <w:rFonts w:ascii="宋体" w:hAnsi="宋体" w:cs="宋体"/>
                <w:snapToGrid w:val="0"/>
                <w:color w:val="231F20"/>
                <w:spacing w:val="-3"/>
                <w:kern w:val="0"/>
                <w:sz w:val="18"/>
                <w:szCs w:val="19"/>
              </w:rPr>
              <w:t>转换时</w:t>
            </w:r>
            <w:r w:rsidRPr="002A5D94">
              <w:rPr>
                <w:rFonts w:ascii="宋体" w:hAnsi="宋体" w:cs="宋体"/>
                <w:snapToGrid w:val="0"/>
                <w:color w:val="231F20"/>
                <w:spacing w:val="-1"/>
                <w:kern w:val="0"/>
                <w:sz w:val="18"/>
                <w:szCs w:val="19"/>
              </w:rPr>
              <w:t>对剂量</w:t>
            </w:r>
            <w:r w:rsidRPr="002A5D94">
              <w:rPr>
                <w:rFonts w:ascii="宋体" w:hAnsi="宋体" w:cs="宋体" w:hint="eastAsia"/>
                <w:snapToGrid w:val="0"/>
                <w:color w:val="231F20"/>
                <w:spacing w:val="-1"/>
                <w:kern w:val="0"/>
                <w:sz w:val="18"/>
                <w:szCs w:val="19"/>
              </w:rPr>
              <w:t>传递</w:t>
            </w:r>
            <w:r w:rsidRPr="002A5D94">
              <w:rPr>
                <w:rFonts w:ascii="宋体" w:hAnsi="宋体" w:cs="宋体"/>
                <w:snapToGrid w:val="0"/>
                <w:color w:val="231F20"/>
                <w:spacing w:val="-1"/>
                <w:kern w:val="0"/>
                <w:sz w:val="18"/>
                <w:szCs w:val="19"/>
              </w:rPr>
              <w:t>的影响</w:t>
            </w:r>
          </w:p>
        </w:tc>
        <w:tc>
          <w:tcPr>
            <w:tcW w:w="1276" w:type="dxa"/>
            <w:shd w:val="clear" w:color="auto" w:fill="auto"/>
            <w:vAlign w:val="center"/>
          </w:tcPr>
          <w:p w:rsidR="00FD18C0" w:rsidRPr="002A5D94" w:rsidRDefault="00FD18C0" w:rsidP="002A5D94">
            <w:pPr>
              <w:kinsoku w:val="0"/>
              <w:autoSpaceDE w:val="0"/>
              <w:autoSpaceDN w:val="0"/>
              <w:snapToGrid w:val="0"/>
              <w:spacing w:line="240" w:lineRule="auto"/>
              <w:ind w:firstLine="600"/>
              <w:textAlignment w:val="center"/>
              <w:rPr>
                <w:rFonts w:ascii="Arial" w:eastAsia="Arial" w:hAnsi="Arial" w:cs="Arial"/>
                <w:snapToGrid w:val="0"/>
                <w:color w:val="000000"/>
                <w:kern w:val="0"/>
                <w:sz w:val="18"/>
              </w:rPr>
            </w:pPr>
            <w:r w:rsidRPr="002A5D94">
              <w:rPr>
                <w:rFonts w:ascii="Arial" w:eastAsia="Arial" w:hAnsi="Arial" w:cs="Arial"/>
                <w:noProof/>
                <w:snapToGrid w:val="0"/>
                <w:color w:val="000000"/>
                <w:kern w:val="0"/>
                <w:sz w:val="18"/>
              </w:rPr>
              <w:drawing>
                <wp:inline distT="0" distB="0" distL="0" distR="0">
                  <wp:extent cx="83820" cy="137160"/>
                  <wp:effectExtent l="0" t="0" r="0" b="0"/>
                  <wp:docPr id="17" name="图片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 62"/>
                          <pic:cNvPicPr>
                            <a:picLocks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820" cy="137160"/>
                          </a:xfrm>
                          <a:prstGeom prst="rect">
                            <a:avLst/>
                          </a:prstGeom>
                          <a:noFill/>
                          <a:ln>
                            <a:noFill/>
                          </a:ln>
                        </pic:spPr>
                      </pic:pic>
                    </a:graphicData>
                  </a:graphic>
                </wp:inline>
              </w:drawing>
            </w:r>
          </w:p>
        </w:tc>
        <w:tc>
          <w:tcPr>
            <w:tcW w:w="1398" w:type="dxa"/>
            <w:shd w:val="clear" w:color="auto" w:fill="auto"/>
            <w:vAlign w:val="center"/>
          </w:tcPr>
          <w:p w:rsidR="00FD18C0" w:rsidRPr="002A5D94" w:rsidRDefault="00FD18C0" w:rsidP="002A5D94">
            <w:pPr>
              <w:kinsoku w:val="0"/>
              <w:autoSpaceDE w:val="0"/>
              <w:autoSpaceDN w:val="0"/>
              <w:snapToGrid w:val="0"/>
              <w:spacing w:before="65" w:line="240" w:lineRule="auto"/>
              <w:ind w:firstLine="410"/>
              <w:textAlignment w:val="baseline"/>
              <w:rPr>
                <w:rFonts w:ascii="宋体" w:hAnsi="宋体" w:cs="宋体"/>
                <w:snapToGrid w:val="0"/>
                <w:color w:val="000000"/>
                <w:kern w:val="0"/>
                <w:sz w:val="18"/>
                <w:szCs w:val="20"/>
              </w:rPr>
            </w:pPr>
            <w:r w:rsidRPr="002A5D94">
              <w:rPr>
                <w:rFonts w:ascii="宋体" w:hAnsi="宋体" w:cs="宋体"/>
                <w:snapToGrid w:val="0"/>
                <w:color w:val="231F20"/>
                <w:spacing w:val="-1"/>
                <w:kern w:val="0"/>
                <w:sz w:val="18"/>
                <w:szCs w:val="20"/>
              </w:rPr>
              <w:t>N/A</w:t>
            </w:r>
          </w:p>
        </w:tc>
        <w:tc>
          <w:tcPr>
            <w:tcW w:w="1837" w:type="dxa"/>
            <w:shd w:val="clear" w:color="auto" w:fill="auto"/>
            <w:vAlign w:val="center"/>
          </w:tcPr>
          <w:p w:rsidR="00FD18C0" w:rsidRPr="002A5D94" w:rsidRDefault="00FD18C0" w:rsidP="002A5D94">
            <w:pPr>
              <w:kinsoku w:val="0"/>
              <w:autoSpaceDE w:val="0"/>
              <w:autoSpaceDN w:val="0"/>
              <w:snapToGrid w:val="0"/>
              <w:spacing w:before="65" w:line="240" w:lineRule="auto"/>
              <w:ind w:firstLine="733"/>
              <w:textAlignment w:val="baseline"/>
              <w:rPr>
                <w:rFonts w:ascii="宋体" w:hAnsi="宋体" w:cs="宋体"/>
                <w:snapToGrid w:val="0"/>
                <w:color w:val="000000"/>
                <w:kern w:val="0"/>
                <w:sz w:val="18"/>
                <w:szCs w:val="20"/>
              </w:rPr>
            </w:pPr>
            <w:r w:rsidRPr="002A5D94">
              <w:rPr>
                <w:rFonts w:ascii="宋体" w:hAnsi="宋体" w:cs="宋体"/>
                <w:snapToGrid w:val="0"/>
                <w:color w:val="231F20"/>
                <w:kern w:val="0"/>
                <w:sz w:val="18"/>
                <w:szCs w:val="20"/>
              </w:rPr>
              <w:t>9.3.7</w:t>
            </w:r>
          </w:p>
        </w:tc>
        <w:tc>
          <w:tcPr>
            <w:tcW w:w="1861" w:type="dxa"/>
            <w:shd w:val="clear" w:color="auto" w:fill="auto"/>
            <w:vAlign w:val="center"/>
          </w:tcPr>
          <w:p w:rsidR="00FD18C0" w:rsidRPr="002A5D94" w:rsidRDefault="00FD18C0" w:rsidP="002A5D94">
            <w:pPr>
              <w:kinsoku w:val="0"/>
              <w:autoSpaceDE w:val="0"/>
              <w:autoSpaceDN w:val="0"/>
              <w:snapToGrid w:val="0"/>
              <w:spacing w:before="88" w:line="240" w:lineRule="auto"/>
              <w:ind w:firstLine="334"/>
              <w:textAlignment w:val="center"/>
              <w:rPr>
                <w:rFonts w:ascii="宋体" w:hAnsi="宋体" w:cs="Arial"/>
                <w:snapToGrid w:val="0"/>
                <w:color w:val="000000"/>
                <w:kern w:val="0"/>
                <w:sz w:val="18"/>
              </w:rPr>
            </w:pPr>
            <w:r w:rsidRPr="002A5D94">
              <w:rPr>
                <w:rFonts w:ascii="宋体" w:hAnsi="宋体" w:cs="Arial"/>
                <w:snapToGrid w:val="0"/>
                <w:color w:val="000000"/>
                <w:kern w:val="0"/>
                <w:sz w:val="18"/>
              </w:rPr>
              <w:t>9.2.1.4, 9.4.1.4</w:t>
            </w:r>
          </w:p>
        </w:tc>
      </w:tr>
      <w:tr w:rsidR="00FD18C0" w:rsidRPr="002A5D94" w:rsidTr="002A5D94">
        <w:trPr>
          <w:trHeight w:val="992"/>
        </w:trPr>
        <w:tc>
          <w:tcPr>
            <w:tcW w:w="1521" w:type="dxa"/>
            <w:shd w:val="clear" w:color="auto" w:fill="auto"/>
            <w:vAlign w:val="center"/>
          </w:tcPr>
          <w:p w:rsidR="00FD18C0" w:rsidRPr="002A5D94" w:rsidRDefault="00FD18C0" w:rsidP="002A5D94">
            <w:pPr>
              <w:kinsoku w:val="0"/>
              <w:autoSpaceDE w:val="0"/>
              <w:autoSpaceDN w:val="0"/>
              <w:snapToGrid w:val="0"/>
              <w:spacing w:before="18" w:line="240" w:lineRule="auto"/>
              <w:ind w:firstLine="49"/>
              <w:textAlignment w:val="baseline"/>
              <w:rPr>
                <w:rFonts w:ascii="宋体" w:hAnsi="宋体" w:cs="宋体"/>
                <w:snapToGrid w:val="0"/>
                <w:color w:val="000000"/>
                <w:kern w:val="0"/>
                <w:sz w:val="18"/>
                <w:szCs w:val="20"/>
              </w:rPr>
            </w:pPr>
            <w:r w:rsidRPr="002A5D94">
              <w:rPr>
                <w:rFonts w:ascii="宋体" w:hAnsi="宋体" w:cs="宋体"/>
                <w:snapToGrid w:val="0"/>
                <w:color w:val="231F20"/>
                <w:spacing w:val="-2"/>
                <w:kern w:val="0"/>
                <w:sz w:val="18"/>
                <w:szCs w:val="20"/>
              </w:rPr>
              <w:t>变异性</w:t>
            </w:r>
          </w:p>
        </w:tc>
        <w:tc>
          <w:tcPr>
            <w:tcW w:w="1842" w:type="dxa"/>
            <w:shd w:val="clear" w:color="auto" w:fill="auto"/>
            <w:vAlign w:val="center"/>
          </w:tcPr>
          <w:p w:rsidR="00FD18C0" w:rsidRPr="002A5D94" w:rsidRDefault="00FD18C0" w:rsidP="00316DD7">
            <w:pPr>
              <w:kinsoku w:val="0"/>
              <w:autoSpaceDE w:val="0"/>
              <w:autoSpaceDN w:val="0"/>
              <w:snapToGrid w:val="0"/>
              <w:spacing w:before="62" w:line="240" w:lineRule="auto"/>
              <w:ind w:rightChars="75" w:right="158"/>
              <w:textAlignment w:val="baseline"/>
              <w:rPr>
                <w:rFonts w:ascii="宋体" w:hAnsi="宋体" w:cs="宋体"/>
                <w:snapToGrid w:val="0"/>
                <w:color w:val="000000"/>
                <w:kern w:val="0"/>
                <w:sz w:val="18"/>
                <w:szCs w:val="19"/>
              </w:rPr>
            </w:pPr>
            <w:r w:rsidRPr="002A5D94">
              <w:rPr>
                <w:rFonts w:ascii="宋体" w:hAnsi="宋体" w:cs="宋体"/>
                <w:snapToGrid w:val="0"/>
                <w:color w:val="231F20"/>
                <w:spacing w:val="-2"/>
                <w:kern w:val="0"/>
                <w:sz w:val="18"/>
                <w:szCs w:val="19"/>
              </w:rPr>
              <w:t>评估辐照容器之间的剂量</w:t>
            </w:r>
            <w:r w:rsidRPr="002A5D94">
              <w:rPr>
                <w:rFonts w:ascii="宋体" w:hAnsi="宋体" w:cs="宋体" w:hint="eastAsia"/>
                <w:snapToGrid w:val="0"/>
                <w:color w:val="231F20"/>
                <w:spacing w:val="-2"/>
                <w:kern w:val="0"/>
                <w:sz w:val="18"/>
                <w:szCs w:val="19"/>
              </w:rPr>
              <w:t>变异性</w:t>
            </w:r>
          </w:p>
        </w:tc>
        <w:tc>
          <w:tcPr>
            <w:tcW w:w="1276" w:type="dxa"/>
            <w:shd w:val="clear" w:color="auto" w:fill="auto"/>
            <w:vAlign w:val="center"/>
          </w:tcPr>
          <w:p w:rsidR="00FD18C0" w:rsidRPr="002A5D94" w:rsidRDefault="00FD18C0" w:rsidP="002A5D94">
            <w:pPr>
              <w:kinsoku w:val="0"/>
              <w:autoSpaceDE w:val="0"/>
              <w:autoSpaceDN w:val="0"/>
              <w:snapToGrid w:val="0"/>
              <w:spacing w:line="240" w:lineRule="auto"/>
              <w:ind w:firstLine="600"/>
              <w:textAlignment w:val="center"/>
              <w:rPr>
                <w:rFonts w:ascii="Arial" w:eastAsia="Arial" w:hAnsi="Arial" w:cs="Arial"/>
                <w:snapToGrid w:val="0"/>
                <w:color w:val="000000"/>
                <w:kern w:val="0"/>
                <w:sz w:val="18"/>
              </w:rPr>
            </w:pPr>
            <w:r w:rsidRPr="002A5D94">
              <w:rPr>
                <w:rFonts w:ascii="Arial" w:eastAsia="Arial" w:hAnsi="Arial" w:cs="Arial"/>
                <w:noProof/>
                <w:snapToGrid w:val="0"/>
                <w:color w:val="000000"/>
                <w:kern w:val="0"/>
                <w:sz w:val="18"/>
              </w:rPr>
              <w:drawing>
                <wp:inline distT="0" distB="0" distL="0" distR="0">
                  <wp:extent cx="83820" cy="137160"/>
                  <wp:effectExtent l="0" t="0" r="0" b="0"/>
                  <wp:docPr id="16" name="图片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 63"/>
                          <pic:cNvPicPr>
                            <a:picLocks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820" cy="137160"/>
                          </a:xfrm>
                          <a:prstGeom prst="rect">
                            <a:avLst/>
                          </a:prstGeom>
                          <a:noFill/>
                          <a:ln>
                            <a:noFill/>
                          </a:ln>
                        </pic:spPr>
                      </pic:pic>
                    </a:graphicData>
                  </a:graphic>
                </wp:inline>
              </w:drawing>
            </w:r>
          </w:p>
        </w:tc>
        <w:tc>
          <w:tcPr>
            <w:tcW w:w="1398" w:type="dxa"/>
            <w:shd w:val="clear" w:color="auto" w:fill="auto"/>
            <w:vAlign w:val="center"/>
          </w:tcPr>
          <w:p w:rsidR="00FD18C0" w:rsidRPr="002A5D94" w:rsidRDefault="00FD18C0" w:rsidP="002A5D94">
            <w:pPr>
              <w:kinsoku w:val="0"/>
              <w:autoSpaceDE w:val="0"/>
              <w:autoSpaceDN w:val="0"/>
              <w:snapToGrid w:val="0"/>
              <w:spacing w:before="65" w:line="240" w:lineRule="auto"/>
              <w:ind w:firstLine="410"/>
              <w:textAlignment w:val="baseline"/>
              <w:rPr>
                <w:rFonts w:ascii="宋体" w:hAnsi="宋体" w:cs="宋体"/>
                <w:snapToGrid w:val="0"/>
                <w:color w:val="000000"/>
                <w:kern w:val="0"/>
                <w:sz w:val="18"/>
                <w:szCs w:val="20"/>
              </w:rPr>
            </w:pPr>
            <w:r w:rsidRPr="002A5D94">
              <w:rPr>
                <w:rFonts w:ascii="宋体" w:hAnsi="宋体" w:cs="宋体"/>
                <w:snapToGrid w:val="0"/>
                <w:color w:val="231F20"/>
                <w:spacing w:val="-1"/>
                <w:kern w:val="0"/>
                <w:sz w:val="18"/>
                <w:szCs w:val="20"/>
              </w:rPr>
              <w:t>N/A</w:t>
            </w:r>
          </w:p>
        </w:tc>
        <w:tc>
          <w:tcPr>
            <w:tcW w:w="1837" w:type="dxa"/>
            <w:shd w:val="clear" w:color="auto" w:fill="auto"/>
            <w:vAlign w:val="center"/>
          </w:tcPr>
          <w:p w:rsidR="00FD18C0" w:rsidRPr="002A5D94" w:rsidRDefault="00FD18C0" w:rsidP="002A5D94">
            <w:pPr>
              <w:kinsoku w:val="0"/>
              <w:autoSpaceDE w:val="0"/>
              <w:autoSpaceDN w:val="0"/>
              <w:snapToGrid w:val="0"/>
              <w:spacing w:before="65" w:line="240" w:lineRule="auto"/>
              <w:ind w:firstLine="728"/>
              <w:textAlignment w:val="baseline"/>
              <w:rPr>
                <w:rFonts w:ascii="宋体" w:hAnsi="宋体" w:cs="宋体"/>
                <w:snapToGrid w:val="0"/>
                <w:color w:val="000000"/>
                <w:kern w:val="0"/>
                <w:sz w:val="18"/>
                <w:szCs w:val="20"/>
              </w:rPr>
            </w:pPr>
            <w:r w:rsidRPr="002A5D94">
              <w:rPr>
                <w:rFonts w:ascii="宋体" w:hAnsi="宋体" w:cs="宋体"/>
                <w:snapToGrid w:val="0"/>
                <w:color w:val="231F20"/>
                <w:kern w:val="0"/>
                <w:sz w:val="18"/>
                <w:szCs w:val="20"/>
              </w:rPr>
              <w:t>9.3.5</w:t>
            </w:r>
          </w:p>
        </w:tc>
        <w:tc>
          <w:tcPr>
            <w:tcW w:w="1861" w:type="dxa"/>
            <w:shd w:val="clear" w:color="auto" w:fill="auto"/>
            <w:vAlign w:val="center"/>
          </w:tcPr>
          <w:p w:rsidR="00FD18C0" w:rsidRPr="002A5D94" w:rsidRDefault="00FD18C0" w:rsidP="002A5D94">
            <w:pPr>
              <w:kinsoku w:val="0"/>
              <w:autoSpaceDE w:val="0"/>
              <w:autoSpaceDN w:val="0"/>
              <w:snapToGrid w:val="0"/>
              <w:spacing w:before="82" w:line="240" w:lineRule="auto"/>
              <w:jc w:val="center"/>
              <w:textAlignment w:val="baseline"/>
              <w:rPr>
                <w:rFonts w:ascii="宋体" w:hAnsi="宋体" w:cs="宋体"/>
                <w:snapToGrid w:val="0"/>
                <w:color w:val="000000"/>
                <w:kern w:val="0"/>
                <w:sz w:val="18"/>
                <w:szCs w:val="20"/>
              </w:rPr>
            </w:pPr>
            <w:r w:rsidRPr="002A5D94">
              <w:rPr>
                <w:rFonts w:ascii="宋体" w:hAnsi="宋体" w:cs="宋体" w:hint="eastAsia"/>
                <w:snapToGrid w:val="0"/>
                <w:color w:val="000000"/>
                <w:kern w:val="0"/>
                <w:sz w:val="18"/>
                <w:szCs w:val="20"/>
              </w:rPr>
              <w:t>9</w:t>
            </w:r>
            <w:r w:rsidRPr="002A5D94">
              <w:rPr>
                <w:rFonts w:ascii="宋体" w:hAnsi="宋体" w:cs="宋体"/>
                <w:snapToGrid w:val="0"/>
                <w:color w:val="000000"/>
                <w:kern w:val="0"/>
                <w:sz w:val="18"/>
                <w:szCs w:val="20"/>
              </w:rPr>
              <w:t>.2.1.4,9.2.2.2,</w:t>
            </w:r>
          </w:p>
          <w:p w:rsidR="00FD18C0" w:rsidRPr="002A5D94" w:rsidRDefault="00FD18C0" w:rsidP="002A5D94">
            <w:pPr>
              <w:kinsoku w:val="0"/>
              <w:autoSpaceDE w:val="0"/>
              <w:autoSpaceDN w:val="0"/>
              <w:snapToGrid w:val="0"/>
              <w:spacing w:before="82" w:line="240" w:lineRule="auto"/>
              <w:jc w:val="center"/>
              <w:textAlignment w:val="baseline"/>
              <w:rPr>
                <w:rFonts w:ascii="宋体" w:hAnsi="宋体" w:cs="宋体"/>
                <w:snapToGrid w:val="0"/>
                <w:color w:val="000000"/>
                <w:kern w:val="0"/>
                <w:sz w:val="18"/>
                <w:szCs w:val="20"/>
              </w:rPr>
            </w:pPr>
            <w:r w:rsidRPr="002A5D94">
              <w:rPr>
                <w:rFonts w:ascii="宋体" w:hAnsi="宋体" w:cs="宋体"/>
                <w:snapToGrid w:val="0"/>
                <w:color w:val="000000"/>
                <w:kern w:val="0"/>
                <w:sz w:val="18"/>
                <w:szCs w:val="20"/>
              </w:rPr>
              <w:t>9.3.1.4,9.3.2.2,</w:t>
            </w:r>
          </w:p>
          <w:p w:rsidR="00FD18C0" w:rsidRPr="002A5D94" w:rsidRDefault="00FD18C0" w:rsidP="002A5D94">
            <w:pPr>
              <w:kinsoku w:val="0"/>
              <w:autoSpaceDE w:val="0"/>
              <w:autoSpaceDN w:val="0"/>
              <w:snapToGrid w:val="0"/>
              <w:spacing w:before="82" w:line="240" w:lineRule="auto"/>
              <w:jc w:val="center"/>
              <w:textAlignment w:val="baseline"/>
              <w:rPr>
                <w:rFonts w:ascii="宋体" w:hAnsi="宋体" w:cs="宋体"/>
                <w:snapToGrid w:val="0"/>
                <w:color w:val="000000"/>
                <w:kern w:val="0"/>
                <w:sz w:val="18"/>
                <w:szCs w:val="20"/>
              </w:rPr>
            </w:pPr>
            <w:r w:rsidRPr="002A5D94">
              <w:rPr>
                <w:rFonts w:ascii="宋体" w:hAnsi="宋体" w:cs="宋体"/>
                <w:snapToGrid w:val="0"/>
                <w:color w:val="000000"/>
                <w:kern w:val="0"/>
                <w:sz w:val="18"/>
                <w:szCs w:val="20"/>
              </w:rPr>
              <w:t>9.4.1.4,9.4.2.2</w:t>
            </w:r>
          </w:p>
        </w:tc>
      </w:tr>
      <w:tr w:rsidR="00FD18C0" w:rsidRPr="002A5D94" w:rsidTr="002A5D94">
        <w:trPr>
          <w:trHeight w:val="1162"/>
        </w:trPr>
        <w:tc>
          <w:tcPr>
            <w:tcW w:w="1521" w:type="dxa"/>
            <w:shd w:val="clear" w:color="auto" w:fill="auto"/>
            <w:vAlign w:val="center"/>
          </w:tcPr>
          <w:p w:rsidR="00FD18C0" w:rsidRPr="002A5D94" w:rsidRDefault="00FD18C0" w:rsidP="002A5D94">
            <w:pPr>
              <w:kinsoku w:val="0"/>
              <w:autoSpaceDE w:val="0"/>
              <w:autoSpaceDN w:val="0"/>
              <w:snapToGrid w:val="0"/>
              <w:spacing w:before="58" w:line="240" w:lineRule="auto"/>
              <w:ind w:firstLine="61"/>
              <w:textAlignment w:val="baseline"/>
              <w:rPr>
                <w:rFonts w:ascii="宋体" w:hAnsi="宋体" w:cs="宋体"/>
                <w:snapToGrid w:val="0"/>
                <w:color w:val="000000"/>
                <w:kern w:val="0"/>
                <w:sz w:val="18"/>
                <w:szCs w:val="20"/>
              </w:rPr>
            </w:pPr>
            <w:r w:rsidRPr="002A5D94">
              <w:rPr>
                <w:rFonts w:ascii="宋体" w:hAnsi="宋体" w:cs="宋体"/>
                <w:snapToGrid w:val="0"/>
                <w:color w:val="231F20"/>
                <w:spacing w:val="-2"/>
                <w:kern w:val="0"/>
                <w:position w:val="3"/>
                <w:sz w:val="18"/>
                <w:szCs w:val="20"/>
              </w:rPr>
              <w:t>部分</w:t>
            </w:r>
            <w:r w:rsidRPr="002A5D94">
              <w:rPr>
                <w:rFonts w:ascii="宋体" w:hAnsi="宋体" w:cs="宋体" w:hint="eastAsia"/>
                <w:snapToGrid w:val="0"/>
                <w:color w:val="231F20"/>
                <w:spacing w:val="-2"/>
                <w:kern w:val="0"/>
                <w:position w:val="3"/>
                <w:sz w:val="18"/>
                <w:szCs w:val="20"/>
              </w:rPr>
              <w:t>装载</w:t>
            </w:r>
            <w:r w:rsidRPr="002A5D94">
              <w:rPr>
                <w:rFonts w:ascii="宋体" w:hAnsi="宋体" w:cs="宋体"/>
                <w:snapToGrid w:val="0"/>
                <w:color w:val="231F20"/>
                <w:spacing w:val="-2"/>
                <w:kern w:val="0"/>
                <w:position w:val="3"/>
                <w:sz w:val="18"/>
                <w:szCs w:val="20"/>
              </w:rPr>
              <w:t>的辐</w:t>
            </w:r>
            <w:r w:rsidRPr="002A5D94">
              <w:rPr>
                <w:rFonts w:ascii="宋体" w:hAnsi="宋体" w:cs="宋体"/>
                <w:snapToGrid w:val="0"/>
                <w:color w:val="231F20"/>
                <w:spacing w:val="-5"/>
                <w:kern w:val="0"/>
                <w:sz w:val="18"/>
                <w:szCs w:val="20"/>
              </w:rPr>
              <w:t>照容器</w:t>
            </w:r>
          </w:p>
        </w:tc>
        <w:tc>
          <w:tcPr>
            <w:tcW w:w="1842" w:type="dxa"/>
            <w:shd w:val="clear" w:color="auto" w:fill="auto"/>
            <w:vAlign w:val="center"/>
          </w:tcPr>
          <w:p w:rsidR="00FD18C0" w:rsidRPr="002A5D94" w:rsidRDefault="00FD18C0" w:rsidP="002A5D94">
            <w:pPr>
              <w:kinsoku w:val="0"/>
              <w:autoSpaceDE w:val="0"/>
              <w:autoSpaceDN w:val="0"/>
              <w:snapToGrid w:val="0"/>
              <w:spacing w:before="88" w:line="240" w:lineRule="auto"/>
              <w:ind w:left="42" w:right="196" w:firstLine="7"/>
              <w:textAlignment w:val="baseline"/>
              <w:rPr>
                <w:rFonts w:ascii="宋体" w:hAnsi="宋体" w:cs="宋体"/>
                <w:snapToGrid w:val="0"/>
                <w:color w:val="000000"/>
                <w:kern w:val="0"/>
                <w:sz w:val="18"/>
                <w:szCs w:val="20"/>
              </w:rPr>
            </w:pPr>
            <w:r w:rsidRPr="002A5D94">
              <w:rPr>
                <w:rFonts w:ascii="宋体" w:hAnsi="宋体" w:cs="宋体"/>
                <w:snapToGrid w:val="0"/>
                <w:color w:val="231F20"/>
                <w:spacing w:val="-2"/>
                <w:kern w:val="0"/>
                <w:sz w:val="18"/>
                <w:szCs w:val="20"/>
              </w:rPr>
              <w:t>基于容器</w:t>
            </w:r>
            <w:r w:rsidRPr="002A5D94">
              <w:rPr>
                <w:rFonts w:ascii="宋体" w:hAnsi="宋体" w:cs="宋体" w:hint="eastAsia"/>
                <w:snapToGrid w:val="0"/>
                <w:color w:val="231F20"/>
                <w:spacing w:val="-2"/>
                <w:kern w:val="0"/>
                <w:sz w:val="18"/>
                <w:szCs w:val="20"/>
              </w:rPr>
              <w:t>装载</w:t>
            </w:r>
            <w:r w:rsidRPr="002A5D94">
              <w:rPr>
                <w:rFonts w:ascii="宋体" w:hAnsi="宋体" w:cs="宋体"/>
                <w:snapToGrid w:val="0"/>
                <w:color w:val="231F20"/>
                <w:spacing w:val="-2"/>
                <w:kern w:val="0"/>
                <w:sz w:val="18"/>
                <w:szCs w:val="20"/>
              </w:rPr>
              <w:t>水</w:t>
            </w:r>
            <w:r w:rsidRPr="002A5D94">
              <w:rPr>
                <w:rFonts w:ascii="宋体" w:hAnsi="宋体" w:cs="宋体"/>
                <w:snapToGrid w:val="0"/>
                <w:color w:val="231F20"/>
                <w:spacing w:val="1"/>
                <w:w w:val="101"/>
                <w:kern w:val="0"/>
                <w:sz w:val="18"/>
                <w:szCs w:val="20"/>
              </w:rPr>
              <w:t xml:space="preserve">   </w:t>
            </w:r>
            <w:r w:rsidRPr="002A5D94">
              <w:rPr>
                <w:rFonts w:ascii="宋体" w:hAnsi="宋体" w:cs="宋体"/>
                <w:snapToGrid w:val="0"/>
                <w:color w:val="231F20"/>
                <w:spacing w:val="-2"/>
                <w:kern w:val="0"/>
                <w:sz w:val="18"/>
                <w:szCs w:val="20"/>
              </w:rPr>
              <w:t>平对剂量分布的影</w:t>
            </w:r>
            <w:r w:rsidRPr="002A5D94">
              <w:rPr>
                <w:rFonts w:ascii="宋体" w:hAnsi="宋体" w:cs="宋体"/>
                <w:snapToGrid w:val="0"/>
                <w:color w:val="231F20"/>
                <w:spacing w:val="7"/>
                <w:kern w:val="0"/>
                <w:sz w:val="18"/>
                <w:szCs w:val="20"/>
              </w:rPr>
              <w:t xml:space="preserve"> </w:t>
            </w:r>
            <w:r w:rsidRPr="002A5D94">
              <w:rPr>
                <w:rFonts w:ascii="宋体" w:hAnsi="宋体" w:cs="宋体"/>
                <w:snapToGrid w:val="0"/>
                <w:color w:val="231F20"/>
                <w:kern w:val="0"/>
                <w:sz w:val="18"/>
                <w:szCs w:val="20"/>
              </w:rPr>
              <w:t>响</w:t>
            </w:r>
          </w:p>
        </w:tc>
        <w:tc>
          <w:tcPr>
            <w:tcW w:w="1276" w:type="dxa"/>
            <w:shd w:val="clear" w:color="auto" w:fill="auto"/>
            <w:vAlign w:val="center"/>
          </w:tcPr>
          <w:p w:rsidR="00FD18C0" w:rsidRPr="002A5D94" w:rsidRDefault="00FD18C0" w:rsidP="002A5D94">
            <w:pPr>
              <w:kinsoku w:val="0"/>
              <w:autoSpaceDE w:val="0"/>
              <w:autoSpaceDN w:val="0"/>
              <w:snapToGrid w:val="0"/>
              <w:spacing w:before="248" w:line="240" w:lineRule="auto"/>
              <w:ind w:firstLine="600"/>
              <w:textAlignment w:val="center"/>
              <w:rPr>
                <w:rFonts w:ascii="Arial" w:eastAsia="Arial" w:hAnsi="Arial" w:cs="Arial"/>
                <w:snapToGrid w:val="0"/>
                <w:color w:val="000000"/>
                <w:kern w:val="0"/>
                <w:sz w:val="18"/>
              </w:rPr>
            </w:pPr>
            <w:r w:rsidRPr="002A5D94">
              <w:rPr>
                <w:rFonts w:ascii="Arial" w:eastAsia="Arial" w:hAnsi="Arial" w:cs="Arial"/>
                <w:noProof/>
                <w:snapToGrid w:val="0"/>
                <w:color w:val="000000"/>
                <w:kern w:val="0"/>
                <w:sz w:val="18"/>
              </w:rPr>
              <w:drawing>
                <wp:inline distT="0" distB="0" distL="0" distR="0">
                  <wp:extent cx="83820" cy="137160"/>
                  <wp:effectExtent l="0" t="0" r="0" b="0"/>
                  <wp:docPr id="15" name="图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 64"/>
                          <pic:cNvPicPr>
                            <a:picLocks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820" cy="137160"/>
                          </a:xfrm>
                          <a:prstGeom prst="rect">
                            <a:avLst/>
                          </a:prstGeom>
                          <a:noFill/>
                          <a:ln>
                            <a:noFill/>
                          </a:ln>
                        </pic:spPr>
                      </pic:pic>
                    </a:graphicData>
                  </a:graphic>
                </wp:inline>
              </w:drawing>
            </w:r>
          </w:p>
        </w:tc>
        <w:tc>
          <w:tcPr>
            <w:tcW w:w="1398" w:type="dxa"/>
            <w:shd w:val="clear" w:color="auto" w:fill="auto"/>
            <w:vAlign w:val="center"/>
          </w:tcPr>
          <w:p w:rsidR="00FD18C0" w:rsidRPr="002A5D94" w:rsidRDefault="00FD18C0" w:rsidP="002A5D94">
            <w:pPr>
              <w:kinsoku w:val="0"/>
              <w:autoSpaceDE w:val="0"/>
              <w:autoSpaceDN w:val="0"/>
              <w:snapToGrid w:val="0"/>
              <w:spacing w:before="283" w:line="240" w:lineRule="auto"/>
              <w:ind w:firstLine="410"/>
              <w:textAlignment w:val="baseline"/>
              <w:rPr>
                <w:rFonts w:ascii="宋体" w:hAnsi="宋体" w:cs="宋体"/>
                <w:snapToGrid w:val="0"/>
                <w:color w:val="000000"/>
                <w:kern w:val="0"/>
                <w:sz w:val="18"/>
                <w:szCs w:val="20"/>
              </w:rPr>
            </w:pPr>
            <w:r w:rsidRPr="002A5D94">
              <w:rPr>
                <w:rFonts w:ascii="宋体" w:hAnsi="宋体" w:cs="宋体"/>
                <w:snapToGrid w:val="0"/>
                <w:color w:val="231F20"/>
                <w:spacing w:val="-1"/>
                <w:kern w:val="0"/>
                <w:sz w:val="18"/>
                <w:szCs w:val="20"/>
              </w:rPr>
              <w:t>N/A</w:t>
            </w:r>
          </w:p>
        </w:tc>
        <w:tc>
          <w:tcPr>
            <w:tcW w:w="1837" w:type="dxa"/>
            <w:shd w:val="clear" w:color="auto" w:fill="auto"/>
            <w:vAlign w:val="center"/>
          </w:tcPr>
          <w:p w:rsidR="00FD18C0" w:rsidRPr="002A5D94" w:rsidRDefault="00FD18C0" w:rsidP="002A5D94">
            <w:pPr>
              <w:kinsoku w:val="0"/>
              <w:autoSpaceDE w:val="0"/>
              <w:autoSpaceDN w:val="0"/>
              <w:snapToGrid w:val="0"/>
              <w:spacing w:before="313" w:line="240" w:lineRule="auto"/>
              <w:ind w:firstLine="733"/>
              <w:textAlignment w:val="baseline"/>
              <w:rPr>
                <w:rFonts w:ascii="宋体" w:hAnsi="宋体" w:cs="宋体"/>
                <w:snapToGrid w:val="0"/>
                <w:color w:val="000000"/>
                <w:kern w:val="0"/>
                <w:sz w:val="18"/>
                <w:szCs w:val="20"/>
              </w:rPr>
            </w:pPr>
            <w:r w:rsidRPr="002A5D94">
              <w:rPr>
                <w:rFonts w:ascii="宋体" w:hAnsi="宋体" w:cs="宋体"/>
                <w:snapToGrid w:val="0"/>
                <w:color w:val="231F20"/>
                <w:spacing w:val="-3"/>
                <w:kern w:val="0"/>
                <w:sz w:val="18"/>
                <w:szCs w:val="20"/>
              </w:rPr>
              <w:t>9.3.4</w:t>
            </w:r>
          </w:p>
        </w:tc>
        <w:tc>
          <w:tcPr>
            <w:tcW w:w="1861" w:type="dxa"/>
            <w:shd w:val="clear" w:color="auto" w:fill="auto"/>
            <w:vAlign w:val="center"/>
          </w:tcPr>
          <w:p w:rsidR="002A5D94" w:rsidRPr="002A5D94" w:rsidRDefault="002A5D94" w:rsidP="002A5D94">
            <w:pPr>
              <w:kinsoku w:val="0"/>
              <w:autoSpaceDE w:val="0"/>
              <w:autoSpaceDN w:val="0"/>
              <w:snapToGrid w:val="0"/>
              <w:spacing w:line="240" w:lineRule="auto"/>
              <w:ind w:firstLine="8"/>
              <w:textAlignment w:val="baseline"/>
              <w:rPr>
                <w:rFonts w:ascii="宋体" w:hAnsi="宋体" w:cs="宋体"/>
                <w:snapToGrid w:val="0"/>
                <w:color w:val="231F20"/>
                <w:spacing w:val="-1"/>
                <w:kern w:val="0"/>
                <w:sz w:val="18"/>
                <w:szCs w:val="20"/>
              </w:rPr>
            </w:pPr>
            <w:r w:rsidRPr="002A5D94">
              <w:rPr>
                <w:rFonts w:ascii="宋体" w:hAnsi="宋体" w:cs="宋体"/>
                <w:snapToGrid w:val="0"/>
                <w:color w:val="231F20"/>
                <w:spacing w:val="-1"/>
                <w:kern w:val="0"/>
                <w:sz w:val="18"/>
                <w:szCs w:val="20"/>
              </w:rPr>
              <w:t>9.2.1.5, 9.2.2.1.2,</w:t>
            </w:r>
          </w:p>
          <w:p w:rsidR="002A5D94" w:rsidRPr="002A5D94" w:rsidRDefault="002A5D94" w:rsidP="002A5D94">
            <w:pPr>
              <w:kinsoku w:val="0"/>
              <w:autoSpaceDE w:val="0"/>
              <w:autoSpaceDN w:val="0"/>
              <w:snapToGrid w:val="0"/>
              <w:spacing w:line="240" w:lineRule="auto"/>
              <w:ind w:firstLine="8"/>
              <w:textAlignment w:val="baseline"/>
              <w:rPr>
                <w:rFonts w:ascii="宋体" w:hAnsi="宋体" w:cs="宋体"/>
                <w:snapToGrid w:val="0"/>
                <w:color w:val="231F20"/>
                <w:spacing w:val="-1"/>
                <w:kern w:val="0"/>
                <w:sz w:val="18"/>
                <w:szCs w:val="20"/>
              </w:rPr>
            </w:pPr>
            <w:r w:rsidRPr="002A5D94">
              <w:rPr>
                <w:rFonts w:ascii="宋体" w:hAnsi="宋体" w:cs="宋体"/>
                <w:snapToGrid w:val="0"/>
                <w:color w:val="231F20"/>
                <w:spacing w:val="-1"/>
                <w:kern w:val="0"/>
                <w:sz w:val="18"/>
                <w:szCs w:val="20"/>
              </w:rPr>
              <w:t>9.3.2.1.2, 9.4.1.5,</w:t>
            </w:r>
          </w:p>
          <w:p w:rsidR="00FD18C0" w:rsidRPr="002A5D94" w:rsidRDefault="002A5D94" w:rsidP="002A5D94">
            <w:pPr>
              <w:kinsoku w:val="0"/>
              <w:autoSpaceDE w:val="0"/>
              <w:autoSpaceDN w:val="0"/>
              <w:snapToGrid w:val="0"/>
              <w:spacing w:line="240" w:lineRule="auto"/>
              <w:ind w:firstLine="245"/>
              <w:textAlignment w:val="baseline"/>
              <w:rPr>
                <w:rFonts w:ascii="宋体" w:hAnsi="宋体" w:cs="宋体"/>
                <w:snapToGrid w:val="0"/>
                <w:color w:val="000000"/>
                <w:kern w:val="0"/>
                <w:sz w:val="18"/>
                <w:szCs w:val="20"/>
              </w:rPr>
            </w:pPr>
            <w:r w:rsidRPr="002A5D94">
              <w:rPr>
                <w:rFonts w:ascii="宋体" w:hAnsi="宋体" w:cs="宋体"/>
                <w:snapToGrid w:val="0"/>
                <w:color w:val="231F20"/>
                <w:spacing w:val="-1"/>
                <w:kern w:val="0"/>
                <w:sz w:val="18"/>
                <w:szCs w:val="20"/>
              </w:rPr>
              <w:t>9.4.2.1.2</w:t>
            </w:r>
          </w:p>
        </w:tc>
      </w:tr>
      <w:tr w:rsidR="00FD18C0" w:rsidRPr="002A5D94" w:rsidTr="002A5D94">
        <w:trPr>
          <w:trHeight w:val="1116"/>
        </w:trPr>
        <w:tc>
          <w:tcPr>
            <w:tcW w:w="9735" w:type="dxa"/>
            <w:gridSpan w:val="6"/>
            <w:tcBorders>
              <w:top w:val="single" w:sz="8" w:space="0" w:color="231F20"/>
              <w:bottom w:val="single" w:sz="8" w:space="0" w:color="231F20"/>
            </w:tcBorders>
            <w:shd w:val="clear" w:color="auto" w:fill="auto"/>
            <w:vAlign w:val="center"/>
          </w:tcPr>
          <w:p w:rsidR="00FD18C0" w:rsidRDefault="00FD18C0">
            <w:pPr>
              <w:pStyle w:val="af4"/>
              <w:numPr>
                <w:ilvl w:val="0"/>
                <w:numId w:val="36"/>
              </w:numPr>
              <w:rPr>
                <w:snapToGrid w:val="0"/>
              </w:rPr>
            </w:pPr>
            <w:r w:rsidRPr="00EB648F">
              <w:rPr>
                <w:rFonts w:hint="eastAsia"/>
                <w:snapToGrid w:val="0"/>
              </w:rPr>
              <w:t>有关剂量分布的详细指南，请参见</w:t>
            </w:r>
            <w:r w:rsidRPr="00EB648F">
              <w:rPr>
                <w:snapToGrid w:val="0"/>
              </w:rPr>
              <w:t>ISO/ASTM52303。</w:t>
            </w:r>
          </w:p>
          <w:p w:rsidR="00FD18C0" w:rsidRDefault="00FD18C0" w:rsidP="002A5D94">
            <w:pPr>
              <w:pStyle w:val="af4"/>
            </w:pPr>
            <w:r>
              <w:rPr>
                <w:rFonts w:hint="eastAsia"/>
              </w:rPr>
              <w:t>一般来说，这涉及到为进行灭菌剂量建立、灭菌剂量审核和</w:t>
            </w:r>
            <w:r>
              <w:t>/或建立最大可接受剂量而进行的产品配置的剂量分布。</w:t>
            </w:r>
          </w:p>
          <w:p w:rsidR="00FD18C0" w:rsidRPr="002A5D94" w:rsidRDefault="00FD18C0" w:rsidP="002A5D94">
            <w:pPr>
              <w:pStyle w:val="affff6"/>
              <w:ind w:firstLine="360"/>
              <w:rPr>
                <w:sz w:val="18"/>
              </w:rPr>
            </w:pPr>
            <w:r w:rsidRPr="002A5D94">
              <w:rPr>
                <w:rFonts w:hint="eastAsia"/>
                <w:sz w:val="18"/>
              </w:rPr>
              <w:t>N/A=不适用。</w:t>
            </w:r>
          </w:p>
        </w:tc>
      </w:tr>
    </w:tbl>
    <w:p w:rsidR="00576D2B" w:rsidRDefault="00EB648F" w:rsidP="008B7E5F">
      <w:pPr>
        <w:pStyle w:val="af8"/>
        <w:rPr>
          <w:vanish w:val="0"/>
        </w:rPr>
      </w:pPr>
      <w:r>
        <w:rPr>
          <w:vanish w:val="0"/>
        </w:rPr>
        <w:t>有关剂量分布的详细指南，请参见ISO/ASTM52303。</w:t>
      </w:r>
    </w:p>
    <w:p w:rsidR="008B7E5F" w:rsidRDefault="008B7E5F" w:rsidP="008B7E5F">
      <w:pPr>
        <w:pStyle w:val="aff3"/>
        <w:spacing w:after="156"/>
      </w:pPr>
      <w:r>
        <w:lastRenderedPageBreak/>
        <w:br/>
      </w:r>
      <w:bookmarkStart w:id="165" w:name="_Toc112783071"/>
      <w:bookmarkStart w:id="166" w:name="_Toc112844868"/>
      <w:r>
        <w:rPr>
          <w:rFonts w:hint="eastAsia"/>
        </w:rPr>
        <w:t>（资料性</w:t>
      </w:r>
      <w:r w:rsidR="00EB54B8">
        <w:rPr>
          <w:rFonts w:hint="eastAsia"/>
        </w:rPr>
        <w:t>附录</w:t>
      </w:r>
      <w:r>
        <w:rPr>
          <w:rFonts w:hint="eastAsia"/>
        </w:rPr>
        <w:t>）</w:t>
      </w:r>
      <w:r>
        <w:br/>
      </w:r>
      <w:r>
        <w:rPr>
          <w:rFonts w:hint="eastAsia"/>
        </w:rPr>
        <w:t>ISO 11137-2和ISO/TS 13004中灭菌剂量设定/证实中使用剂量的公差</w:t>
      </w:r>
      <w:bookmarkEnd w:id="165"/>
      <w:bookmarkEnd w:id="166"/>
    </w:p>
    <w:p w:rsidR="008B7E5F" w:rsidRPr="008B7E5F" w:rsidRDefault="008B7E5F" w:rsidP="008B7E5F">
      <w:pPr>
        <w:pStyle w:val="aff"/>
        <w:spacing w:before="156" w:after="156"/>
      </w:pPr>
      <w:r w:rsidRPr="008B7E5F">
        <w:rPr>
          <w:rFonts w:hint="eastAsia"/>
        </w:rPr>
        <w:t>-ISO11137-2和ISO/TS13004中灭菌剂量设置/证实中使用剂量的公差</w:t>
      </w:r>
    </w:p>
    <w:tbl>
      <w:tblPr>
        <w:tblW w:w="9735" w:type="dxa"/>
        <w:tblInd w:w="15" w:type="dxa"/>
        <w:tblBorders>
          <w:top w:val="single" w:sz="8" w:space="0" w:color="231F20"/>
          <w:left w:val="single" w:sz="8" w:space="0" w:color="231F20"/>
          <w:bottom w:val="single" w:sz="8" w:space="0" w:color="231F20"/>
          <w:right w:val="single" w:sz="8" w:space="0" w:color="231F20"/>
          <w:insideH w:val="single" w:sz="2" w:space="0" w:color="231F20"/>
          <w:insideV w:val="single" w:sz="2" w:space="0" w:color="231F20"/>
        </w:tblBorders>
        <w:tblLayout w:type="fixed"/>
        <w:tblCellMar>
          <w:left w:w="0" w:type="dxa"/>
          <w:right w:w="0" w:type="dxa"/>
        </w:tblCellMar>
        <w:tblLook w:val="0000"/>
      </w:tblPr>
      <w:tblGrid>
        <w:gridCol w:w="3094"/>
        <w:gridCol w:w="3389"/>
        <w:gridCol w:w="3252"/>
      </w:tblGrid>
      <w:tr w:rsidR="008B7E5F" w:rsidRPr="008B7E5F" w:rsidTr="00D517D2">
        <w:trPr>
          <w:trHeight w:val="559"/>
        </w:trPr>
        <w:tc>
          <w:tcPr>
            <w:tcW w:w="3094" w:type="dxa"/>
            <w:tcBorders>
              <w:top w:val="single" w:sz="8" w:space="0" w:color="231F20"/>
              <w:bottom w:val="single" w:sz="8" w:space="0" w:color="231F20"/>
            </w:tcBorders>
            <w:shd w:val="clear" w:color="auto" w:fill="auto"/>
            <w:vAlign w:val="center"/>
          </w:tcPr>
          <w:p w:rsidR="008B7E5F" w:rsidRPr="008B7E5F" w:rsidRDefault="008B7E5F" w:rsidP="008B7E5F">
            <w:pPr>
              <w:spacing w:line="240" w:lineRule="auto"/>
              <w:rPr>
                <w:rFonts w:ascii="宋体"/>
                <w:sz w:val="18"/>
              </w:rPr>
            </w:pPr>
          </w:p>
        </w:tc>
        <w:tc>
          <w:tcPr>
            <w:tcW w:w="3389" w:type="dxa"/>
            <w:tcBorders>
              <w:top w:val="single" w:sz="8" w:space="0" w:color="231F20"/>
              <w:bottom w:val="single" w:sz="8" w:space="0" w:color="231F20"/>
            </w:tcBorders>
            <w:shd w:val="clear" w:color="auto" w:fill="auto"/>
            <w:vAlign w:val="center"/>
          </w:tcPr>
          <w:p w:rsidR="008B7E5F" w:rsidRPr="008B7E5F" w:rsidRDefault="008B7E5F" w:rsidP="008B7E5F">
            <w:pPr>
              <w:spacing w:before="28" w:line="240" w:lineRule="auto"/>
              <w:ind w:firstLine="237"/>
              <w:rPr>
                <w:rFonts w:ascii="宋体" w:hAnsi="宋体" w:cs="宋体"/>
                <w:sz w:val="18"/>
                <w:szCs w:val="20"/>
              </w:rPr>
            </w:pPr>
            <w:r w:rsidRPr="008B7E5F">
              <w:rPr>
                <w:rFonts w:ascii="宋体" w:hAnsi="宋体" w:cs="宋体"/>
                <w:color w:val="231F20"/>
                <w:spacing w:val="-1"/>
                <w:sz w:val="18"/>
                <w:szCs w:val="20"/>
              </w:rPr>
              <w:t>产品</w:t>
            </w:r>
            <w:r w:rsidRPr="008B7E5F">
              <w:rPr>
                <w:rFonts w:ascii="宋体" w:hAnsi="宋体" w:cs="宋体" w:hint="eastAsia"/>
                <w:color w:val="231F20"/>
                <w:spacing w:val="-1"/>
                <w:sz w:val="18"/>
                <w:szCs w:val="20"/>
              </w:rPr>
              <w:t>单元</w:t>
            </w:r>
            <w:r w:rsidRPr="008B7E5F">
              <w:rPr>
                <w:rFonts w:ascii="宋体" w:hAnsi="宋体" w:cs="宋体"/>
                <w:color w:val="231F20"/>
                <w:spacing w:val="-1"/>
                <w:sz w:val="18"/>
                <w:szCs w:val="20"/>
              </w:rPr>
              <w:t>的最高剂量</w:t>
            </w:r>
          </w:p>
        </w:tc>
        <w:tc>
          <w:tcPr>
            <w:tcW w:w="3252" w:type="dxa"/>
            <w:tcBorders>
              <w:top w:val="single" w:sz="8" w:space="0" w:color="231F20"/>
              <w:bottom w:val="single" w:sz="8" w:space="0" w:color="231F20"/>
            </w:tcBorders>
            <w:shd w:val="clear" w:color="auto" w:fill="auto"/>
            <w:vAlign w:val="center"/>
          </w:tcPr>
          <w:p w:rsidR="008B7E5F" w:rsidRPr="008B7E5F" w:rsidRDefault="008B7E5F" w:rsidP="008B7E5F">
            <w:pPr>
              <w:spacing w:before="43" w:line="240" w:lineRule="auto"/>
              <w:ind w:left="258" w:right="278" w:hanging="98"/>
              <w:rPr>
                <w:rFonts w:ascii="宋体" w:hAnsi="宋体" w:cs="宋体"/>
                <w:sz w:val="18"/>
                <w:szCs w:val="20"/>
              </w:rPr>
            </w:pPr>
            <w:r w:rsidRPr="008B7E5F">
              <w:rPr>
                <w:rFonts w:ascii="宋体" w:hAnsi="宋体" w:cs="宋体"/>
                <w:color w:val="231F20"/>
                <w:sz w:val="18"/>
                <w:szCs w:val="20"/>
              </w:rPr>
              <w:t>对产品</w:t>
            </w:r>
            <w:r w:rsidRPr="008B7E5F">
              <w:rPr>
                <w:rFonts w:ascii="宋体" w:hAnsi="宋体" w:cs="宋体" w:hint="eastAsia"/>
                <w:color w:val="231F20"/>
                <w:sz w:val="18"/>
                <w:szCs w:val="20"/>
              </w:rPr>
              <w:t>单元</w:t>
            </w:r>
            <w:r w:rsidRPr="008B7E5F">
              <w:rPr>
                <w:rFonts w:ascii="宋体" w:hAnsi="宋体" w:cs="宋体"/>
                <w:color w:val="231F20"/>
                <w:sz w:val="18"/>
                <w:szCs w:val="20"/>
              </w:rPr>
              <w:t>的最高和最低剂量的</w:t>
            </w:r>
            <w:r w:rsidRPr="008B7E5F">
              <w:rPr>
                <w:rFonts w:ascii="宋体" w:hAnsi="宋体" w:cs="宋体"/>
                <w:color w:val="231F20"/>
                <w:spacing w:val="-2"/>
                <w:sz w:val="18"/>
                <w:szCs w:val="20"/>
              </w:rPr>
              <w:t>算术平均值</w:t>
            </w:r>
          </w:p>
        </w:tc>
      </w:tr>
      <w:tr w:rsidR="008B7E5F" w:rsidRPr="008B7E5F" w:rsidTr="008B7E5F">
        <w:trPr>
          <w:trHeight w:val="322"/>
        </w:trPr>
        <w:tc>
          <w:tcPr>
            <w:tcW w:w="9735" w:type="dxa"/>
            <w:gridSpan w:val="3"/>
            <w:tcBorders>
              <w:top w:val="single" w:sz="8" w:space="0" w:color="231F20"/>
            </w:tcBorders>
            <w:shd w:val="clear" w:color="auto" w:fill="auto"/>
            <w:vAlign w:val="center"/>
          </w:tcPr>
          <w:p w:rsidR="008B7E5F" w:rsidRPr="008B7E5F" w:rsidRDefault="008B7E5F" w:rsidP="008B7E5F">
            <w:pPr>
              <w:spacing w:before="93" w:line="240" w:lineRule="auto"/>
              <w:ind w:firstLine="59"/>
              <w:rPr>
                <w:rFonts w:ascii="宋体" w:hAnsi="宋体" w:cs="宋体"/>
                <w:sz w:val="18"/>
                <w:szCs w:val="20"/>
              </w:rPr>
            </w:pPr>
            <w:r w:rsidRPr="008B7E5F">
              <w:rPr>
                <w:rFonts w:ascii="宋体" w:hAnsi="宋体" w:cs="宋体"/>
                <w:color w:val="231F20"/>
                <w:spacing w:val="-3"/>
                <w:sz w:val="18"/>
                <w:szCs w:val="20"/>
              </w:rPr>
              <w:t>方法1</w:t>
            </w:r>
          </w:p>
        </w:tc>
      </w:tr>
      <w:tr w:rsidR="008B7E5F" w:rsidRPr="008B7E5F" w:rsidTr="00D517D2">
        <w:trPr>
          <w:trHeight w:val="595"/>
        </w:trPr>
        <w:tc>
          <w:tcPr>
            <w:tcW w:w="3094" w:type="dxa"/>
            <w:shd w:val="clear" w:color="auto" w:fill="auto"/>
            <w:vAlign w:val="center"/>
          </w:tcPr>
          <w:p w:rsidR="008B7E5F" w:rsidRPr="008B7E5F" w:rsidRDefault="008B7E5F" w:rsidP="008B7E5F">
            <w:pPr>
              <w:spacing w:before="19" w:line="240" w:lineRule="auto"/>
              <w:ind w:firstLine="53"/>
              <w:rPr>
                <w:rFonts w:ascii="宋体" w:hAnsi="宋体" w:cs="宋体"/>
                <w:sz w:val="18"/>
                <w:szCs w:val="20"/>
              </w:rPr>
            </w:pPr>
            <w:r w:rsidRPr="008B7E5F">
              <w:rPr>
                <w:rFonts w:ascii="宋体" w:hAnsi="宋体" w:cs="宋体"/>
                <w:color w:val="231F20"/>
                <w:spacing w:val="-9"/>
                <w:sz w:val="18"/>
                <w:szCs w:val="20"/>
              </w:rPr>
              <w:t>BB</w:t>
            </w:r>
            <w:r w:rsidR="00773F0C">
              <w:rPr>
                <w:rFonts w:ascii="宋体" w:hAnsi="宋体" w:cs="宋体"/>
                <w:color w:val="231F20"/>
                <w:spacing w:val="-9"/>
                <w:sz w:val="18"/>
                <w:szCs w:val="20"/>
              </w:rPr>
              <w:t>≥</w:t>
            </w:r>
            <w:r w:rsidRPr="008B7E5F">
              <w:rPr>
                <w:rFonts w:ascii="宋体" w:hAnsi="宋体" w:cs="宋体"/>
                <w:color w:val="231F20"/>
                <w:spacing w:val="-9"/>
                <w:sz w:val="18"/>
                <w:szCs w:val="20"/>
              </w:rPr>
              <w:t>1.0</w:t>
            </w:r>
          </w:p>
          <w:p w:rsidR="008B7E5F" w:rsidRPr="008B7E5F" w:rsidRDefault="008B7E5F" w:rsidP="008B7E5F">
            <w:pPr>
              <w:spacing w:before="130" w:line="240" w:lineRule="auto"/>
              <w:ind w:firstLine="68"/>
              <w:rPr>
                <w:rFonts w:ascii="宋体" w:hAnsi="宋体" w:cs="宋体"/>
                <w:sz w:val="18"/>
                <w:szCs w:val="20"/>
              </w:rPr>
            </w:pPr>
            <w:r w:rsidRPr="008B7E5F">
              <w:rPr>
                <w:rFonts w:ascii="宋体" w:hAnsi="宋体" w:cs="宋体"/>
                <w:color w:val="231F20"/>
                <w:spacing w:val="-1"/>
                <w:sz w:val="18"/>
                <w:szCs w:val="20"/>
              </w:rPr>
              <w:t>（VD范围为3</w:t>
            </w:r>
            <w:r w:rsidRPr="008B7E5F">
              <w:rPr>
                <w:rFonts w:ascii="宋体" w:hAnsi="宋体" w:cs="宋体" w:hint="eastAsia"/>
                <w:color w:val="231F20"/>
                <w:spacing w:val="-1"/>
                <w:sz w:val="18"/>
                <w:szCs w:val="20"/>
              </w:rPr>
              <w:t>.</w:t>
            </w:r>
            <w:r w:rsidRPr="008B7E5F">
              <w:rPr>
                <w:rFonts w:ascii="宋体" w:hAnsi="宋体" w:cs="宋体"/>
                <w:color w:val="231F20"/>
                <w:spacing w:val="-1"/>
                <w:sz w:val="18"/>
                <w:szCs w:val="20"/>
              </w:rPr>
              <w:t>0至21</w:t>
            </w:r>
            <w:r w:rsidRPr="008B7E5F">
              <w:rPr>
                <w:rFonts w:ascii="宋体" w:hAnsi="宋体" w:cs="宋体" w:hint="eastAsia"/>
                <w:color w:val="231F20"/>
                <w:spacing w:val="-1"/>
                <w:sz w:val="18"/>
                <w:szCs w:val="20"/>
              </w:rPr>
              <w:t>.</w:t>
            </w:r>
            <w:r w:rsidRPr="008B7E5F">
              <w:rPr>
                <w:rFonts w:ascii="宋体" w:hAnsi="宋体" w:cs="宋体"/>
                <w:color w:val="231F20"/>
                <w:spacing w:val="-1"/>
                <w:sz w:val="18"/>
                <w:szCs w:val="20"/>
              </w:rPr>
              <w:t>2kGy）</w:t>
            </w:r>
          </w:p>
        </w:tc>
        <w:tc>
          <w:tcPr>
            <w:tcW w:w="3389" w:type="dxa"/>
            <w:shd w:val="clear" w:color="auto" w:fill="auto"/>
            <w:vAlign w:val="center"/>
          </w:tcPr>
          <w:p w:rsidR="008B7E5F" w:rsidRPr="008B7E5F" w:rsidRDefault="008B7E5F" w:rsidP="008B7E5F">
            <w:pPr>
              <w:spacing w:before="47" w:line="240" w:lineRule="auto"/>
              <w:ind w:firstLine="52"/>
              <w:rPr>
                <w:rFonts w:ascii="宋体" w:hAnsi="宋体" w:cs="宋体"/>
                <w:sz w:val="18"/>
                <w:szCs w:val="20"/>
              </w:rPr>
            </w:pPr>
            <w:r w:rsidRPr="008B7E5F">
              <w:rPr>
                <w:rFonts w:ascii="宋体" w:hAnsi="宋体" w:cs="宋体" w:hint="eastAsia"/>
                <w:color w:val="231F20"/>
                <w:spacing w:val="-1"/>
                <w:sz w:val="18"/>
                <w:szCs w:val="20"/>
              </w:rPr>
              <w:t>不能</w:t>
            </w:r>
            <w:r w:rsidR="00773F0C">
              <w:rPr>
                <w:rFonts w:ascii="宋体" w:hAnsi="宋体" w:cs="宋体"/>
                <w:color w:val="231F20"/>
                <w:spacing w:val="-1"/>
                <w:sz w:val="18"/>
                <w:szCs w:val="20"/>
              </w:rPr>
              <w:t>＞</w:t>
            </w:r>
            <w:r w:rsidRPr="008B7E5F">
              <w:rPr>
                <w:rFonts w:ascii="宋体" w:hAnsi="宋体" w:cs="宋体"/>
                <w:color w:val="231F20"/>
                <w:spacing w:val="-1"/>
                <w:sz w:val="18"/>
                <w:szCs w:val="20"/>
              </w:rPr>
              <w:t>110%VD</w:t>
            </w:r>
          </w:p>
        </w:tc>
        <w:tc>
          <w:tcPr>
            <w:tcW w:w="3252" w:type="dxa"/>
            <w:shd w:val="clear" w:color="auto" w:fill="auto"/>
            <w:vAlign w:val="center"/>
          </w:tcPr>
          <w:p w:rsidR="008B7E5F" w:rsidRPr="008B7E5F" w:rsidRDefault="008B7E5F" w:rsidP="008B7E5F">
            <w:pPr>
              <w:spacing w:before="47" w:line="240" w:lineRule="auto"/>
              <w:ind w:firstLine="63"/>
              <w:rPr>
                <w:rFonts w:ascii="宋体" w:hAnsi="宋体" w:cs="宋体"/>
                <w:sz w:val="18"/>
                <w:szCs w:val="20"/>
              </w:rPr>
            </w:pPr>
            <w:r w:rsidRPr="008B7E5F">
              <w:rPr>
                <w:rFonts w:ascii="宋体" w:hAnsi="宋体" w:cs="宋体" w:hint="eastAsia"/>
                <w:color w:val="231F20"/>
                <w:spacing w:val="-1"/>
                <w:sz w:val="18"/>
                <w:szCs w:val="20"/>
              </w:rPr>
              <w:t>不能</w:t>
            </w:r>
            <w:r w:rsidR="00773F0C">
              <w:rPr>
                <w:rFonts w:ascii="宋体" w:hAnsi="宋体" w:cs="宋体"/>
                <w:color w:val="231F20"/>
                <w:spacing w:val="-1"/>
                <w:sz w:val="18"/>
                <w:szCs w:val="20"/>
              </w:rPr>
              <w:t>＜</w:t>
            </w:r>
            <w:r w:rsidRPr="008B7E5F">
              <w:rPr>
                <w:rFonts w:ascii="宋体" w:hAnsi="宋体" w:cs="宋体"/>
                <w:color w:val="231F20"/>
                <w:spacing w:val="-1"/>
                <w:sz w:val="18"/>
                <w:szCs w:val="20"/>
              </w:rPr>
              <w:t>90%VD</w:t>
            </w:r>
          </w:p>
        </w:tc>
      </w:tr>
      <w:tr w:rsidR="008B7E5F" w:rsidRPr="008B7E5F" w:rsidTr="00D517D2">
        <w:trPr>
          <w:trHeight w:val="631"/>
        </w:trPr>
        <w:tc>
          <w:tcPr>
            <w:tcW w:w="3094" w:type="dxa"/>
            <w:shd w:val="clear" w:color="auto" w:fill="auto"/>
            <w:vAlign w:val="center"/>
          </w:tcPr>
          <w:p w:rsidR="008B7E5F" w:rsidRPr="008B7E5F" w:rsidRDefault="008B7E5F" w:rsidP="008B7E5F">
            <w:pPr>
              <w:spacing w:before="74" w:line="240" w:lineRule="auto"/>
              <w:ind w:firstLine="53"/>
              <w:rPr>
                <w:rFonts w:ascii="宋体" w:hAnsi="宋体" w:cs="宋体"/>
                <w:sz w:val="18"/>
                <w:szCs w:val="20"/>
              </w:rPr>
            </w:pPr>
            <w:r w:rsidRPr="008B7E5F">
              <w:rPr>
                <w:rFonts w:ascii="宋体" w:hAnsi="宋体" w:cs="宋体"/>
                <w:color w:val="231F20"/>
                <w:sz w:val="18"/>
                <w:szCs w:val="20"/>
              </w:rPr>
              <w:t>BB 0</w:t>
            </w:r>
            <w:r w:rsidRPr="008B7E5F">
              <w:rPr>
                <w:rFonts w:ascii="宋体" w:hAnsi="宋体" w:cs="宋体" w:hint="eastAsia"/>
                <w:color w:val="231F20"/>
                <w:sz w:val="18"/>
                <w:szCs w:val="20"/>
              </w:rPr>
              <w:t>.</w:t>
            </w:r>
            <w:r w:rsidRPr="008B7E5F">
              <w:rPr>
                <w:rFonts w:ascii="宋体" w:hAnsi="宋体" w:cs="宋体"/>
                <w:color w:val="231F20"/>
                <w:sz w:val="18"/>
                <w:szCs w:val="20"/>
              </w:rPr>
              <w:t>1至0</w:t>
            </w:r>
            <w:r w:rsidRPr="008B7E5F">
              <w:rPr>
                <w:rFonts w:ascii="宋体" w:hAnsi="宋体" w:cs="宋体" w:hint="eastAsia"/>
                <w:color w:val="231F20"/>
                <w:sz w:val="18"/>
                <w:szCs w:val="20"/>
              </w:rPr>
              <w:t>.</w:t>
            </w:r>
            <w:r w:rsidRPr="008B7E5F">
              <w:rPr>
                <w:rFonts w:ascii="宋体" w:hAnsi="宋体" w:cs="宋体"/>
                <w:color w:val="231F20"/>
                <w:sz w:val="18"/>
                <w:szCs w:val="20"/>
              </w:rPr>
              <w:t>9</w:t>
            </w:r>
          </w:p>
          <w:p w:rsidR="008B7E5F" w:rsidRPr="008B7E5F" w:rsidRDefault="008B7E5F" w:rsidP="008B7E5F">
            <w:pPr>
              <w:spacing w:before="98" w:line="240" w:lineRule="auto"/>
              <w:ind w:firstLine="68"/>
              <w:rPr>
                <w:rFonts w:ascii="宋体" w:hAnsi="宋体" w:cs="宋体"/>
                <w:sz w:val="18"/>
                <w:szCs w:val="20"/>
              </w:rPr>
            </w:pPr>
            <w:r w:rsidRPr="008B7E5F">
              <w:rPr>
                <w:rFonts w:ascii="宋体" w:hAnsi="宋体" w:cs="宋体"/>
                <w:color w:val="231F20"/>
                <w:spacing w:val="-1"/>
                <w:sz w:val="18"/>
                <w:szCs w:val="20"/>
              </w:rPr>
              <w:t>（VD范围为1</w:t>
            </w:r>
            <w:r w:rsidRPr="008B7E5F">
              <w:rPr>
                <w:rFonts w:ascii="宋体" w:hAnsi="宋体" w:cs="宋体" w:hint="eastAsia"/>
                <w:color w:val="231F20"/>
                <w:spacing w:val="-1"/>
                <w:sz w:val="18"/>
                <w:szCs w:val="20"/>
              </w:rPr>
              <w:t>.</w:t>
            </w:r>
            <w:r w:rsidRPr="008B7E5F">
              <w:rPr>
                <w:rFonts w:ascii="宋体" w:hAnsi="宋体" w:cs="宋体"/>
                <w:color w:val="231F20"/>
                <w:spacing w:val="-1"/>
                <w:sz w:val="18"/>
                <w:szCs w:val="20"/>
              </w:rPr>
              <w:t>3至2.9kGy）</w:t>
            </w:r>
          </w:p>
        </w:tc>
        <w:tc>
          <w:tcPr>
            <w:tcW w:w="3389" w:type="dxa"/>
            <w:shd w:val="clear" w:color="auto" w:fill="auto"/>
            <w:vAlign w:val="center"/>
          </w:tcPr>
          <w:p w:rsidR="008B7E5F" w:rsidRPr="008B7E5F" w:rsidRDefault="008B7E5F" w:rsidP="008B7E5F">
            <w:pPr>
              <w:spacing w:before="50" w:line="240" w:lineRule="auto"/>
              <w:ind w:firstLine="52"/>
              <w:rPr>
                <w:rFonts w:ascii="宋体" w:hAnsi="宋体" w:cs="宋体"/>
                <w:sz w:val="18"/>
                <w:szCs w:val="20"/>
              </w:rPr>
            </w:pPr>
            <w:r w:rsidRPr="008B7E5F">
              <w:rPr>
                <w:rFonts w:ascii="宋体" w:hAnsi="宋体" w:cs="宋体" w:hint="eastAsia"/>
                <w:color w:val="231F20"/>
                <w:spacing w:val="-1"/>
                <w:sz w:val="18"/>
                <w:szCs w:val="20"/>
              </w:rPr>
              <w:t>不能</w:t>
            </w:r>
            <w:r w:rsidR="00773F0C">
              <w:rPr>
                <w:rFonts w:ascii="宋体" w:hAnsi="宋体" w:cs="宋体"/>
                <w:color w:val="231F20"/>
                <w:spacing w:val="-1"/>
                <w:sz w:val="18"/>
                <w:szCs w:val="20"/>
              </w:rPr>
              <w:t>＞</w:t>
            </w:r>
            <w:r w:rsidRPr="008B7E5F">
              <w:rPr>
                <w:rFonts w:ascii="宋体" w:hAnsi="宋体" w:cs="宋体"/>
                <w:color w:val="231F20"/>
                <w:spacing w:val="-1"/>
                <w:sz w:val="18"/>
                <w:szCs w:val="20"/>
              </w:rPr>
              <w:t>110%VD</w:t>
            </w:r>
          </w:p>
        </w:tc>
        <w:tc>
          <w:tcPr>
            <w:tcW w:w="3252" w:type="dxa"/>
            <w:shd w:val="clear" w:color="auto" w:fill="auto"/>
            <w:vAlign w:val="center"/>
          </w:tcPr>
          <w:p w:rsidR="008B7E5F" w:rsidRPr="008B7E5F" w:rsidRDefault="008B7E5F" w:rsidP="008B7E5F">
            <w:pPr>
              <w:spacing w:before="50" w:line="240" w:lineRule="auto"/>
              <w:ind w:firstLine="63"/>
              <w:rPr>
                <w:rFonts w:ascii="宋体" w:hAnsi="宋体" w:cs="宋体"/>
                <w:sz w:val="18"/>
                <w:szCs w:val="20"/>
              </w:rPr>
            </w:pPr>
            <w:r w:rsidRPr="008B7E5F">
              <w:rPr>
                <w:rFonts w:ascii="宋体" w:hAnsi="宋体" w:cs="宋体" w:hint="eastAsia"/>
                <w:color w:val="231F20"/>
                <w:spacing w:val="-1"/>
                <w:sz w:val="18"/>
                <w:szCs w:val="20"/>
              </w:rPr>
              <w:t>不能</w:t>
            </w:r>
            <w:r w:rsidR="00773F0C">
              <w:rPr>
                <w:rFonts w:ascii="宋体" w:hAnsi="宋体" w:cs="宋体"/>
                <w:color w:val="231F20"/>
                <w:spacing w:val="-1"/>
                <w:sz w:val="18"/>
                <w:szCs w:val="20"/>
              </w:rPr>
              <w:t>＜</w:t>
            </w:r>
            <w:r w:rsidRPr="008B7E5F">
              <w:rPr>
                <w:rFonts w:ascii="宋体" w:hAnsi="宋体" w:cs="宋体"/>
                <w:color w:val="231F20"/>
                <w:spacing w:val="-1"/>
                <w:sz w:val="18"/>
                <w:szCs w:val="20"/>
              </w:rPr>
              <w:t>90%VD</w:t>
            </w:r>
          </w:p>
        </w:tc>
      </w:tr>
      <w:tr w:rsidR="008B7E5F" w:rsidRPr="008B7E5F" w:rsidTr="008B7E5F">
        <w:trPr>
          <w:trHeight w:val="321"/>
        </w:trPr>
        <w:tc>
          <w:tcPr>
            <w:tcW w:w="9735" w:type="dxa"/>
            <w:gridSpan w:val="3"/>
            <w:shd w:val="clear" w:color="auto" w:fill="auto"/>
            <w:vAlign w:val="center"/>
          </w:tcPr>
          <w:p w:rsidR="008B7E5F" w:rsidRPr="008B7E5F" w:rsidRDefault="008B7E5F" w:rsidP="008B7E5F">
            <w:pPr>
              <w:spacing w:before="93" w:line="240" w:lineRule="auto"/>
              <w:ind w:firstLine="59"/>
              <w:rPr>
                <w:rFonts w:ascii="宋体" w:hAnsi="宋体" w:cs="宋体"/>
                <w:sz w:val="18"/>
                <w:szCs w:val="20"/>
              </w:rPr>
            </w:pPr>
            <w:r w:rsidRPr="008B7E5F">
              <w:rPr>
                <w:rFonts w:ascii="宋体" w:hAnsi="宋体" w:cs="宋体"/>
                <w:color w:val="231F20"/>
                <w:spacing w:val="-2"/>
                <w:sz w:val="18"/>
                <w:szCs w:val="20"/>
              </w:rPr>
              <w:t>方法2A</w:t>
            </w:r>
          </w:p>
        </w:tc>
      </w:tr>
      <w:tr w:rsidR="008B7E5F" w:rsidRPr="008B7E5F" w:rsidTr="00D517D2">
        <w:trPr>
          <w:trHeight w:val="631"/>
        </w:trPr>
        <w:tc>
          <w:tcPr>
            <w:tcW w:w="3094" w:type="dxa"/>
            <w:shd w:val="clear" w:color="auto" w:fill="auto"/>
            <w:vAlign w:val="center"/>
          </w:tcPr>
          <w:p w:rsidR="008B7E5F" w:rsidRPr="008B7E5F" w:rsidRDefault="008B7E5F" w:rsidP="008B7E5F">
            <w:pPr>
              <w:spacing w:before="94" w:line="240" w:lineRule="auto"/>
              <w:ind w:firstLine="69"/>
              <w:rPr>
                <w:rFonts w:ascii="宋体" w:hAnsi="宋体" w:cs="宋体"/>
                <w:sz w:val="18"/>
                <w:szCs w:val="20"/>
              </w:rPr>
            </w:pPr>
            <w:r w:rsidRPr="008B7E5F">
              <w:rPr>
                <w:rFonts w:ascii="宋体" w:hAnsi="宋体" w:cs="宋体"/>
                <w:color w:val="231F20"/>
                <w:spacing w:val="-6"/>
                <w:sz w:val="18"/>
                <w:szCs w:val="20"/>
              </w:rPr>
              <w:t>IDE</w:t>
            </w:r>
          </w:p>
        </w:tc>
        <w:tc>
          <w:tcPr>
            <w:tcW w:w="3389" w:type="dxa"/>
            <w:shd w:val="clear" w:color="auto" w:fill="auto"/>
            <w:vAlign w:val="center"/>
          </w:tcPr>
          <w:p w:rsidR="008B7E5F" w:rsidRPr="008B7E5F" w:rsidRDefault="008B7E5F" w:rsidP="008B7E5F">
            <w:pPr>
              <w:spacing w:before="20" w:line="240" w:lineRule="auto"/>
              <w:ind w:firstLine="54"/>
              <w:rPr>
                <w:rFonts w:ascii="宋体" w:hAnsi="宋体" w:cs="宋体"/>
                <w:sz w:val="18"/>
                <w:szCs w:val="20"/>
              </w:rPr>
            </w:pPr>
            <w:r w:rsidRPr="008B7E5F">
              <w:rPr>
                <w:rFonts w:ascii="宋体" w:hAnsi="宋体" w:cs="宋体"/>
                <w:color w:val="231F20"/>
                <w:spacing w:val="-1"/>
                <w:sz w:val="18"/>
                <w:szCs w:val="20"/>
              </w:rPr>
              <w:t>不</w:t>
            </w:r>
            <w:r w:rsidR="00A236A2">
              <w:rPr>
                <w:rFonts w:ascii="宋体" w:hAnsi="宋体" w:cs="宋体" w:hint="eastAsia"/>
                <w:color w:val="231F20"/>
                <w:spacing w:val="-1"/>
                <w:sz w:val="18"/>
                <w:szCs w:val="20"/>
              </w:rPr>
              <w:t>能</w:t>
            </w:r>
            <w:r w:rsidR="00773F0C">
              <w:rPr>
                <w:rFonts w:ascii="宋体" w:hAnsi="宋体" w:cs="宋体"/>
                <w:color w:val="231F20"/>
                <w:spacing w:val="-1"/>
                <w:sz w:val="18"/>
                <w:szCs w:val="20"/>
              </w:rPr>
              <w:t>＞</w:t>
            </w:r>
            <w:r w:rsidRPr="008B7E5F">
              <w:rPr>
                <w:rFonts w:ascii="宋体" w:hAnsi="宋体" w:cs="宋体" w:hint="eastAsia"/>
                <w:color w:val="231F20"/>
                <w:spacing w:val="-1"/>
                <w:sz w:val="18"/>
                <w:szCs w:val="20"/>
              </w:rPr>
              <w:t>增加</w:t>
            </w:r>
            <w:r w:rsidRPr="008B7E5F">
              <w:rPr>
                <w:rFonts w:ascii="宋体" w:hAnsi="宋体" w:cs="宋体"/>
                <w:color w:val="231F20"/>
                <w:spacing w:val="-1"/>
                <w:sz w:val="18"/>
                <w:szCs w:val="20"/>
              </w:rPr>
              <w:t>10%ID或1</w:t>
            </w:r>
            <w:r w:rsidRPr="008B7E5F">
              <w:rPr>
                <w:rFonts w:ascii="宋体" w:hAnsi="宋体" w:cs="宋体" w:hint="eastAsia"/>
                <w:color w:val="231F20"/>
                <w:spacing w:val="-1"/>
                <w:sz w:val="18"/>
                <w:szCs w:val="20"/>
              </w:rPr>
              <w:t>.</w:t>
            </w:r>
            <w:r w:rsidRPr="008B7E5F">
              <w:rPr>
                <w:rFonts w:ascii="宋体" w:hAnsi="宋体" w:cs="宋体"/>
                <w:color w:val="231F20"/>
                <w:spacing w:val="-1"/>
                <w:sz w:val="18"/>
                <w:szCs w:val="20"/>
              </w:rPr>
              <w:t>0kGy，</w:t>
            </w:r>
            <w:r w:rsidRPr="008B7E5F">
              <w:rPr>
                <w:rFonts w:ascii="宋体" w:hAnsi="宋体" w:cs="宋体"/>
                <w:color w:val="231F20"/>
                <w:spacing w:val="-6"/>
                <w:sz w:val="18"/>
                <w:szCs w:val="20"/>
              </w:rPr>
              <w:t>以较大者为准</w:t>
            </w:r>
          </w:p>
        </w:tc>
        <w:tc>
          <w:tcPr>
            <w:tcW w:w="3252" w:type="dxa"/>
            <w:shd w:val="clear" w:color="auto" w:fill="auto"/>
            <w:vAlign w:val="center"/>
          </w:tcPr>
          <w:p w:rsidR="008B7E5F" w:rsidRPr="008B7E5F" w:rsidRDefault="008B7E5F" w:rsidP="008B7E5F">
            <w:pPr>
              <w:spacing w:before="51" w:line="240" w:lineRule="auto"/>
              <w:ind w:left="73" w:right="387" w:hanging="10"/>
              <w:rPr>
                <w:rFonts w:ascii="宋体" w:hAnsi="宋体" w:cs="宋体"/>
                <w:sz w:val="18"/>
                <w:szCs w:val="20"/>
              </w:rPr>
            </w:pPr>
            <w:r w:rsidRPr="008B7E5F">
              <w:rPr>
                <w:rFonts w:ascii="宋体" w:hAnsi="宋体" w:cs="宋体"/>
                <w:color w:val="231F20"/>
                <w:spacing w:val="-1"/>
                <w:sz w:val="18"/>
                <w:szCs w:val="20"/>
              </w:rPr>
              <w:t>不</w:t>
            </w:r>
            <w:r w:rsidR="00A236A2">
              <w:rPr>
                <w:rFonts w:ascii="宋体" w:hAnsi="宋体" w:cs="宋体" w:hint="eastAsia"/>
                <w:color w:val="231F20"/>
                <w:spacing w:val="-1"/>
                <w:sz w:val="18"/>
                <w:szCs w:val="20"/>
              </w:rPr>
              <w:t>能</w:t>
            </w:r>
            <w:r w:rsidR="00773F0C">
              <w:rPr>
                <w:rFonts w:ascii="宋体" w:hAnsi="宋体" w:cs="宋体"/>
                <w:color w:val="231F20"/>
                <w:spacing w:val="-1"/>
                <w:sz w:val="18"/>
                <w:szCs w:val="20"/>
              </w:rPr>
              <w:t>＜</w:t>
            </w:r>
            <w:r w:rsidRPr="008B7E5F">
              <w:rPr>
                <w:rFonts w:ascii="宋体" w:hAnsi="宋体" w:cs="宋体"/>
                <w:color w:val="231F20"/>
                <w:spacing w:val="-1"/>
                <w:sz w:val="18"/>
                <w:szCs w:val="20"/>
              </w:rPr>
              <w:t>90%ID或ID减去1.0kGy</w:t>
            </w:r>
            <w:r w:rsidRPr="008B7E5F">
              <w:rPr>
                <w:rFonts w:ascii="宋体" w:hAnsi="宋体" w:cs="宋体"/>
                <w:color w:val="231F20"/>
                <w:spacing w:val="11"/>
                <w:sz w:val="18"/>
                <w:szCs w:val="20"/>
              </w:rPr>
              <w:t xml:space="preserve"> </w:t>
            </w:r>
            <w:r w:rsidRPr="008B7E5F">
              <w:rPr>
                <w:rFonts w:ascii="宋体" w:hAnsi="宋体" w:cs="宋体"/>
                <w:color w:val="231F20"/>
                <w:spacing w:val="-4"/>
                <w:sz w:val="18"/>
                <w:szCs w:val="20"/>
              </w:rPr>
              <w:t>，以较小者为准</w:t>
            </w:r>
          </w:p>
        </w:tc>
      </w:tr>
      <w:tr w:rsidR="008B7E5F" w:rsidRPr="008B7E5F" w:rsidTr="00D517D2">
        <w:trPr>
          <w:trHeight w:val="631"/>
        </w:trPr>
        <w:tc>
          <w:tcPr>
            <w:tcW w:w="3094" w:type="dxa"/>
            <w:shd w:val="clear" w:color="auto" w:fill="auto"/>
            <w:vAlign w:val="center"/>
          </w:tcPr>
          <w:p w:rsidR="008B7E5F" w:rsidRPr="008B7E5F" w:rsidRDefault="008B7E5F" w:rsidP="008B7E5F">
            <w:pPr>
              <w:spacing w:before="62" w:line="240" w:lineRule="auto"/>
              <w:ind w:firstLine="48"/>
              <w:rPr>
                <w:rFonts w:ascii="宋体" w:hAnsi="宋体" w:cs="宋体"/>
                <w:sz w:val="18"/>
                <w:szCs w:val="20"/>
              </w:rPr>
            </w:pPr>
            <w:r w:rsidRPr="008B7E5F">
              <w:rPr>
                <w:rFonts w:ascii="宋体" w:hAnsi="宋体" w:cs="宋体" w:hint="eastAsia"/>
                <w:color w:val="231F20"/>
                <w:sz w:val="18"/>
                <w:szCs w:val="20"/>
              </w:rPr>
              <w:t>V</w:t>
            </w:r>
            <w:r w:rsidRPr="008B7E5F">
              <w:rPr>
                <w:rFonts w:ascii="宋体" w:hAnsi="宋体" w:cs="宋体"/>
                <w:color w:val="231F20"/>
                <w:sz w:val="18"/>
                <w:szCs w:val="20"/>
              </w:rPr>
              <w:t>DE</w:t>
            </w:r>
          </w:p>
        </w:tc>
        <w:tc>
          <w:tcPr>
            <w:tcW w:w="3389" w:type="dxa"/>
            <w:shd w:val="clear" w:color="auto" w:fill="auto"/>
            <w:vAlign w:val="center"/>
          </w:tcPr>
          <w:p w:rsidR="008B7E5F" w:rsidRPr="008B7E5F" w:rsidRDefault="008B7E5F" w:rsidP="008B7E5F">
            <w:pPr>
              <w:spacing w:before="20" w:line="240" w:lineRule="auto"/>
              <w:ind w:firstLine="54"/>
              <w:rPr>
                <w:rFonts w:ascii="宋体" w:hAnsi="宋体" w:cs="宋体"/>
                <w:sz w:val="18"/>
                <w:szCs w:val="20"/>
              </w:rPr>
            </w:pPr>
            <w:r w:rsidRPr="008B7E5F">
              <w:rPr>
                <w:rFonts w:ascii="宋体" w:hAnsi="宋体" w:cs="宋体"/>
                <w:color w:val="231F20"/>
                <w:spacing w:val="-1"/>
                <w:sz w:val="18"/>
                <w:szCs w:val="20"/>
              </w:rPr>
              <w:t>不</w:t>
            </w:r>
            <w:r w:rsidR="00A236A2">
              <w:rPr>
                <w:rFonts w:ascii="宋体" w:hAnsi="宋体" w:cs="宋体" w:hint="eastAsia"/>
                <w:color w:val="231F20"/>
                <w:spacing w:val="-1"/>
                <w:sz w:val="18"/>
                <w:szCs w:val="20"/>
              </w:rPr>
              <w:t>能</w:t>
            </w:r>
            <w:r w:rsidR="00773F0C">
              <w:rPr>
                <w:rFonts w:ascii="宋体" w:hAnsi="宋体" w:cs="宋体"/>
                <w:color w:val="231F20"/>
                <w:spacing w:val="-1"/>
                <w:sz w:val="18"/>
                <w:szCs w:val="20"/>
              </w:rPr>
              <w:t>＞</w:t>
            </w:r>
            <w:r w:rsidRPr="008B7E5F">
              <w:rPr>
                <w:rFonts w:ascii="宋体" w:hAnsi="宋体" w:cs="宋体" w:hint="eastAsia"/>
                <w:color w:val="231F20"/>
                <w:spacing w:val="-1"/>
                <w:sz w:val="18"/>
                <w:szCs w:val="20"/>
              </w:rPr>
              <w:t>增加</w:t>
            </w:r>
            <w:r w:rsidRPr="008B7E5F">
              <w:rPr>
                <w:rFonts w:ascii="宋体" w:hAnsi="宋体" w:cs="宋体"/>
                <w:color w:val="231F20"/>
                <w:spacing w:val="-1"/>
                <w:sz w:val="18"/>
                <w:szCs w:val="20"/>
              </w:rPr>
              <w:t>10%D</w:t>
            </w:r>
            <w:r w:rsidRPr="008B7E5F">
              <w:rPr>
                <w:rFonts w:ascii="宋体" w:hAnsi="宋体" w:cs="宋体"/>
                <w:color w:val="231F20"/>
                <w:spacing w:val="-1"/>
                <w:sz w:val="18"/>
                <w:szCs w:val="20"/>
                <w:vertAlign w:val="superscript"/>
              </w:rPr>
              <w:t>*</w:t>
            </w:r>
            <w:r w:rsidRPr="008B7E5F">
              <w:rPr>
                <w:rFonts w:ascii="宋体" w:hAnsi="宋体" w:cs="宋体"/>
                <w:color w:val="231F20"/>
                <w:spacing w:val="-1"/>
                <w:sz w:val="18"/>
                <w:szCs w:val="20"/>
              </w:rPr>
              <w:t>或1.0kGy，</w:t>
            </w:r>
            <w:r w:rsidRPr="008B7E5F">
              <w:rPr>
                <w:rFonts w:ascii="宋体" w:hAnsi="宋体" w:cs="宋体"/>
                <w:color w:val="231F20"/>
                <w:spacing w:val="-6"/>
                <w:sz w:val="18"/>
                <w:szCs w:val="20"/>
              </w:rPr>
              <w:t>以较大者为准</w:t>
            </w:r>
          </w:p>
        </w:tc>
        <w:tc>
          <w:tcPr>
            <w:tcW w:w="3252" w:type="dxa"/>
            <w:shd w:val="clear" w:color="auto" w:fill="auto"/>
            <w:vAlign w:val="center"/>
          </w:tcPr>
          <w:p w:rsidR="008B7E5F" w:rsidRPr="008B7E5F" w:rsidRDefault="008B7E5F" w:rsidP="008B7E5F">
            <w:pPr>
              <w:spacing w:before="53" w:line="240" w:lineRule="auto"/>
              <w:ind w:left="58" w:right="290" w:firstLine="5"/>
              <w:rPr>
                <w:rFonts w:ascii="宋体" w:hAnsi="宋体" w:cs="宋体"/>
                <w:sz w:val="18"/>
                <w:szCs w:val="20"/>
              </w:rPr>
            </w:pPr>
            <w:r w:rsidRPr="008B7E5F">
              <w:rPr>
                <w:rFonts w:ascii="宋体" w:hAnsi="宋体" w:cs="宋体"/>
                <w:color w:val="231F20"/>
                <w:spacing w:val="-1"/>
                <w:sz w:val="18"/>
                <w:szCs w:val="20"/>
              </w:rPr>
              <w:t>不</w:t>
            </w:r>
            <w:r w:rsidR="00A236A2">
              <w:rPr>
                <w:rFonts w:ascii="宋体" w:hAnsi="宋体" w:cs="宋体" w:hint="eastAsia"/>
                <w:color w:val="231F20"/>
                <w:spacing w:val="-1"/>
                <w:sz w:val="18"/>
                <w:szCs w:val="20"/>
              </w:rPr>
              <w:t>能</w:t>
            </w:r>
            <w:r w:rsidR="00773F0C">
              <w:rPr>
                <w:rFonts w:ascii="宋体" w:hAnsi="宋体" w:cs="宋体"/>
                <w:color w:val="231F20"/>
                <w:spacing w:val="-1"/>
                <w:sz w:val="18"/>
                <w:szCs w:val="20"/>
              </w:rPr>
              <w:t>＜</w:t>
            </w:r>
            <w:r w:rsidRPr="008B7E5F">
              <w:rPr>
                <w:rFonts w:ascii="宋体" w:hAnsi="宋体" w:cs="宋体"/>
                <w:color w:val="231F20"/>
                <w:spacing w:val="-1"/>
                <w:sz w:val="18"/>
                <w:szCs w:val="20"/>
              </w:rPr>
              <w:t>90%D</w:t>
            </w:r>
            <w:r w:rsidRPr="008B7E5F">
              <w:rPr>
                <w:rFonts w:ascii="宋体" w:hAnsi="宋体" w:cs="宋体"/>
                <w:color w:val="231F20"/>
                <w:spacing w:val="-1"/>
                <w:sz w:val="18"/>
                <w:szCs w:val="20"/>
                <w:vertAlign w:val="superscript"/>
              </w:rPr>
              <w:t>*</w:t>
            </w:r>
            <w:r w:rsidRPr="008B7E5F">
              <w:rPr>
                <w:rFonts w:ascii="宋体" w:hAnsi="宋体" w:cs="宋体"/>
                <w:color w:val="231F20"/>
                <w:spacing w:val="-1"/>
                <w:sz w:val="18"/>
                <w:szCs w:val="20"/>
              </w:rPr>
              <w:t>或D</w:t>
            </w:r>
            <w:r w:rsidRPr="008B7E5F">
              <w:rPr>
                <w:rFonts w:ascii="宋体" w:hAnsi="宋体" w:cs="宋体"/>
                <w:color w:val="231F20"/>
                <w:spacing w:val="-1"/>
                <w:sz w:val="18"/>
                <w:szCs w:val="20"/>
                <w:vertAlign w:val="superscript"/>
              </w:rPr>
              <w:t>*</w:t>
            </w:r>
            <w:r w:rsidR="00ED09CC">
              <w:rPr>
                <w:rFonts w:ascii="宋体" w:hAnsi="宋体" w:cs="宋体" w:hint="eastAsia"/>
                <w:color w:val="231F20"/>
                <w:spacing w:val="-1"/>
                <w:sz w:val="18"/>
                <w:szCs w:val="20"/>
              </w:rPr>
              <w:t>减去</w:t>
            </w:r>
            <w:r w:rsidRPr="008B7E5F">
              <w:rPr>
                <w:rFonts w:ascii="宋体" w:hAnsi="宋体" w:cs="宋体"/>
                <w:color w:val="231F20"/>
                <w:spacing w:val="-1"/>
                <w:sz w:val="18"/>
                <w:szCs w:val="20"/>
              </w:rPr>
              <w:t>1.0kGy，以</w:t>
            </w:r>
            <w:r w:rsidRPr="008B7E5F">
              <w:rPr>
                <w:rFonts w:ascii="宋体" w:hAnsi="宋体" w:cs="宋体"/>
                <w:color w:val="231F20"/>
                <w:spacing w:val="-2"/>
                <w:sz w:val="18"/>
                <w:szCs w:val="20"/>
              </w:rPr>
              <w:t>较小者为准</w:t>
            </w:r>
          </w:p>
        </w:tc>
      </w:tr>
      <w:tr w:rsidR="008B7E5F" w:rsidRPr="008B7E5F" w:rsidTr="008B7E5F">
        <w:trPr>
          <w:trHeight w:val="322"/>
        </w:trPr>
        <w:tc>
          <w:tcPr>
            <w:tcW w:w="9735" w:type="dxa"/>
            <w:gridSpan w:val="3"/>
            <w:shd w:val="clear" w:color="auto" w:fill="auto"/>
            <w:vAlign w:val="center"/>
          </w:tcPr>
          <w:p w:rsidR="008B7E5F" w:rsidRPr="008B7E5F" w:rsidRDefault="008B7E5F" w:rsidP="008B7E5F">
            <w:pPr>
              <w:spacing w:before="96" w:line="240" w:lineRule="auto"/>
              <w:ind w:firstLine="59"/>
              <w:rPr>
                <w:rFonts w:ascii="宋体" w:hAnsi="宋体" w:cs="宋体"/>
                <w:sz w:val="18"/>
                <w:szCs w:val="20"/>
              </w:rPr>
            </w:pPr>
            <w:r w:rsidRPr="008B7E5F">
              <w:rPr>
                <w:rFonts w:ascii="宋体" w:hAnsi="宋体" w:cs="宋体"/>
                <w:color w:val="231F20"/>
                <w:spacing w:val="-2"/>
                <w:sz w:val="18"/>
                <w:szCs w:val="20"/>
              </w:rPr>
              <w:t>方法2B</w:t>
            </w:r>
          </w:p>
        </w:tc>
      </w:tr>
      <w:tr w:rsidR="008B7E5F" w:rsidRPr="008B7E5F" w:rsidTr="00D517D2">
        <w:trPr>
          <w:trHeight w:val="1087"/>
        </w:trPr>
        <w:tc>
          <w:tcPr>
            <w:tcW w:w="3094" w:type="dxa"/>
            <w:shd w:val="clear" w:color="auto" w:fill="auto"/>
            <w:vAlign w:val="center"/>
          </w:tcPr>
          <w:p w:rsidR="008B7E5F" w:rsidRPr="008B7E5F" w:rsidRDefault="008B7E5F" w:rsidP="008B7E5F">
            <w:pPr>
              <w:spacing w:before="21" w:line="240" w:lineRule="auto"/>
              <w:ind w:firstLine="73"/>
              <w:rPr>
                <w:rFonts w:ascii="宋体" w:hAnsi="宋体" w:cs="宋体"/>
                <w:sz w:val="18"/>
                <w:szCs w:val="20"/>
              </w:rPr>
            </w:pPr>
            <w:r w:rsidRPr="008B7E5F">
              <w:rPr>
                <w:rFonts w:ascii="宋体" w:hAnsi="宋体" w:cs="宋体" w:hint="eastAsia"/>
                <w:color w:val="231F20"/>
                <w:spacing w:val="-3"/>
                <w:sz w:val="18"/>
                <w:szCs w:val="20"/>
              </w:rPr>
              <w:t>对于</w:t>
            </w:r>
            <w:r w:rsidRPr="008B7E5F">
              <w:rPr>
                <w:rFonts w:ascii="宋体" w:hAnsi="宋体" w:cs="宋体"/>
                <w:color w:val="231F20"/>
                <w:spacing w:val="-3"/>
                <w:sz w:val="18"/>
                <w:szCs w:val="20"/>
              </w:rPr>
              <w:t>1kGy的IDE</w:t>
            </w:r>
            <w:r w:rsidRPr="008B7E5F">
              <w:rPr>
                <w:rFonts w:ascii="宋体" w:hAnsi="宋体" w:cs="宋体"/>
                <w:sz w:val="18"/>
                <w:szCs w:val="20"/>
              </w:rPr>
              <w:t xml:space="preserve"> </w:t>
            </w:r>
          </w:p>
          <w:p w:rsidR="008B7E5F" w:rsidRPr="008B7E5F" w:rsidRDefault="008B7E5F" w:rsidP="008B7E5F">
            <w:pPr>
              <w:spacing w:before="21" w:line="240" w:lineRule="auto"/>
              <w:ind w:firstLine="73"/>
              <w:rPr>
                <w:rFonts w:ascii="宋体" w:hAnsi="宋体" w:cs="宋体"/>
                <w:sz w:val="18"/>
                <w:szCs w:val="20"/>
              </w:rPr>
            </w:pPr>
            <w:r w:rsidRPr="008B7E5F">
              <w:rPr>
                <w:rFonts w:ascii="宋体" w:hAnsi="宋体" w:cs="宋体" w:hint="eastAsia"/>
                <w:sz w:val="18"/>
                <w:szCs w:val="20"/>
              </w:rPr>
              <w:t>其他剂量的IDE</w:t>
            </w:r>
          </w:p>
        </w:tc>
        <w:tc>
          <w:tcPr>
            <w:tcW w:w="3389" w:type="dxa"/>
            <w:shd w:val="clear" w:color="auto" w:fill="auto"/>
            <w:vAlign w:val="center"/>
          </w:tcPr>
          <w:p w:rsidR="008B7E5F" w:rsidRPr="008B7E5F" w:rsidRDefault="008B7E5F" w:rsidP="008B7E5F">
            <w:pPr>
              <w:spacing w:before="21" w:line="240" w:lineRule="auto"/>
              <w:ind w:firstLine="52"/>
              <w:rPr>
                <w:rFonts w:ascii="宋体" w:hAnsi="宋体" w:cs="宋体"/>
                <w:sz w:val="18"/>
                <w:szCs w:val="20"/>
              </w:rPr>
            </w:pPr>
            <w:r w:rsidRPr="008B7E5F">
              <w:rPr>
                <w:rFonts w:ascii="宋体" w:hAnsi="宋体" w:cs="宋体"/>
                <w:color w:val="231F20"/>
                <w:spacing w:val="-1"/>
                <w:sz w:val="18"/>
                <w:szCs w:val="20"/>
              </w:rPr>
              <w:t>不</w:t>
            </w:r>
            <w:r w:rsidR="00A236A2">
              <w:rPr>
                <w:rFonts w:ascii="宋体" w:hAnsi="宋体" w:cs="宋体" w:hint="eastAsia"/>
                <w:color w:val="231F20"/>
                <w:spacing w:val="-1"/>
                <w:sz w:val="18"/>
                <w:szCs w:val="20"/>
              </w:rPr>
              <w:t>能</w:t>
            </w:r>
            <w:r w:rsidR="00773F0C">
              <w:rPr>
                <w:rFonts w:ascii="宋体" w:hAnsi="宋体" w:cs="宋体"/>
                <w:color w:val="231F20"/>
                <w:spacing w:val="-1"/>
                <w:sz w:val="18"/>
                <w:szCs w:val="20"/>
              </w:rPr>
              <w:t>＞</w:t>
            </w:r>
            <w:r w:rsidRPr="008B7E5F">
              <w:rPr>
                <w:rFonts w:ascii="宋体" w:hAnsi="宋体" w:cs="宋体"/>
                <w:color w:val="231F20"/>
                <w:spacing w:val="-1"/>
                <w:sz w:val="18"/>
                <w:szCs w:val="20"/>
              </w:rPr>
              <w:t>1</w:t>
            </w:r>
            <w:r w:rsidRPr="008B7E5F">
              <w:rPr>
                <w:rFonts w:ascii="宋体" w:hAnsi="宋体" w:cs="宋体" w:hint="eastAsia"/>
                <w:color w:val="231F20"/>
                <w:spacing w:val="-1"/>
                <w:sz w:val="18"/>
                <w:szCs w:val="20"/>
              </w:rPr>
              <w:t>.</w:t>
            </w:r>
            <w:r w:rsidRPr="008B7E5F">
              <w:rPr>
                <w:rFonts w:ascii="宋体" w:hAnsi="宋体" w:cs="宋体"/>
                <w:color w:val="231F20"/>
                <w:spacing w:val="-1"/>
                <w:sz w:val="18"/>
                <w:szCs w:val="20"/>
              </w:rPr>
              <w:t>2kGy（20%）</w:t>
            </w:r>
          </w:p>
          <w:p w:rsidR="008B7E5F" w:rsidRPr="008B7E5F" w:rsidRDefault="008B7E5F" w:rsidP="008B7E5F">
            <w:pPr>
              <w:spacing w:before="65" w:line="240" w:lineRule="auto"/>
              <w:ind w:left="53" w:right="384"/>
              <w:rPr>
                <w:rFonts w:ascii="宋体" w:hAnsi="宋体" w:cs="宋体"/>
                <w:sz w:val="18"/>
                <w:szCs w:val="20"/>
              </w:rPr>
            </w:pPr>
            <w:r w:rsidRPr="008B7E5F">
              <w:rPr>
                <w:rFonts w:ascii="宋体" w:hAnsi="宋体" w:cs="宋体" w:hint="eastAsia"/>
                <w:color w:val="231F20"/>
                <w:spacing w:val="-1"/>
                <w:sz w:val="18"/>
                <w:szCs w:val="20"/>
              </w:rPr>
              <w:t>不</w:t>
            </w:r>
            <w:r w:rsidR="00A236A2">
              <w:rPr>
                <w:rFonts w:ascii="宋体" w:hAnsi="宋体" w:cs="宋体" w:hint="eastAsia"/>
                <w:color w:val="231F20"/>
                <w:spacing w:val="-1"/>
                <w:sz w:val="18"/>
                <w:szCs w:val="20"/>
              </w:rPr>
              <w:t>能</w:t>
            </w:r>
            <w:r w:rsidR="00773F0C">
              <w:rPr>
                <w:rFonts w:ascii="宋体" w:hAnsi="宋体" w:cs="宋体"/>
                <w:color w:val="231F20"/>
                <w:spacing w:val="-1"/>
                <w:sz w:val="18"/>
                <w:szCs w:val="20"/>
              </w:rPr>
              <w:t>＞</w:t>
            </w:r>
            <w:r w:rsidRPr="008B7E5F">
              <w:rPr>
                <w:rFonts w:ascii="宋体" w:hAnsi="宋体" w:cs="宋体" w:hint="eastAsia"/>
                <w:color w:val="231F20"/>
                <w:spacing w:val="-1"/>
                <w:sz w:val="18"/>
                <w:szCs w:val="20"/>
              </w:rPr>
              <w:t>增加</w:t>
            </w:r>
            <w:r w:rsidRPr="008B7E5F">
              <w:rPr>
                <w:rFonts w:ascii="宋体" w:hAnsi="宋体" w:cs="宋体"/>
                <w:color w:val="231F20"/>
                <w:spacing w:val="-1"/>
                <w:sz w:val="18"/>
                <w:szCs w:val="20"/>
              </w:rPr>
              <w:t>10%ID或0.5kGy，以较大者</w:t>
            </w:r>
            <w:r w:rsidRPr="008B7E5F">
              <w:rPr>
                <w:rFonts w:ascii="宋体" w:hAnsi="宋体" w:cs="宋体"/>
                <w:color w:val="231F20"/>
                <w:spacing w:val="-6"/>
                <w:sz w:val="18"/>
                <w:szCs w:val="20"/>
              </w:rPr>
              <w:t>为准</w:t>
            </w:r>
          </w:p>
        </w:tc>
        <w:tc>
          <w:tcPr>
            <w:tcW w:w="3252" w:type="dxa"/>
            <w:shd w:val="clear" w:color="auto" w:fill="auto"/>
            <w:vAlign w:val="center"/>
          </w:tcPr>
          <w:p w:rsidR="008B7E5F" w:rsidRPr="008B7E5F" w:rsidRDefault="008B7E5F" w:rsidP="008B7E5F">
            <w:pPr>
              <w:spacing w:before="21" w:line="240" w:lineRule="auto"/>
              <w:ind w:firstLine="63"/>
              <w:rPr>
                <w:rFonts w:ascii="宋体" w:hAnsi="宋体" w:cs="宋体"/>
                <w:sz w:val="18"/>
                <w:szCs w:val="20"/>
              </w:rPr>
            </w:pPr>
            <w:r w:rsidRPr="008B7E5F">
              <w:rPr>
                <w:rFonts w:ascii="宋体" w:hAnsi="宋体" w:cs="宋体"/>
                <w:color w:val="231F20"/>
                <w:spacing w:val="-1"/>
                <w:sz w:val="18"/>
                <w:szCs w:val="20"/>
              </w:rPr>
              <w:t>不</w:t>
            </w:r>
            <w:r w:rsidR="00A236A2">
              <w:rPr>
                <w:rFonts w:ascii="宋体" w:hAnsi="宋体" w:cs="宋体" w:hint="eastAsia"/>
                <w:color w:val="231F20"/>
                <w:spacing w:val="-1"/>
                <w:sz w:val="18"/>
                <w:szCs w:val="20"/>
              </w:rPr>
              <w:t>能</w:t>
            </w:r>
            <w:r w:rsidR="00773F0C">
              <w:rPr>
                <w:rFonts w:ascii="宋体" w:hAnsi="宋体" w:cs="宋体"/>
                <w:color w:val="231F20"/>
                <w:spacing w:val="-1"/>
                <w:sz w:val="18"/>
                <w:szCs w:val="20"/>
              </w:rPr>
              <w:t>＜</w:t>
            </w:r>
            <w:r w:rsidRPr="008B7E5F">
              <w:rPr>
                <w:rFonts w:ascii="宋体" w:hAnsi="宋体" w:cs="宋体"/>
                <w:color w:val="231F20"/>
                <w:spacing w:val="-1"/>
                <w:sz w:val="18"/>
                <w:szCs w:val="20"/>
              </w:rPr>
              <w:t>0.8kGy（20%）</w:t>
            </w:r>
          </w:p>
          <w:p w:rsidR="008B7E5F" w:rsidRPr="008B7E5F" w:rsidRDefault="008B7E5F" w:rsidP="008B7E5F">
            <w:pPr>
              <w:spacing w:line="240" w:lineRule="auto"/>
              <w:ind w:left="73" w:right="386" w:hanging="11"/>
              <w:rPr>
                <w:rFonts w:ascii="宋体" w:hAnsi="宋体" w:cs="宋体"/>
                <w:sz w:val="18"/>
                <w:szCs w:val="20"/>
              </w:rPr>
            </w:pPr>
            <w:r w:rsidRPr="008B7E5F">
              <w:rPr>
                <w:rFonts w:ascii="宋体" w:hAnsi="宋体" w:cs="宋体"/>
                <w:color w:val="231F20"/>
                <w:spacing w:val="-1"/>
                <w:sz w:val="18"/>
                <w:szCs w:val="20"/>
              </w:rPr>
              <w:t>不</w:t>
            </w:r>
            <w:r w:rsidR="00A236A2">
              <w:rPr>
                <w:rFonts w:ascii="宋体" w:hAnsi="宋体" w:cs="宋体" w:hint="eastAsia"/>
                <w:color w:val="231F20"/>
                <w:spacing w:val="-1"/>
                <w:sz w:val="18"/>
                <w:szCs w:val="20"/>
              </w:rPr>
              <w:t>能</w:t>
            </w:r>
            <w:r w:rsidR="00773F0C">
              <w:rPr>
                <w:rFonts w:ascii="宋体" w:hAnsi="宋体" w:cs="宋体"/>
                <w:color w:val="231F20"/>
                <w:spacing w:val="-1"/>
                <w:sz w:val="18"/>
                <w:szCs w:val="20"/>
              </w:rPr>
              <w:t>＜</w:t>
            </w:r>
            <w:r w:rsidRPr="008B7E5F">
              <w:rPr>
                <w:rFonts w:ascii="宋体" w:hAnsi="宋体" w:cs="宋体"/>
                <w:color w:val="231F20"/>
                <w:spacing w:val="-1"/>
                <w:sz w:val="18"/>
                <w:szCs w:val="20"/>
              </w:rPr>
              <w:t>90%ID或ID减去0</w:t>
            </w:r>
            <w:r w:rsidRPr="008B7E5F">
              <w:rPr>
                <w:rFonts w:ascii="宋体" w:hAnsi="宋体" w:cs="宋体" w:hint="eastAsia"/>
                <w:color w:val="231F20"/>
                <w:spacing w:val="-1"/>
                <w:sz w:val="18"/>
                <w:szCs w:val="20"/>
              </w:rPr>
              <w:t>.</w:t>
            </w:r>
            <w:r w:rsidRPr="008B7E5F">
              <w:rPr>
                <w:rFonts w:ascii="宋体" w:hAnsi="宋体" w:cs="宋体"/>
                <w:color w:val="231F20"/>
                <w:spacing w:val="-1"/>
                <w:sz w:val="18"/>
                <w:szCs w:val="20"/>
              </w:rPr>
              <w:t>5kGy</w:t>
            </w:r>
            <w:r w:rsidRPr="008B7E5F">
              <w:rPr>
                <w:rFonts w:ascii="宋体" w:hAnsi="宋体" w:cs="宋体"/>
                <w:color w:val="231F20"/>
                <w:spacing w:val="-4"/>
                <w:sz w:val="18"/>
                <w:szCs w:val="20"/>
              </w:rPr>
              <w:t>，以较小者为准</w:t>
            </w:r>
          </w:p>
        </w:tc>
      </w:tr>
      <w:tr w:rsidR="008B7E5F" w:rsidRPr="008B7E5F" w:rsidTr="00D517D2">
        <w:trPr>
          <w:trHeight w:val="631"/>
        </w:trPr>
        <w:tc>
          <w:tcPr>
            <w:tcW w:w="3094" w:type="dxa"/>
            <w:shd w:val="clear" w:color="auto" w:fill="auto"/>
            <w:vAlign w:val="center"/>
          </w:tcPr>
          <w:p w:rsidR="008B7E5F" w:rsidRPr="008B7E5F" w:rsidRDefault="008B7E5F" w:rsidP="008B7E5F">
            <w:pPr>
              <w:spacing w:before="63" w:line="240" w:lineRule="auto"/>
              <w:ind w:firstLine="48"/>
              <w:rPr>
                <w:rFonts w:ascii="宋体" w:hAnsi="宋体" w:cs="宋体"/>
                <w:sz w:val="18"/>
                <w:szCs w:val="20"/>
              </w:rPr>
            </w:pPr>
            <w:r w:rsidRPr="008B7E5F">
              <w:rPr>
                <w:rFonts w:ascii="宋体" w:hAnsi="宋体" w:cs="宋体" w:hint="eastAsia"/>
                <w:color w:val="231F20"/>
                <w:sz w:val="18"/>
                <w:szCs w:val="20"/>
              </w:rPr>
              <w:t>V</w:t>
            </w:r>
            <w:r w:rsidRPr="008B7E5F">
              <w:rPr>
                <w:rFonts w:ascii="宋体" w:hAnsi="宋体" w:cs="宋体"/>
                <w:color w:val="231F20"/>
                <w:sz w:val="18"/>
                <w:szCs w:val="20"/>
              </w:rPr>
              <w:t>DE</w:t>
            </w:r>
          </w:p>
        </w:tc>
        <w:tc>
          <w:tcPr>
            <w:tcW w:w="3389" w:type="dxa"/>
            <w:shd w:val="clear" w:color="auto" w:fill="auto"/>
            <w:vAlign w:val="center"/>
          </w:tcPr>
          <w:p w:rsidR="008B7E5F" w:rsidRPr="008B7E5F" w:rsidRDefault="008B7E5F" w:rsidP="008B7E5F">
            <w:pPr>
              <w:spacing w:before="20" w:line="240" w:lineRule="auto"/>
              <w:ind w:firstLine="54"/>
              <w:rPr>
                <w:rFonts w:ascii="宋体" w:hAnsi="宋体" w:cs="宋体"/>
                <w:sz w:val="18"/>
                <w:szCs w:val="20"/>
              </w:rPr>
            </w:pPr>
            <w:r w:rsidRPr="008B7E5F">
              <w:rPr>
                <w:rFonts w:ascii="宋体" w:hAnsi="宋体" w:cs="宋体"/>
                <w:color w:val="231F20"/>
                <w:spacing w:val="-1"/>
                <w:sz w:val="18"/>
                <w:szCs w:val="20"/>
              </w:rPr>
              <w:t>不</w:t>
            </w:r>
            <w:r w:rsidR="00A236A2">
              <w:rPr>
                <w:rFonts w:ascii="宋体" w:hAnsi="宋体" w:cs="宋体" w:hint="eastAsia"/>
                <w:color w:val="231F20"/>
                <w:spacing w:val="-1"/>
                <w:sz w:val="18"/>
                <w:szCs w:val="20"/>
              </w:rPr>
              <w:t>能</w:t>
            </w:r>
            <w:r w:rsidR="00773F0C">
              <w:rPr>
                <w:rFonts w:ascii="宋体" w:hAnsi="宋体" w:cs="宋体"/>
                <w:color w:val="231F20"/>
                <w:spacing w:val="-1"/>
                <w:sz w:val="18"/>
                <w:szCs w:val="20"/>
              </w:rPr>
              <w:t>＞</w:t>
            </w:r>
            <w:r w:rsidRPr="008B7E5F">
              <w:rPr>
                <w:rFonts w:ascii="宋体" w:hAnsi="宋体" w:cs="宋体" w:hint="eastAsia"/>
                <w:color w:val="231F20"/>
                <w:spacing w:val="-1"/>
                <w:sz w:val="18"/>
                <w:szCs w:val="20"/>
              </w:rPr>
              <w:t>增加</w:t>
            </w:r>
            <w:r w:rsidRPr="008B7E5F">
              <w:rPr>
                <w:rFonts w:ascii="宋体" w:hAnsi="宋体" w:cs="宋体"/>
                <w:color w:val="231F20"/>
                <w:spacing w:val="-1"/>
                <w:sz w:val="18"/>
                <w:szCs w:val="20"/>
              </w:rPr>
              <w:t>10%D</w:t>
            </w:r>
            <w:r w:rsidRPr="008B7E5F">
              <w:rPr>
                <w:rFonts w:ascii="宋体" w:hAnsi="宋体" w:cs="宋体"/>
                <w:color w:val="231F20"/>
                <w:spacing w:val="-1"/>
                <w:sz w:val="18"/>
                <w:szCs w:val="20"/>
                <w:vertAlign w:val="superscript"/>
              </w:rPr>
              <w:t>*</w:t>
            </w:r>
            <w:r w:rsidRPr="008B7E5F">
              <w:rPr>
                <w:rFonts w:ascii="宋体" w:hAnsi="宋体" w:cs="宋体"/>
                <w:color w:val="231F20"/>
                <w:spacing w:val="-1"/>
                <w:sz w:val="18"/>
                <w:szCs w:val="20"/>
              </w:rPr>
              <w:t>或1</w:t>
            </w:r>
            <w:r w:rsidRPr="008B7E5F">
              <w:rPr>
                <w:rFonts w:ascii="宋体" w:hAnsi="宋体" w:cs="宋体" w:hint="eastAsia"/>
                <w:color w:val="231F20"/>
                <w:spacing w:val="-1"/>
                <w:sz w:val="18"/>
                <w:szCs w:val="20"/>
              </w:rPr>
              <w:t>.</w:t>
            </w:r>
            <w:r w:rsidRPr="008B7E5F">
              <w:rPr>
                <w:rFonts w:ascii="宋体" w:hAnsi="宋体" w:cs="宋体"/>
                <w:color w:val="231F20"/>
                <w:spacing w:val="-1"/>
                <w:sz w:val="18"/>
                <w:szCs w:val="20"/>
              </w:rPr>
              <w:t>0kGy，</w:t>
            </w:r>
            <w:r w:rsidRPr="008B7E5F">
              <w:rPr>
                <w:rFonts w:ascii="宋体" w:hAnsi="宋体" w:cs="宋体"/>
                <w:color w:val="231F20"/>
                <w:spacing w:val="-6"/>
                <w:sz w:val="18"/>
                <w:szCs w:val="20"/>
              </w:rPr>
              <w:t>以较大者为准</w:t>
            </w:r>
          </w:p>
        </w:tc>
        <w:tc>
          <w:tcPr>
            <w:tcW w:w="3252" w:type="dxa"/>
            <w:shd w:val="clear" w:color="auto" w:fill="auto"/>
            <w:vAlign w:val="center"/>
          </w:tcPr>
          <w:p w:rsidR="008B7E5F" w:rsidRPr="008B7E5F" w:rsidRDefault="008B7E5F" w:rsidP="008B7E5F">
            <w:pPr>
              <w:spacing w:before="54" w:line="240" w:lineRule="auto"/>
              <w:ind w:left="58" w:right="290" w:firstLine="5"/>
              <w:rPr>
                <w:rFonts w:ascii="宋体" w:hAnsi="宋体" w:cs="宋体"/>
                <w:sz w:val="18"/>
                <w:szCs w:val="20"/>
              </w:rPr>
            </w:pPr>
            <w:r w:rsidRPr="008B7E5F">
              <w:rPr>
                <w:rFonts w:ascii="宋体" w:hAnsi="宋体" w:cs="宋体"/>
                <w:color w:val="231F20"/>
                <w:spacing w:val="-1"/>
                <w:sz w:val="18"/>
                <w:szCs w:val="20"/>
              </w:rPr>
              <w:t>不</w:t>
            </w:r>
            <w:r w:rsidR="00A236A2">
              <w:rPr>
                <w:rFonts w:ascii="宋体" w:hAnsi="宋体" w:cs="宋体" w:hint="eastAsia"/>
                <w:color w:val="231F20"/>
                <w:spacing w:val="-1"/>
                <w:sz w:val="18"/>
                <w:szCs w:val="20"/>
              </w:rPr>
              <w:t>能</w:t>
            </w:r>
            <w:r w:rsidR="00D517D2">
              <w:rPr>
                <w:rFonts w:ascii="宋体" w:hAnsi="宋体" w:cs="宋体"/>
                <w:color w:val="231F20"/>
                <w:spacing w:val="-1"/>
                <w:sz w:val="18"/>
                <w:szCs w:val="20"/>
              </w:rPr>
              <w:t>＜</w:t>
            </w:r>
            <w:r w:rsidRPr="008B7E5F">
              <w:rPr>
                <w:rFonts w:ascii="宋体" w:hAnsi="宋体" w:cs="宋体"/>
                <w:color w:val="231F20"/>
                <w:spacing w:val="-1"/>
                <w:sz w:val="18"/>
                <w:szCs w:val="20"/>
              </w:rPr>
              <w:t>90%D</w:t>
            </w:r>
            <w:r w:rsidRPr="008B7E5F">
              <w:rPr>
                <w:rFonts w:ascii="宋体" w:hAnsi="宋体" w:cs="宋体"/>
                <w:color w:val="231F20"/>
                <w:spacing w:val="-1"/>
                <w:sz w:val="18"/>
                <w:szCs w:val="20"/>
                <w:vertAlign w:val="superscript"/>
              </w:rPr>
              <w:t>*</w:t>
            </w:r>
            <w:r w:rsidRPr="008B7E5F">
              <w:rPr>
                <w:rFonts w:ascii="宋体" w:hAnsi="宋体" w:cs="宋体"/>
                <w:color w:val="231F20"/>
                <w:spacing w:val="-1"/>
                <w:sz w:val="18"/>
                <w:szCs w:val="20"/>
              </w:rPr>
              <w:t>或D</w:t>
            </w:r>
            <w:r w:rsidRPr="008B7E5F">
              <w:rPr>
                <w:rFonts w:ascii="宋体" w:hAnsi="宋体" w:cs="宋体"/>
                <w:color w:val="231F20"/>
                <w:spacing w:val="-1"/>
                <w:sz w:val="18"/>
                <w:szCs w:val="20"/>
                <w:vertAlign w:val="superscript"/>
              </w:rPr>
              <w:t>*</w:t>
            </w:r>
            <w:r w:rsidR="00ED09CC">
              <w:rPr>
                <w:rFonts w:ascii="宋体" w:hAnsi="宋体" w:cs="宋体" w:hint="eastAsia"/>
                <w:color w:val="231F20"/>
                <w:spacing w:val="-1"/>
                <w:sz w:val="18"/>
                <w:szCs w:val="20"/>
              </w:rPr>
              <w:t>减去</w:t>
            </w:r>
            <w:r w:rsidRPr="008B7E5F">
              <w:rPr>
                <w:rFonts w:ascii="宋体" w:hAnsi="宋体" w:cs="宋体"/>
                <w:color w:val="231F20"/>
                <w:spacing w:val="-1"/>
                <w:sz w:val="18"/>
                <w:szCs w:val="20"/>
              </w:rPr>
              <w:t>1.0kGy，以</w:t>
            </w:r>
            <w:r w:rsidRPr="008B7E5F">
              <w:rPr>
                <w:rFonts w:ascii="宋体" w:hAnsi="宋体" w:cs="宋体"/>
                <w:color w:val="231F20"/>
                <w:spacing w:val="-2"/>
                <w:sz w:val="18"/>
                <w:szCs w:val="20"/>
              </w:rPr>
              <w:t>较小者为准</w:t>
            </w:r>
          </w:p>
        </w:tc>
      </w:tr>
      <w:tr w:rsidR="008B7E5F" w:rsidRPr="008B7E5F" w:rsidTr="00773F0C">
        <w:trPr>
          <w:trHeight w:val="293"/>
        </w:trPr>
        <w:tc>
          <w:tcPr>
            <w:tcW w:w="9735" w:type="dxa"/>
            <w:gridSpan w:val="3"/>
            <w:shd w:val="clear" w:color="auto" w:fill="auto"/>
            <w:vAlign w:val="center"/>
          </w:tcPr>
          <w:p w:rsidR="008B7E5F" w:rsidRPr="008B7E5F" w:rsidRDefault="008B7E5F" w:rsidP="008B7E5F">
            <w:pPr>
              <w:spacing w:before="124" w:line="240" w:lineRule="auto"/>
              <w:ind w:firstLine="59"/>
              <w:rPr>
                <w:rFonts w:ascii="宋体" w:hAnsi="宋体" w:cs="宋体"/>
                <w:sz w:val="18"/>
                <w:szCs w:val="20"/>
              </w:rPr>
            </w:pPr>
            <w:r w:rsidRPr="008B7E5F">
              <w:rPr>
                <w:rFonts w:ascii="宋体" w:hAnsi="宋体" w:cs="宋体"/>
                <w:color w:val="231F20"/>
                <w:spacing w:val="-1"/>
                <w:sz w:val="18"/>
                <w:szCs w:val="20"/>
              </w:rPr>
              <w:t>方法</w:t>
            </w:r>
            <w:proofErr w:type="spellStart"/>
            <w:r w:rsidRPr="008B7E5F">
              <w:rPr>
                <w:rFonts w:ascii="宋体" w:hAnsi="宋体" w:cs="宋体"/>
                <w:color w:val="231F20"/>
                <w:spacing w:val="-1"/>
                <w:sz w:val="18"/>
                <w:szCs w:val="20"/>
              </w:rPr>
              <w:t>VDmax</w:t>
            </w:r>
            <w:proofErr w:type="spellEnd"/>
            <w:r w:rsidRPr="008B7E5F">
              <w:rPr>
                <w:rFonts w:ascii="宋体" w:hAnsi="宋体" w:cs="宋体"/>
                <w:color w:val="231F20"/>
                <w:spacing w:val="-1"/>
                <w:position w:val="3"/>
                <w:sz w:val="18"/>
                <w:szCs w:val="20"/>
              </w:rPr>
              <w:t>25</w:t>
            </w:r>
          </w:p>
        </w:tc>
      </w:tr>
      <w:tr w:rsidR="008B7E5F" w:rsidRPr="008B7E5F" w:rsidTr="00D517D2">
        <w:trPr>
          <w:trHeight w:val="632"/>
        </w:trPr>
        <w:tc>
          <w:tcPr>
            <w:tcW w:w="3094" w:type="dxa"/>
            <w:shd w:val="clear" w:color="auto" w:fill="auto"/>
            <w:vAlign w:val="center"/>
          </w:tcPr>
          <w:p w:rsidR="008B7E5F" w:rsidRPr="008B7E5F" w:rsidRDefault="008B7E5F" w:rsidP="008B7E5F">
            <w:pPr>
              <w:spacing w:before="49" w:line="240" w:lineRule="auto"/>
              <w:ind w:firstLine="98"/>
              <w:rPr>
                <w:rFonts w:ascii="宋体" w:hAnsi="宋体" w:cs="宋体"/>
                <w:sz w:val="18"/>
                <w:szCs w:val="20"/>
              </w:rPr>
            </w:pPr>
            <w:r w:rsidRPr="008B7E5F">
              <w:rPr>
                <w:rFonts w:ascii="宋体" w:hAnsi="宋体" w:cs="宋体"/>
                <w:color w:val="231F20"/>
                <w:spacing w:val="-2"/>
                <w:position w:val="5"/>
                <w:sz w:val="18"/>
                <w:szCs w:val="20"/>
              </w:rPr>
              <w:t>(SIP=1,0VDmax</w:t>
            </w:r>
            <w:r w:rsidRPr="008B7E5F">
              <w:rPr>
                <w:rFonts w:ascii="宋体" w:hAnsi="宋体" w:cs="宋体"/>
                <w:color w:val="231F20"/>
                <w:spacing w:val="-2"/>
                <w:position w:val="8"/>
                <w:sz w:val="18"/>
                <w:szCs w:val="20"/>
              </w:rPr>
              <w:t>25</w:t>
            </w:r>
            <w:r w:rsidRPr="008B7E5F">
              <w:rPr>
                <w:rFonts w:ascii="宋体" w:hAnsi="宋体" w:cs="宋体" w:hint="eastAsia"/>
                <w:color w:val="231F20"/>
                <w:spacing w:val="-2"/>
                <w:position w:val="5"/>
                <w:sz w:val="18"/>
                <w:szCs w:val="20"/>
              </w:rPr>
              <w:t>范围</w:t>
            </w:r>
            <w:r w:rsidRPr="008B7E5F">
              <w:rPr>
                <w:rFonts w:ascii="宋体" w:hAnsi="宋体" w:cs="宋体"/>
                <w:color w:val="231F20"/>
                <w:spacing w:val="-2"/>
                <w:position w:val="5"/>
                <w:sz w:val="18"/>
                <w:szCs w:val="20"/>
              </w:rPr>
              <w:t>0.9至9.2kGy</w:t>
            </w:r>
            <w:r w:rsidRPr="008B7E5F">
              <w:rPr>
                <w:rFonts w:ascii="宋体" w:hAnsi="宋体" w:cs="宋体"/>
                <w:color w:val="231F20"/>
                <w:spacing w:val="-1"/>
                <w:sz w:val="18"/>
                <w:szCs w:val="20"/>
              </w:rPr>
              <w:t>）</w:t>
            </w:r>
          </w:p>
        </w:tc>
        <w:tc>
          <w:tcPr>
            <w:tcW w:w="3389" w:type="dxa"/>
            <w:shd w:val="clear" w:color="auto" w:fill="auto"/>
            <w:vAlign w:val="center"/>
          </w:tcPr>
          <w:p w:rsidR="008B7E5F" w:rsidRPr="008B7E5F" w:rsidRDefault="008B7E5F" w:rsidP="008B7E5F">
            <w:pPr>
              <w:spacing w:before="32" w:line="240" w:lineRule="auto"/>
              <w:ind w:firstLine="54"/>
              <w:rPr>
                <w:rFonts w:ascii="宋体" w:hAnsi="宋体" w:cs="宋体"/>
                <w:sz w:val="18"/>
                <w:szCs w:val="20"/>
              </w:rPr>
            </w:pPr>
            <w:r w:rsidRPr="008B7E5F">
              <w:rPr>
                <w:rFonts w:ascii="宋体" w:hAnsi="宋体" w:cs="宋体"/>
                <w:color w:val="231F20"/>
                <w:spacing w:val="-1"/>
                <w:sz w:val="18"/>
                <w:szCs w:val="20"/>
              </w:rPr>
              <w:t>不</w:t>
            </w:r>
            <w:r w:rsidR="00A236A2">
              <w:rPr>
                <w:rFonts w:ascii="宋体" w:hAnsi="宋体" w:cs="宋体" w:hint="eastAsia"/>
                <w:color w:val="231F20"/>
                <w:spacing w:val="-1"/>
                <w:sz w:val="18"/>
                <w:szCs w:val="20"/>
              </w:rPr>
              <w:t>能</w:t>
            </w:r>
            <w:r w:rsidR="00D517D2">
              <w:rPr>
                <w:rFonts w:ascii="宋体" w:hAnsi="宋体" w:cs="宋体"/>
                <w:color w:val="231F20"/>
                <w:spacing w:val="-1"/>
                <w:sz w:val="18"/>
                <w:szCs w:val="20"/>
              </w:rPr>
              <w:t>＞</w:t>
            </w:r>
            <w:r w:rsidRPr="008B7E5F">
              <w:rPr>
                <w:rFonts w:ascii="宋体" w:hAnsi="宋体" w:cs="宋体" w:hint="eastAsia"/>
                <w:color w:val="231F20"/>
                <w:spacing w:val="-1"/>
                <w:sz w:val="18"/>
                <w:szCs w:val="20"/>
              </w:rPr>
              <w:t>增加</w:t>
            </w:r>
            <w:r w:rsidRPr="008B7E5F">
              <w:rPr>
                <w:rFonts w:ascii="宋体" w:hAnsi="宋体" w:cs="宋体"/>
                <w:color w:val="231F20"/>
                <w:spacing w:val="-1"/>
                <w:position w:val="1"/>
                <w:sz w:val="18"/>
                <w:szCs w:val="20"/>
              </w:rPr>
              <w:t>10</w:t>
            </w:r>
            <w:r w:rsidRPr="008B7E5F">
              <w:rPr>
                <w:rFonts w:ascii="宋体" w:hAnsi="宋体" w:cs="宋体"/>
                <w:color w:val="231F20"/>
                <w:spacing w:val="-1"/>
                <w:sz w:val="18"/>
                <w:szCs w:val="20"/>
              </w:rPr>
              <w:t>%</w:t>
            </w:r>
            <w:proofErr w:type="spellStart"/>
            <w:r w:rsidRPr="008B7E5F">
              <w:rPr>
                <w:rFonts w:ascii="宋体" w:hAnsi="宋体" w:cs="宋体"/>
                <w:color w:val="231F20"/>
                <w:spacing w:val="-1"/>
                <w:sz w:val="18"/>
                <w:szCs w:val="20"/>
              </w:rPr>
              <w:t>VDmax</w:t>
            </w:r>
            <w:proofErr w:type="spellEnd"/>
            <w:r w:rsidRPr="008B7E5F">
              <w:rPr>
                <w:rFonts w:ascii="宋体" w:hAnsi="宋体" w:cs="宋体"/>
                <w:color w:val="231F20"/>
                <w:spacing w:val="-1"/>
                <w:position w:val="1"/>
                <w:sz w:val="18"/>
                <w:szCs w:val="20"/>
                <w:vertAlign w:val="superscript"/>
              </w:rPr>
              <w:t xml:space="preserve">25 </w:t>
            </w:r>
          </w:p>
        </w:tc>
        <w:tc>
          <w:tcPr>
            <w:tcW w:w="3252" w:type="dxa"/>
            <w:shd w:val="clear" w:color="auto" w:fill="auto"/>
            <w:vAlign w:val="center"/>
          </w:tcPr>
          <w:p w:rsidR="008B7E5F" w:rsidRPr="008B7E5F" w:rsidRDefault="008B7E5F" w:rsidP="008B7E5F">
            <w:pPr>
              <w:spacing w:before="42" w:line="240" w:lineRule="auto"/>
              <w:ind w:firstLine="66"/>
              <w:rPr>
                <w:rFonts w:ascii="宋体" w:hAnsi="宋体" w:cs="宋体"/>
                <w:sz w:val="18"/>
                <w:szCs w:val="20"/>
              </w:rPr>
            </w:pPr>
            <w:r w:rsidRPr="008B7E5F">
              <w:rPr>
                <w:rFonts w:ascii="宋体" w:hAnsi="宋体" w:cs="宋体"/>
                <w:color w:val="231F20"/>
                <w:spacing w:val="-2"/>
                <w:sz w:val="18"/>
                <w:szCs w:val="20"/>
              </w:rPr>
              <w:t>不</w:t>
            </w:r>
            <w:r w:rsidR="00A236A2">
              <w:rPr>
                <w:rFonts w:ascii="宋体" w:hAnsi="宋体" w:cs="宋体" w:hint="eastAsia"/>
                <w:color w:val="231F20"/>
                <w:spacing w:val="-2"/>
                <w:sz w:val="18"/>
                <w:szCs w:val="20"/>
              </w:rPr>
              <w:t>能</w:t>
            </w:r>
            <w:r w:rsidR="00D517D2">
              <w:rPr>
                <w:rFonts w:ascii="宋体" w:hAnsi="宋体" w:cs="宋体"/>
                <w:color w:val="231F20"/>
                <w:spacing w:val="-2"/>
                <w:sz w:val="18"/>
                <w:szCs w:val="20"/>
              </w:rPr>
              <w:t>＜</w:t>
            </w:r>
            <w:r w:rsidRPr="008B7E5F">
              <w:rPr>
                <w:rFonts w:ascii="宋体" w:hAnsi="宋体" w:cs="宋体"/>
                <w:color w:val="231F20"/>
                <w:spacing w:val="-2"/>
                <w:sz w:val="18"/>
                <w:szCs w:val="20"/>
              </w:rPr>
              <w:t>90%VDmax</w:t>
            </w:r>
            <w:r w:rsidRPr="008B7E5F">
              <w:rPr>
                <w:rFonts w:ascii="宋体" w:hAnsi="宋体" w:cs="宋体"/>
                <w:color w:val="231F20"/>
                <w:spacing w:val="-2"/>
                <w:position w:val="4"/>
                <w:sz w:val="18"/>
                <w:szCs w:val="20"/>
              </w:rPr>
              <w:t>25</w:t>
            </w:r>
          </w:p>
        </w:tc>
      </w:tr>
      <w:tr w:rsidR="008B7E5F" w:rsidRPr="008B7E5F" w:rsidTr="00773F0C">
        <w:trPr>
          <w:trHeight w:val="465"/>
        </w:trPr>
        <w:tc>
          <w:tcPr>
            <w:tcW w:w="9735" w:type="dxa"/>
            <w:gridSpan w:val="3"/>
            <w:shd w:val="clear" w:color="auto" w:fill="auto"/>
            <w:vAlign w:val="center"/>
          </w:tcPr>
          <w:p w:rsidR="008B7E5F" w:rsidRPr="008B7E5F" w:rsidRDefault="008B7E5F" w:rsidP="008B7E5F">
            <w:pPr>
              <w:spacing w:line="240" w:lineRule="auto"/>
              <w:ind w:firstLine="57"/>
              <w:rPr>
                <w:rFonts w:ascii="宋体" w:hAnsi="宋体" w:cs="宋体"/>
                <w:color w:val="231F20"/>
                <w:spacing w:val="-1"/>
                <w:sz w:val="18"/>
                <w:szCs w:val="20"/>
              </w:rPr>
            </w:pPr>
            <w:r w:rsidRPr="008B7E5F">
              <w:rPr>
                <w:rFonts w:ascii="宋体" w:hAnsi="宋体" w:cs="宋体"/>
                <w:color w:val="231F20"/>
                <w:spacing w:val="-1"/>
                <w:sz w:val="18"/>
                <w:szCs w:val="20"/>
              </w:rPr>
              <w:t>方法</w:t>
            </w:r>
            <w:proofErr w:type="spellStart"/>
            <w:r w:rsidRPr="008B7E5F">
              <w:rPr>
                <w:rFonts w:ascii="宋体" w:hAnsi="宋体" w:cs="宋体"/>
                <w:color w:val="231F20"/>
                <w:spacing w:val="-1"/>
                <w:sz w:val="18"/>
                <w:szCs w:val="20"/>
              </w:rPr>
              <w:t>VDmax</w:t>
            </w:r>
            <w:proofErr w:type="spellEnd"/>
            <w:r w:rsidRPr="008B7E5F">
              <w:rPr>
                <w:rFonts w:ascii="宋体" w:hAnsi="宋体" w:cs="宋体"/>
                <w:color w:val="231F20"/>
                <w:spacing w:val="-1"/>
                <w:position w:val="3"/>
                <w:sz w:val="18"/>
                <w:szCs w:val="20"/>
              </w:rPr>
              <w:t>15</w:t>
            </w:r>
          </w:p>
        </w:tc>
      </w:tr>
      <w:tr w:rsidR="008B7E5F" w:rsidRPr="008B7E5F" w:rsidTr="00D517D2">
        <w:trPr>
          <w:trHeight w:val="841"/>
        </w:trPr>
        <w:tc>
          <w:tcPr>
            <w:tcW w:w="3094" w:type="dxa"/>
            <w:shd w:val="clear" w:color="auto" w:fill="auto"/>
            <w:vAlign w:val="center"/>
          </w:tcPr>
          <w:p w:rsidR="008B7E5F" w:rsidRPr="008B7E5F" w:rsidRDefault="008B7E5F" w:rsidP="008B7E5F">
            <w:pPr>
              <w:spacing w:before="31" w:line="240" w:lineRule="auto"/>
              <w:ind w:firstLine="98"/>
              <w:rPr>
                <w:rFonts w:ascii="宋体" w:hAnsi="宋体" w:cs="宋体"/>
                <w:sz w:val="18"/>
                <w:szCs w:val="20"/>
              </w:rPr>
            </w:pPr>
            <w:r w:rsidRPr="008B7E5F">
              <w:rPr>
                <w:rFonts w:ascii="宋体" w:hAnsi="宋体" w:cs="宋体"/>
                <w:color w:val="231F20"/>
                <w:spacing w:val="-3"/>
                <w:position w:val="5"/>
                <w:sz w:val="18"/>
                <w:szCs w:val="20"/>
              </w:rPr>
              <w:t>(SIP=1.0VDmax</w:t>
            </w:r>
            <w:r w:rsidRPr="008B7E5F">
              <w:rPr>
                <w:rFonts w:ascii="宋体" w:hAnsi="宋体" w:cs="宋体"/>
                <w:color w:val="231F20"/>
                <w:spacing w:val="-3"/>
                <w:position w:val="8"/>
                <w:sz w:val="18"/>
                <w:szCs w:val="20"/>
              </w:rPr>
              <w:t>15</w:t>
            </w:r>
            <w:r w:rsidRPr="008B7E5F">
              <w:rPr>
                <w:rFonts w:ascii="宋体" w:hAnsi="宋体" w:cs="宋体" w:hint="eastAsia"/>
                <w:color w:val="231F20"/>
                <w:spacing w:val="-3"/>
                <w:position w:val="5"/>
                <w:sz w:val="18"/>
                <w:szCs w:val="20"/>
              </w:rPr>
              <w:t>范围</w:t>
            </w:r>
            <w:r w:rsidRPr="008B7E5F">
              <w:rPr>
                <w:rFonts w:ascii="宋体" w:hAnsi="宋体" w:cs="宋体"/>
                <w:color w:val="231F20"/>
                <w:spacing w:val="-3"/>
                <w:position w:val="5"/>
                <w:sz w:val="18"/>
                <w:szCs w:val="20"/>
              </w:rPr>
              <w:t>0.5至2.3kGy</w:t>
            </w:r>
            <w:r w:rsidRPr="008B7E5F">
              <w:rPr>
                <w:rFonts w:ascii="宋体" w:hAnsi="宋体" w:cs="宋体"/>
                <w:color w:val="231F20"/>
                <w:spacing w:val="-1"/>
                <w:sz w:val="18"/>
                <w:szCs w:val="20"/>
              </w:rPr>
              <w:t>）</w:t>
            </w:r>
          </w:p>
        </w:tc>
        <w:tc>
          <w:tcPr>
            <w:tcW w:w="3389" w:type="dxa"/>
            <w:shd w:val="clear" w:color="auto" w:fill="auto"/>
            <w:vAlign w:val="center"/>
          </w:tcPr>
          <w:p w:rsidR="008B7E5F" w:rsidRPr="008B7E5F" w:rsidRDefault="008B7E5F" w:rsidP="008B7E5F">
            <w:pPr>
              <w:spacing w:before="66" w:line="240" w:lineRule="auto"/>
              <w:ind w:left="62" w:right="478" w:hanging="8"/>
              <w:rPr>
                <w:rFonts w:ascii="宋体" w:hAnsi="宋体" w:cs="宋体"/>
                <w:sz w:val="18"/>
                <w:szCs w:val="20"/>
              </w:rPr>
            </w:pPr>
            <w:r w:rsidRPr="008B7E5F">
              <w:rPr>
                <w:rFonts w:ascii="宋体" w:hAnsi="宋体" w:cs="宋体"/>
                <w:color w:val="231F20"/>
                <w:spacing w:val="-1"/>
                <w:sz w:val="18"/>
                <w:szCs w:val="20"/>
              </w:rPr>
              <w:t>不</w:t>
            </w:r>
            <w:r w:rsidR="00A236A2">
              <w:rPr>
                <w:rFonts w:ascii="宋体" w:hAnsi="宋体" w:cs="宋体" w:hint="eastAsia"/>
                <w:color w:val="231F20"/>
                <w:spacing w:val="-1"/>
                <w:sz w:val="18"/>
                <w:szCs w:val="20"/>
              </w:rPr>
              <w:t>能</w:t>
            </w:r>
            <w:r w:rsidR="00D517D2">
              <w:rPr>
                <w:rFonts w:ascii="宋体" w:hAnsi="宋体" w:cs="宋体"/>
                <w:color w:val="231F20"/>
                <w:spacing w:val="-1"/>
                <w:sz w:val="18"/>
                <w:szCs w:val="20"/>
              </w:rPr>
              <w:t>＞</w:t>
            </w:r>
            <w:r w:rsidRPr="008B7E5F">
              <w:rPr>
                <w:rFonts w:ascii="宋体" w:hAnsi="宋体" w:cs="宋体"/>
                <w:color w:val="231F20"/>
                <w:spacing w:val="-1"/>
                <w:sz w:val="18"/>
                <w:szCs w:val="20"/>
              </w:rPr>
              <w:t>增加10%VDmax</w:t>
            </w:r>
            <w:r w:rsidRPr="008B7E5F">
              <w:rPr>
                <w:rFonts w:ascii="宋体" w:hAnsi="宋体" w:cs="宋体"/>
                <w:color w:val="231F20"/>
                <w:spacing w:val="-1"/>
                <w:position w:val="3"/>
                <w:sz w:val="18"/>
                <w:szCs w:val="20"/>
              </w:rPr>
              <w:t>15</w:t>
            </w:r>
            <w:r w:rsidRPr="008B7E5F">
              <w:rPr>
                <w:rFonts w:ascii="宋体" w:hAnsi="宋体" w:cs="宋体"/>
                <w:color w:val="231F20"/>
                <w:spacing w:val="-1"/>
                <w:sz w:val="18"/>
                <w:szCs w:val="20"/>
              </w:rPr>
              <w:t>或0</w:t>
            </w:r>
            <w:r w:rsidRPr="008B7E5F">
              <w:rPr>
                <w:rFonts w:ascii="宋体" w:hAnsi="宋体" w:cs="宋体" w:hint="eastAsia"/>
                <w:color w:val="231F20"/>
                <w:spacing w:val="-1"/>
                <w:sz w:val="18"/>
                <w:szCs w:val="20"/>
              </w:rPr>
              <w:t>.</w:t>
            </w:r>
            <w:r w:rsidRPr="008B7E5F">
              <w:rPr>
                <w:rFonts w:ascii="宋体" w:hAnsi="宋体" w:cs="宋体"/>
                <w:color w:val="231F20"/>
                <w:spacing w:val="-1"/>
                <w:sz w:val="18"/>
                <w:szCs w:val="20"/>
              </w:rPr>
              <w:t>1kGy</w:t>
            </w:r>
            <w:r w:rsidRPr="008B7E5F">
              <w:rPr>
                <w:rFonts w:ascii="宋体" w:hAnsi="宋体" w:cs="宋体"/>
                <w:color w:val="231F20"/>
                <w:spacing w:val="-4"/>
                <w:sz w:val="18"/>
                <w:szCs w:val="20"/>
              </w:rPr>
              <w:t>，以较大者为准</w:t>
            </w:r>
          </w:p>
        </w:tc>
        <w:tc>
          <w:tcPr>
            <w:tcW w:w="3252" w:type="dxa"/>
            <w:shd w:val="clear" w:color="auto" w:fill="auto"/>
            <w:vAlign w:val="center"/>
          </w:tcPr>
          <w:p w:rsidR="008B7E5F" w:rsidRPr="008B7E5F" w:rsidRDefault="008B7E5F" w:rsidP="008B7E5F">
            <w:pPr>
              <w:spacing w:before="65" w:line="240" w:lineRule="auto"/>
              <w:ind w:firstLine="66"/>
              <w:rPr>
                <w:rFonts w:ascii="宋体" w:hAnsi="宋体" w:cs="宋体"/>
                <w:sz w:val="18"/>
                <w:szCs w:val="20"/>
              </w:rPr>
            </w:pPr>
            <w:r w:rsidRPr="008B7E5F">
              <w:rPr>
                <w:rFonts w:ascii="宋体" w:hAnsi="宋体" w:cs="宋体"/>
                <w:color w:val="231F20"/>
                <w:spacing w:val="-2"/>
                <w:sz w:val="18"/>
                <w:szCs w:val="20"/>
              </w:rPr>
              <w:t>不</w:t>
            </w:r>
            <w:r w:rsidR="00A236A2">
              <w:rPr>
                <w:rFonts w:ascii="宋体" w:hAnsi="宋体" w:cs="宋体" w:hint="eastAsia"/>
                <w:color w:val="231F20"/>
                <w:spacing w:val="-2"/>
                <w:sz w:val="18"/>
                <w:szCs w:val="20"/>
              </w:rPr>
              <w:t>能</w:t>
            </w:r>
            <w:r w:rsidR="00D517D2">
              <w:rPr>
                <w:rFonts w:ascii="宋体" w:hAnsi="宋体" w:cs="宋体"/>
                <w:color w:val="231F20"/>
                <w:spacing w:val="-2"/>
                <w:sz w:val="18"/>
                <w:szCs w:val="20"/>
              </w:rPr>
              <w:t>＜</w:t>
            </w:r>
            <w:r w:rsidRPr="008B7E5F">
              <w:rPr>
                <w:rFonts w:ascii="宋体" w:hAnsi="宋体" w:cs="宋体"/>
                <w:color w:val="231F20"/>
                <w:spacing w:val="-2"/>
                <w:sz w:val="18"/>
                <w:szCs w:val="20"/>
              </w:rPr>
              <w:t>90%VDmax</w:t>
            </w:r>
            <w:r w:rsidRPr="008B7E5F">
              <w:rPr>
                <w:rFonts w:ascii="宋体" w:hAnsi="宋体" w:cs="宋体"/>
                <w:color w:val="231F20"/>
                <w:spacing w:val="-2"/>
                <w:position w:val="4"/>
                <w:sz w:val="18"/>
                <w:szCs w:val="20"/>
              </w:rPr>
              <w:t>15</w:t>
            </w:r>
          </w:p>
        </w:tc>
      </w:tr>
      <w:tr w:rsidR="00D517D2" w:rsidRPr="008B7E5F" w:rsidTr="00D517D2">
        <w:trPr>
          <w:trHeight w:val="1881"/>
        </w:trPr>
        <w:tc>
          <w:tcPr>
            <w:tcW w:w="9735" w:type="dxa"/>
            <w:gridSpan w:val="3"/>
            <w:tcBorders>
              <w:top w:val="single" w:sz="8" w:space="0" w:color="231F20"/>
              <w:bottom w:val="single" w:sz="8" w:space="0" w:color="231F20"/>
            </w:tcBorders>
            <w:shd w:val="clear" w:color="auto" w:fill="auto"/>
            <w:vAlign w:val="center"/>
          </w:tcPr>
          <w:p w:rsidR="00D517D2" w:rsidRDefault="00D517D2" w:rsidP="00D517D2">
            <w:pPr>
              <w:pStyle w:val="affff6"/>
              <w:ind w:firstLine="420"/>
            </w:pPr>
            <w:r>
              <w:rPr>
                <w:rFonts w:hint="eastAsia"/>
              </w:rPr>
              <w:t>BB=生物负载。</w:t>
            </w:r>
          </w:p>
          <w:p w:rsidR="00D517D2" w:rsidRDefault="00D517D2" w:rsidP="00D517D2">
            <w:pPr>
              <w:pStyle w:val="affff6"/>
              <w:ind w:firstLine="420"/>
            </w:pPr>
            <w:r>
              <w:rPr>
                <w:rFonts w:hint="eastAsia"/>
              </w:rPr>
              <w:t>VD=验证剂量。</w:t>
            </w:r>
          </w:p>
          <w:p w:rsidR="00D517D2" w:rsidRDefault="00D517D2" w:rsidP="00D517D2">
            <w:pPr>
              <w:pStyle w:val="affff6"/>
              <w:ind w:firstLine="420"/>
            </w:pPr>
            <w:r>
              <w:rPr>
                <w:rFonts w:hint="eastAsia"/>
              </w:rPr>
              <w:t>IDE=增量剂量实验。</w:t>
            </w:r>
          </w:p>
          <w:p w:rsidR="00D517D2" w:rsidRDefault="00D517D2" w:rsidP="00D517D2">
            <w:pPr>
              <w:pStyle w:val="affff6"/>
              <w:ind w:firstLine="420"/>
            </w:pPr>
            <w:r>
              <w:rPr>
                <w:rFonts w:hint="eastAsia"/>
              </w:rPr>
              <w:t>VDE=验证剂量实验。</w:t>
            </w:r>
          </w:p>
          <w:p w:rsidR="00D517D2" w:rsidRDefault="00D517D2" w:rsidP="00D517D2">
            <w:pPr>
              <w:pStyle w:val="affff6"/>
              <w:ind w:firstLine="420"/>
            </w:pPr>
            <w:r>
              <w:rPr>
                <w:rFonts w:hint="eastAsia"/>
              </w:rPr>
              <w:t>ID=增量剂量。</w:t>
            </w:r>
          </w:p>
          <w:p w:rsidR="00D517D2" w:rsidRPr="008B7E5F" w:rsidRDefault="00D517D2" w:rsidP="00D517D2">
            <w:pPr>
              <w:pStyle w:val="affff6"/>
              <w:ind w:firstLine="420"/>
            </w:pPr>
            <w:r>
              <w:rPr>
                <w:rFonts w:hint="eastAsia"/>
              </w:rPr>
              <w:t>D*=初始估计剂量提供SAL10-2用于测试项目。</w:t>
            </w:r>
          </w:p>
        </w:tc>
      </w:tr>
    </w:tbl>
    <w:p w:rsidR="008B7E5F" w:rsidRDefault="008B7E5F" w:rsidP="008B7E5F">
      <w:pPr>
        <w:pStyle w:val="affff6"/>
        <w:ind w:firstLine="420"/>
        <w:sectPr w:rsidR="008B7E5F" w:rsidSect="00BF2D77">
          <w:headerReference w:type="even" r:id="rId37"/>
          <w:headerReference w:type="default" r:id="rId38"/>
          <w:footerReference w:type="even" r:id="rId39"/>
          <w:footerReference w:type="default" r:id="rId40"/>
          <w:pgSz w:w="11906" w:h="16838" w:code="9"/>
          <w:pgMar w:top="1928" w:right="1134" w:bottom="1134" w:left="1134" w:header="1418" w:footer="1134" w:gutter="284"/>
          <w:cols w:space="425"/>
          <w:formProt w:val="0"/>
          <w:docGrid w:type="lines" w:linePitch="312"/>
        </w:sectPr>
      </w:pPr>
    </w:p>
    <w:p w:rsidR="008B7E5F" w:rsidRDefault="008B7E5F" w:rsidP="008B7E5F">
      <w:pPr>
        <w:pStyle w:val="af8"/>
        <w:rPr>
          <w:vanish w:val="0"/>
        </w:rPr>
      </w:pPr>
    </w:p>
    <w:p w:rsidR="008B7E5F" w:rsidRDefault="008B7E5F" w:rsidP="008B7E5F">
      <w:pPr>
        <w:pStyle w:val="afe"/>
        <w:rPr>
          <w:vanish w:val="0"/>
        </w:rPr>
      </w:pPr>
    </w:p>
    <w:p w:rsidR="008B7E5F" w:rsidRDefault="008B7E5F" w:rsidP="008B7E5F">
      <w:pPr>
        <w:pStyle w:val="aff3"/>
        <w:spacing w:after="156"/>
      </w:pPr>
      <w:r>
        <w:br/>
      </w:r>
      <w:bookmarkStart w:id="167" w:name="_Toc112783072"/>
      <w:bookmarkStart w:id="168" w:name="_Toc112844869"/>
      <w:r>
        <w:rPr>
          <w:rFonts w:hint="eastAsia"/>
        </w:rPr>
        <w:t>（资料性</w:t>
      </w:r>
      <w:r w:rsidR="00EB54B8">
        <w:rPr>
          <w:rFonts w:hint="eastAsia"/>
        </w:rPr>
        <w:t>附录</w:t>
      </w:r>
      <w:r>
        <w:rPr>
          <w:rFonts w:hint="eastAsia"/>
        </w:rPr>
        <w:t>）</w:t>
      </w:r>
      <w:r>
        <w:br/>
      </w:r>
      <w:r>
        <w:rPr>
          <w:rFonts w:hint="eastAsia"/>
        </w:rPr>
        <w:t>剂量测量不确定度在过程目标剂量设定中的应用</w:t>
      </w:r>
      <w:bookmarkEnd w:id="167"/>
      <w:bookmarkEnd w:id="168"/>
    </w:p>
    <w:p w:rsidR="008B7E5F" w:rsidRDefault="008B7E5F" w:rsidP="008B7E5F">
      <w:pPr>
        <w:pStyle w:val="aff4"/>
        <w:spacing w:before="156" w:after="156"/>
      </w:pPr>
      <w:bookmarkStart w:id="169" w:name="_Toc112783073"/>
      <w:bookmarkStart w:id="170" w:name="_Toc112844870"/>
      <w:r>
        <w:rPr>
          <w:rFonts w:hint="eastAsia"/>
        </w:rPr>
        <w:t>总则</w:t>
      </w:r>
      <w:bookmarkEnd w:id="169"/>
      <w:bookmarkEnd w:id="170"/>
    </w:p>
    <w:p w:rsidR="008B7E5F" w:rsidRDefault="008B7E5F" w:rsidP="008B7E5F">
      <w:pPr>
        <w:pStyle w:val="affff6"/>
        <w:ind w:firstLine="420"/>
      </w:pPr>
      <w:r>
        <w:rPr>
          <w:rFonts w:hint="eastAsia"/>
        </w:rPr>
        <w:t>本附录概述了如何使用剂量测量不确定度来确定过程目标剂量。建立过程目标剂量的细节不在本文件范围之内。然而，本文件中对剂量测量不确定度的讨论有助于如何应用于建立过程目标剂量的共同理解。</w:t>
      </w:r>
    </w:p>
    <w:p w:rsidR="008B7E5F" w:rsidRDefault="008B7E5F" w:rsidP="005B297F">
      <w:pPr>
        <w:pStyle w:val="aff4"/>
        <w:spacing w:before="156" w:after="156"/>
      </w:pPr>
      <w:bookmarkStart w:id="171" w:name="_Toc112783074"/>
      <w:bookmarkStart w:id="172" w:name="_Toc112844871"/>
      <w:r>
        <w:rPr>
          <w:rFonts w:hint="eastAsia"/>
        </w:rPr>
        <w:t>设定过程目标剂量的标准不确定度(</w:t>
      </w:r>
      <w:proofErr w:type="spellStart"/>
      <w:r w:rsidR="003738FF" w:rsidRPr="00BD1FF7">
        <w:rPr>
          <w:rFonts w:ascii="宋体" w:eastAsia="宋体" w:hAnsi="宋体"/>
          <w:color w:val="000000"/>
        </w:rPr>
        <w:t>σ</w:t>
      </w:r>
      <w:r w:rsidR="003738FF" w:rsidRPr="00BD1FF7">
        <w:rPr>
          <w:rFonts w:ascii="宋体" w:eastAsia="宋体" w:hAnsi="宋体"/>
          <w:color w:val="000000"/>
          <w:vertAlign w:val="subscript"/>
        </w:rPr>
        <w:t>process</w:t>
      </w:r>
      <w:proofErr w:type="spellEnd"/>
      <w:r>
        <w:rPr>
          <w:rFonts w:hint="eastAsia"/>
        </w:rPr>
        <w:t>)</w:t>
      </w:r>
      <w:bookmarkEnd w:id="171"/>
      <w:bookmarkEnd w:id="172"/>
    </w:p>
    <w:p w:rsidR="008B7E5F" w:rsidRDefault="008B7E5F" w:rsidP="008B7E5F">
      <w:pPr>
        <w:pStyle w:val="affff6"/>
        <w:ind w:firstLine="420"/>
      </w:pPr>
      <w:r>
        <w:rPr>
          <w:rFonts w:hint="eastAsia"/>
        </w:rPr>
        <w:t>为了确定与确定过程目标剂量相关的剂量测量不确定度的组成部分，首先确定所有潜在的重要不确定度来源（见4.3.1）是很有必要的 ，然后考虑它们与灭菌过程的操作和监测方式的相关性。用于确定过程目标剂量的标准不确定度定义为</w:t>
      </w:r>
      <w:r w:rsidR="00BD1FF7" w:rsidRPr="00BD1FF7">
        <w:rPr>
          <w:rFonts w:hAnsi="宋体"/>
          <w:color w:val="000000"/>
        </w:rPr>
        <w:t>σ</w:t>
      </w:r>
      <w:r w:rsidR="00BD1FF7" w:rsidRPr="00BD1FF7">
        <w:rPr>
          <w:rFonts w:hAnsi="宋体"/>
          <w:color w:val="000000"/>
          <w:vertAlign w:val="subscript"/>
        </w:rPr>
        <w:t>process</w:t>
      </w:r>
      <w:r>
        <w:rPr>
          <w:rFonts w:hint="eastAsia"/>
        </w:rPr>
        <w:t>，可以通过量化不确定度的单个组成部分，或通过量化在剂量分布实验中获得的部分组合，通过使用给定辐照装置的历史数据得出。</w:t>
      </w:r>
    </w:p>
    <w:p w:rsidR="008B7E5F" w:rsidRDefault="00BD1FF7" w:rsidP="008B7E5F">
      <w:pPr>
        <w:pStyle w:val="affff6"/>
        <w:ind w:firstLine="420"/>
      </w:pPr>
      <w:r w:rsidRPr="00BD1FF7">
        <w:rPr>
          <w:rFonts w:hAnsi="宋体"/>
          <w:color w:val="000000"/>
        </w:rPr>
        <w:t>σ</w:t>
      </w:r>
      <w:r w:rsidRPr="00BD1FF7">
        <w:rPr>
          <w:rFonts w:hAnsi="宋体"/>
          <w:color w:val="000000"/>
          <w:vertAlign w:val="subscript"/>
        </w:rPr>
        <w:t>process</w:t>
      </w:r>
      <w:r w:rsidR="008B7E5F">
        <w:rPr>
          <w:rFonts w:hint="eastAsia"/>
        </w:rPr>
        <w:t>组成部分的示例见4.3.3.3过程。</w:t>
      </w:r>
      <w:r w:rsidRPr="00BD1FF7">
        <w:rPr>
          <w:rFonts w:hAnsi="宋体"/>
          <w:color w:val="000000"/>
        </w:rPr>
        <w:t>σ</w:t>
      </w:r>
      <w:r w:rsidRPr="00BD1FF7">
        <w:rPr>
          <w:rFonts w:hAnsi="宋体"/>
          <w:color w:val="000000"/>
          <w:vertAlign w:val="subscript"/>
        </w:rPr>
        <w:t>process</w:t>
      </w:r>
      <w:r w:rsidR="008B7E5F">
        <w:rPr>
          <w:rFonts w:hint="eastAsia"/>
        </w:rPr>
        <w:t>的值对于最小剂量和最大剂量，可能会有所不同。</w:t>
      </w:r>
    </w:p>
    <w:p w:rsidR="008B7E5F" w:rsidRDefault="008B7E5F" w:rsidP="008B7E5F">
      <w:pPr>
        <w:pStyle w:val="affff6"/>
        <w:ind w:firstLine="420"/>
      </w:pPr>
      <w:r>
        <w:rPr>
          <w:rFonts w:hint="eastAsia"/>
        </w:rPr>
        <w:t>组成</w:t>
      </w:r>
      <w:r w:rsidR="00BD1FF7" w:rsidRPr="00BD1FF7">
        <w:rPr>
          <w:rFonts w:hAnsi="宋体"/>
          <w:color w:val="000000"/>
        </w:rPr>
        <w:t>σ</w:t>
      </w:r>
      <w:r w:rsidR="00BD1FF7" w:rsidRPr="00BD1FF7">
        <w:rPr>
          <w:rFonts w:hAnsi="宋体"/>
          <w:color w:val="000000"/>
          <w:vertAlign w:val="subscript"/>
        </w:rPr>
        <w:t>process</w:t>
      </w:r>
      <w:r>
        <w:rPr>
          <w:rFonts w:hint="eastAsia"/>
        </w:rPr>
        <w:t>的一些不确定度的组成部分可以通过性能鉴定剂量测绘</w:t>
      </w:r>
      <w:r w:rsidR="00B31330">
        <w:rPr>
          <w:rFonts w:hint="eastAsia"/>
        </w:rPr>
        <w:t>实验</w:t>
      </w:r>
      <w:r>
        <w:rPr>
          <w:rFonts w:hint="eastAsia"/>
        </w:rPr>
        <w:t>来确定。如果性能鉴定剂量</w:t>
      </w:r>
      <w:r w:rsidR="00F95390">
        <w:rPr>
          <w:rFonts w:hint="eastAsia"/>
        </w:rPr>
        <w:t>分布</w:t>
      </w:r>
      <w:r>
        <w:rPr>
          <w:rFonts w:hint="eastAsia"/>
        </w:rPr>
        <w:t>是通过旨在捕获全过程</w:t>
      </w:r>
      <w:r w:rsidR="00F95390">
        <w:rPr>
          <w:rFonts w:hint="eastAsia"/>
        </w:rPr>
        <w:t>变异性</w:t>
      </w:r>
      <w:r>
        <w:rPr>
          <w:rFonts w:hint="eastAsia"/>
        </w:rPr>
        <w:t>的剂量</w:t>
      </w:r>
      <w:r w:rsidR="00F95390">
        <w:rPr>
          <w:rFonts w:hint="eastAsia"/>
        </w:rPr>
        <w:t>分布实验</w:t>
      </w:r>
      <w:r>
        <w:rPr>
          <w:rFonts w:hint="eastAsia"/>
        </w:rPr>
        <w:t>进行的，则有可能分析数据以获得多个不确定度成分的合成值。或者，如果性能鉴定剂量分布实验没有体现到这些成分的</w:t>
      </w:r>
      <w:r w:rsidR="008C3158">
        <w:rPr>
          <w:rFonts w:hint="eastAsia"/>
        </w:rPr>
        <w:t>综合</w:t>
      </w:r>
      <w:r>
        <w:rPr>
          <w:rFonts w:hint="eastAsia"/>
        </w:rPr>
        <w:t>效应，则可以进行额外的实验。</w:t>
      </w:r>
    </w:p>
    <w:p w:rsidR="008B7E5F" w:rsidRDefault="008B7E5F" w:rsidP="008B7E5F">
      <w:pPr>
        <w:pStyle w:val="affff6"/>
        <w:ind w:firstLine="420"/>
      </w:pPr>
      <w:r>
        <w:rPr>
          <w:rFonts w:hint="eastAsia"/>
        </w:rPr>
        <w:t>在已建立的处理条件下，有剂量分布历史数据，最小剂量和最大剂量位置的剂量测量不确定度或</w:t>
      </w:r>
      <w:bookmarkStart w:id="173" w:name="_Hlk112750966"/>
      <w:r w:rsidR="00B369BE">
        <w:rPr>
          <w:rFonts w:hint="eastAsia"/>
        </w:rPr>
        <w:t>R</w:t>
      </w:r>
      <w:r w:rsidR="00B369BE" w:rsidRPr="003E79D1">
        <w:rPr>
          <w:rFonts w:hint="eastAsia"/>
          <w:vertAlign w:val="subscript"/>
        </w:rPr>
        <w:t>max/mon</w:t>
      </w:r>
      <w:bookmarkEnd w:id="173"/>
      <w:r>
        <w:rPr>
          <w:rFonts w:hint="eastAsia"/>
        </w:rPr>
        <w:t>和</w:t>
      </w:r>
      <w:bookmarkStart w:id="174" w:name="_Hlk112750993"/>
      <w:r w:rsidR="00B369BE">
        <w:rPr>
          <w:rFonts w:hint="eastAsia"/>
        </w:rPr>
        <w:t>R</w:t>
      </w:r>
      <w:r w:rsidR="00B369BE" w:rsidRPr="003E79D1">
        <w:rPr>
          <w:rFonts w:hint="eastAsia"/>
          <w:vertAlign w:val="subscript"/>
        </w:rPr>
        <w:t>min/mon</w:t>
      </w:r>
      <w:bookmarkEnd w:id="174"/>
      <w:r>
        <w:rPr>
          <w:rFonts w:hint="eastAsia"/>
        </w:rPr>
        <w:t>比值已得到确定</w:t>
      </w:r>
      <w:r w:rsidR="004B14E4">
        <w:rPr>
          <w:rFonts w:hint="eastAsia"/>
        </w:rPr>
        <w:t>；</w:t>
      </w:r>
      <w:r>
        <w:rPr>
          <w:rFonts w:hint="eastAsia"/>
        </w:rPr>
        <w:t>例如，对于一个已确定的加工类别，可以根据以前的剂量分布实验汇总信息来估计</w:t>
      </w:r>
      <w:r w:rsidR="00BD1FF7" w:rsidRPr="00BD1FF7">
        <w:rPr>
          <w:rFonts w:hAnsi="宋体"/>
          <w:color w:val="000000"/>
        </w:rPr>
        <w:t>σ</w:t>
      </w:r>
      <w:r w:rsidR="00BD1FF7" w:rsidRPr="00BD1FF7">
        <w:rPr>
          <w:rFonts w:hAnsi="宋体"/>
          <w:color w:val="000000"/>
          <w:vertAlign w:val="subscript"/>
        </w:rPr>
        <w:t>process</w:t>
      </w:r>
      <w:r>
        <w:rPr>
          <w:rFonts w:hint="eastAsia"/>
        </w:rPr>
        <w:t>。使用来自某一加工类别成员的汇总数据可能会比根据少量剂量分布实验确定的值更可靠地确定</w:t>
      </w:r>
      <w:r w:rsidR="00BD1FF7" w:rsidRPr="00BD1FF7">
        <w:rPr>
          <w:rFonts w:hAnsi="宋体"/>
          <w:color w:val="000000"/>
        </w:rPr>
        <w:t>σ</w:t>
      </w:r>
      <w:r w:rsidR="00BD1FF7" w:rsidRPr="00BD1FF7">
        <w:rPr>
          <w:rFonts w:hAnsi="宋体"/>
          <w:color w:val="000000"/>
          <w:vertAlign w:val="subscript"/>
        </w:rPr>
        <w:t>process</w:t>
      </w:r>
      <w:r w:rsidR="00BD1FF7">
        <w:rPr>
          <w:rFonts w:hint="eastAsia"/>
        </w:rPr>
        <w:t>。</w:t>
      </w:r>
    </w:p>
    <w:p w:rsidR="008B7E5F" w:rsidRDefault="008B7E5F" w:rsidP="008B7E5F">
      <w:pPr>
        <w:pStyle w:val="affff6"/>
        <w:ind w:firstLine="420"/>
      </w:pPr>
      <w:r>
        <w:rPr>
          <w:rFonts w:hint="eastAsia"/>
        </w:rPr>
        <w:t>与剂量测量系统校准有关的某些不确定度组成部分将无法通过剂量分布实验获得</w:t>
      </w:r>
      <w:r w:rsidR="004B14E4">
        <w:rPr>
          <w:rFonts w:hint="eastAsia"/>
        </w:rPr>
        <w:t>；</w:t>
      </w:r>
      <w:r>
        <w:rPr>
          <w:rFonts w:hint="eastAsia"/>
        </w:rPr>
        <w:t>这些都应该纳入</w:t>
      </w:r>
      <w:r w:rsidR="00BD1FF7" w:rsidRPr="00BD1FF7">
        <w:rPr>
          <w:rFonts w:hAnsi="宋体"/>
          <w:color w:val="000000"/>
        </w:rPr>
        <w:t>σ</w:t>
      </w:r>
      <w:r w:rsidR="00BD1FF7" w:rsidRPr="00BD1FF7">
        <w:rPr>
          <w:rFonts w:hAnsi="宋体"/>
          <w:color w:val="000000"/>
          <w:vertAlign w:val="subscript"/>
        </w:rPr>
        <w:t>process</w:t>
      </w:r>
      <w:r>
        <w:rPr>
          <w:rFonts w:hint="eastAsia"/>
        </w:rPr>
        <w:t>。</w:t>
      </w:r>
    </w:p>
    <w:p w:rsidR="008B7E5F" w:rsidRDefault="008B7E5F" w:rsidP="0032439C">
      <w:pPr>
        <w:pStyle w:val="afff2"/>
      </w:pPr>
      <w:r>
        <w:rPr>
          <w:rFonts w:hint="eastAsia"/>
        </w:rPr>
        <w:t>分析性能鉴定数据和确定</w:t>
      </w:r>
      <w:proofErr w:type="spellStart"/>
      <w:r w:rsidR="00B369BE" w:rsidRPr="00BD1FF7">
        <w:rPr>
          <w:rFonts w:hAnsi="宋体"/>
          <w:color w:val="000000"/>
        </w:rPr>
        <w:t>σ</w:t>
      </w:r>
      <w:r w:rsidR="00B369BE" w:rsidRPr="00BD1FF7">
        <w:rPr>
          <w:rFonts w:hAnsi="宋体"/>
          <w:color w:val="000000"/>
          <w:vertAlign w:val="subscript"/>
        </w:rPr>
        <w:t>process</w:t>
      </w:r>
      <w:proofErr w:type="spellEnd"/>
      <w:r>
        <w:rPr>
          <w:rFonts w:hint="eastAsia"/>
        </w:rPr>
        <w:t>的方法示例是在关于γ和电子束辐照的专题咨询小组中给出[33]和AAMITIR29[22]。</w:t>
      </w:r>
    </w:p>
    <w:p w:rsidR="008B7E5F" w:rsidRDefault="008B7E5F" w:rsidP="008B7E5F">
      <w:pPr>
        <w:pStyle w:val="affff6"/>
        <w:ind w:firstLine="420"/>
      </w:pPr>
      <w:r>
        <w:rPr>
          <w:rFonts w:hint="eastAsia"/>
        </w:rPr>
        <w:t>无论采取何种方法，持续的过程监测对于改进</w:t>
      </w:r>
      <w:r w:rsidR="00BD1FF7" w:rsidRPr="00BD1FF7">
        <w:rPr>
          <w:rFonts w:hAnsi="宋体"/>
          <w:color w:val="000000"/>
        </w:rPr>
        <w:t>σ</w:t>
      </w:r>
      <w:r w:rsidR="00BD1FF7" w:rsidRPr="00BD1FF7">
        <w:rPr>
          <w:rFonts w:hAnsi="宋体"/>
          <w:color w:val="000000"/>
          <w:vertAlign w:val="subscript"/>
        </w:rPr>
        <w:t>process</w:t>
      </w:r>
      <w:r>
        <w:rPr>
          <w:rFonts w:hint="eastAsia"/>
        </w:rPr>
        <w:t>的初始估计都很重要过程并根据对过程监测数据的分析进行审查和调整。</w:t>
      </w:r>
    </w:p>
    <w:p w:rsidR="008B7E5F" w:rsidRDefault="008B7E5F" w:rsidP="008B7E5F">
      <w:pPr>
        <w:pStyle w:val="affff6"/>
        <w:ind w:firstLine="420"/>
      </w:pPr>
      <w:r>
        <w:rPr>
          <w:rFonts w:hint="eastAsia"/>
        </w:rPr>
        <w:t>基于过程，</w:t>
      </w:r>
      <w:r w:rsidR="00BD1FF7" w:rsidRPr="00BD1FF7">
        <w:rPr>
          <w:rFonts w:hAnsi="宋体"/>
          <w:color w:val="000000"/>
        </w:rPr>
        <w:t>σ</w:t>
      </w:r>
      <w:r w:rsidR="00BD1FF7" w:rsidRPr="00BD1FF7">
        <w:rPr>
          <w:rFonts w:hAnsi="宋体"/>
          <w:color w:val="000000"/>
          <w:vertAlign w:val="subscript"/>
        </w:rPr>
        <w:t>process</w:t>
      </w:r>
      <w:r>
        <w:rPr>
          <w:rFonts w:hint="eastAsia"/>
        </w:rPr>
        <w:t>包括与在剂量计位置直接测量剂量有关的不确定度，以及与剂量分布比值和随机过程变异性有关的附加的不确定度组成部分。</w:t>
      </w:r>
      <w:r w:rsidR="00BD1FF7" w:rsidRPr="00BD1FF7">
        <w:rPr>
          <w:rFonts w:hAnsi="宋体"/>
          <w:color w:val="000000"/>
        </w:rPr>
        <w:t>σ</w:t>
      </w:r>
      <w:r w:rsidR="00BD1FF7" w:rsidRPr="00BD1FF7">
        <w:rPr>
          <w:rFonts w:hAnsi="宋体"/>
          <w:color w:val="000000"/>
          <w:vertAlign w:val="subscript"/>
        </w:rPr>
        <w:t>process</w:t>
      </w:r>
      <w:r>
        <w:rPr>
          <w:rFonts w:hint="eastAsia"/>
        </w:rPr>
        <w:t>值可用于确定高于</w:t>
      </w:r>
      <w:r w:rsidR="00A7088A">
        <w:rPr>
          <w:rFonts w:hint="eastAsia"/>
        </w:rPr>
        <w:t>D</w:t>
      </w:r>
      <w:r w:rsidR="00A7088A" w:rsidRPr="003E79D1">
        <w:rPr>
          <w:rFonts w:hint="eastAsia"/>
          <w:vertAlign w:val="subscript"/>
        </w:rPr>
        <w:t>ster</w:t>
      </w:r>
      <w:r w:rsidR="00A7088A">
        <w:rPr>
          <w:rFonts w:hint="eastAsia"/>
        </w:rPr>
        <w:t xml:space="preserve"> </w:t>
      </w:r>
      <w:r>
        <w:rPr>
          <w:rFonts w:hint="eastAsia"/>
        </w:rPr>
        <w:t>(或</w:t>
      </w:r>
      <w:r w:rsidR="001E3BC8">
        <w:rPr>
          <w:rFonts w:hint="eastAsia"/>
        </w:rPr>
        <w:t>D</w:t>
      </w:r>
      <w:r w:rsidR="001E3BC8" w:rsidRPr="003E79D1">
        <w:rPr>
          <w:rFonts w:hint="eastAsia"/>
          <w:vertAlign w:val="subscript"/>
        </w:rPr>
        <w:t>mon</w:t>
      </w:r>
      <w:r w:rsidR="001E3BC8" w:rsidRPr="003E79D1">
        <w:rPr>
          <w:rFonts w:hint="eastAsia"/>
          <w:vertAlign w:val="superscript"/>
        </w:rPr>
        <w:t>ster</w:t>
      </w:r>
      <w:r>
        <w:rPr>
          <w:rFonts w:hint="eastAsia"/>
        </w:rPr>
        <w:t>，如果过程未在最小剂量点位监测)和等于或低于</w:t>
      </w:r>
      <w:r w:rsidR="00D32DAF">
        <w:rPr>
          <w:rFonts w:hint="eastAsia"/>
        </w:rPr>
        <w:t>D</w:t>
      </w:r>
      <w:r w:rsidR="00D32DAF" w:rsidRPr="003E79D1">
        <w:rPr>
          <w:rFonts w:hint="eastAsia"/>
          <w:vertAlign w:val="subscript"/>
        </w:rPr>
        <w:t>max,acc</w:t>
      </w:r>
      <w:r>
        <w:rPr>
          <w:rFonts w:hint="eastAsia"/>
        </w:rPr>
        <w:t>(或</w:t>
      </w:r>
      <w:r w:rsidR="002E49FE">
        <w:t>D</w:t>
      </w:r>
      <w:r w:rsidR="002E49FE" w:rsidRPr="003E79D1">
        <w:rPr>
          <w:vertAlign w:val="subscript"/>
        </w:rPr>
        <w:t>mon</w:t>
      </w:r>
      <w:r w:rsidR="002E49FE" w:rsidRPr="003E79D1">
        <w:rPr>
          <w:vertAlign w:val="superscript"/>
        </w:rPr>
        <w:t>max,acc</w:t>
      </w:r>
      <w:r>
        <w:rPr>
          <w:rFonts w:hint="eastAsia"/>
        </w:rPr>
        <w:t>，如果过程未在最大剂量点位监测)的</w:t>
      </w:r>
      <w:r w:rsidR="002B310A">
        <w:rPr>
          <w:rFonts w:hint="eastAsia"/>
        </w:rPr>
        <w:t>过程</w:t>
      </w:r>
      <w:r>
        <w:rPr>
          <w:rFonts w:hint="eastAsia"/>
        </w:rPr>
        <w:t>目标剂量值。确定</w:t>
      </w:r>
      <w:r w:rsidR="002B310A">
        <w:rPr>
          <w:rFonts w:hint="eastAsia"/>
        </w:rPr>
        <w:t>过程</w:t>
      </w:r>
      <w:r>
        <w:rPr>
          <w:rFonts w:hint="eastAsia"/>
        </w:rPr>
        <w:t>目标值的一种方法是使用</w:t>
      </w:r>
      <w:r w:rsidR="00BD1FF7" w:rsidRPr="00BD1FF7">
        <w:rPr>
          <w:rFonts w:hAnsi="宋体"/>
          <w:color w:val="000000"/>
        </w:rPr>
        <w:t>σ</w:t>
      </w:r>
      <w:r w:rsidR="00BD1FF7" w:rsidRPr="00BD1FF7">
        <w:rPr>
          <w:rFonts w:hAnsi="宋体"/>
          <w:color w:val="000000"/>
          <w:vertAlign w:val="subscript"/>
        </w:rPr>
        <w:t>process</w:t>
      </w:r>
      <w:r>
        <w:rPr>
          <w:rFonts w:hint="eastAsia"/>
        </w:rPr>
        <w:t>值来计算</w:t>
      </w:r>
      <w:r w:rsidR="002B310A">
        <w:rPr>
          <w:rFonts w:hint="eastAsia"/>
        </w:rPr>
        <w:t>过程</w:t>
      </w:r>
      <w:r>
        <w:rPr>
          <w:rFonts w:hint="eastAsia"/>
        </w:rPr>
        <w:t>目标剂量值，其中k的值取决于与过程相关的所需置信水平(见D.3)。</w:t>
      </w:r>
    </w:p>
    <w:p w:rsidR="008B7E5F" w:rsidRDefault="008B7E5F" w:rsidP="008B7E5F">
      <w:pPr>
        <w:pStyle w:val="aff4"/>
        <w:spacing w:before="156" w:after="156"/>
      </w:pPr>
      <w:bookmarkStart w:id="175" w:name="_Toc112783075"/>
      <w:bookmarkStart w:id="176" w:name="_Toc112844872"/>
      <w:r>
        <w:rPr>
          <w:rFonts w:hint="eastAsia"/>
        </w:rPr>
        <w:t>k值的选择</w:t>
      </w:r>
      <w:bookmarkEnd w:id="175"/>
      <w:bookmarkEnd w:id="176"/>
    </w:p>
    <w:p w:rsidR="008B7E5F" w:rsidRDefault="008B7E5F" w:rsidP="008B7E5F">
      <w:pPr>
        <w:pStyle w:val="affff6"/>
        <w:ind w:firstLine="420"/>
      </w:pPr>
      <w:r>
        <w:rPr>
          <w:rFonts w:hint="eastAsia"/>
        </w:rPr>
        <w:t>因子k通常为2，近似于单边98%置信水平。选择单边分布是因为要求要超过灭菌剂量，而不能超过最大可接受剂量。</w:t>
      </w:r>
    </w:p>
    <w:p w:rsidR="008B7E5F" w:rsidRDefault="008B7E5F">
      <w:pPr>
        <w:pStyle w:val="a5"/>
        <w:numPr>
          <w:ilvl w:val="0"/>
          <w:numId w:val="47"/>
        </w:numPr>
      </w:pPr>
      <w:r>
        <w:rPr>
          <w:rFonts w:hint="eastAsia"/>
        </w:rPr>
        <w:t>实际的置信水平将取决于计算不确定度的重复测量次数（自由度）。</w:t>
      </w:r>
    </w:p>
    <w:p w:rsidR="008B7E5F" w:rsidRDefault="008B7E5F" w:rsidP="008B7E5F">
      <w:pPr>
        <w:pStyle w:val="affff6"/>
        <w:ind w:firstLine="420"/>
      </w:pPr>
      <w:r>
        <w:rPr>
          <w:rFonts w:hint="eastAsia"/>
        </w:rPr>
        <w:t>其它k值（见注2）可能适用于基于产品和过程的风险评估的特定情况(见ISO14971)。</w:t>
      </w:r>
    </w:p>
    <w:p w:rsidR="008B7E5F" w:rsidRDefault="008B7E5F" w:rsidP="0032439C">
      <w:pPr>
        <w:pStyle w:val="a5"/>
      </w:pPr>
      <w:r>
        <w:rPr>
          <w:rFonts w:hint="eastAsia"/>
        </w:rPr>
        <w:t>对于正态(高斯)分布，k的不同选取得到的近似单侧置信水平为</w:t>
      </w:r>
    </w:p>
    <w:p w:rsidR="008B7E5F" w:rsidRPr="004B14E4" w:rsidRDefault="008B7E5F" w:rsidP="008B7E5F">
      <w:pPr>
        <w:pStyle w:val="affff6"/>
        <w:ind w:firstLine="360"/>
        <w:rPr>
          <w:noProof w:val="0"/>
          <w:sz w:val="18"/>
          <w:szCs w:val="18"/>
        </w:rPr>
      </w:pPr>
      <w:r w:rsidRPr="004B14E4">
        <w:rPr>
          <w:rFonts w:hint="eastAsia"/>
          <w:noProof w:val="0"/>
          <w:sz w:val="18"/>
          <w:szCs w:val="18"/>
        </w:rPr>
        <w:t>k=1     84% 置信水平，</w:t>
      </w:r>
    </w:p>
    <w:p w:rsidR="008B7E5F" w:rsidRPr="004B14E4" w:rsidRDefault="008B7E5F" w:rsidP="008B7E5F">
      <w:pPr>
        <w:pStyle w:val="affff6"/>
        <w:ind w:firstLine="360"/>
        <w:rPr>
          <w:noProof w:val="0"/>
          <w:sz w:val="18"/>
          <w:szCs w:val="18"/>
        </w:rPr>
      </w:pPr>
      <w:r w:rsidRPr="004B14E4">
        <w:rPr>
          <w:rFonts w:hint="eastAsia"/>
          <w:noProof w:val="0"/>
          <w:sz w:val="18"/>
          <w:szCs w:val="18"/>
        </w:rPr>
        <w:lastRenderedPageBreak/>
        <w:t>k=2     98% 置信水平，和</w:t>
      </w:r>
    </w:p>
    <w:p w:rsidR="008B7E5F" w:rsidRPr="004B14E4" w:rsidRDefault="008B7E5F" w:rsidP="008B7E5F">
      <w:pPr>
        <w:pStyle w:val="affff6"/>
        <w:ind w:firstLine="360"/>
        <w:rPr>
          <w:noProof w:val="0"/>
          <w:sz w:val="18"/>
          <w:szCs w:val="18"/>
        </w:rPr>
      </w:pPr>
      <w:r w:rsidRPr="004B14E4">
        <w:rPr>
          <w:rFonts w:hint="eastAsia"/>
          <w:noProof w:val="0"/>
          <w:sz w:val="18"/>
          <w:szCs w:val="18"/>
        </w:rPr>
        <w:t>k=3     99,5% 置信水平。</w:t>
      </w:r>
    </w:p>
    <w:p w:rsidR="008B7E5F" w:rsidRDefault="008B7E5F" w:rsidP="0032439C">
      <w:pPr>
        <w:pStyle w:val="a5"/>
      </w:pPr>
      <w:r>
        <w:rPr>
          <w:rFonts w:hint="eastAsia"/>
        </w:rPr>
        <w:t>关于置信度和自由度(测量数量)之间关系的进一步信息参见参考[26]</w:t>
      </w:r>
    </w:p>
    <w:p w:rsidR="008B7E5F" w:rsidRDefault="008B7E5F" w:rsidP="008B7E5F">
      <w:pPr>
        <w:pStyle w:val="aff4"/>
        <w:spacing w:before="156" w:after="156"/>
      </w:pPr>
      <w:bookmarkStart w:id="177" w:name="_Toc112783076"/>
      <w:bookmarkStart w:id="178" w:name="_Toc112844873"/>
      <w:r>
        <w:rPr>
          <w:rFonts w:hint="eastAsia"/>
        </w:rPr>
        <w:t>辐射灭菌目标剂量值</w:t>
      </w:r>
      <w:bookmarkEnd w:id="177"/>
      <w:bookmarkEnd w:id="178"/>
    </w:p>
    <w:p w:rsidR="008B7E5F" w:rsidRDefault="008B7E5F" w:rsidP="008B7E5F">
      <w:pPr>
        <w:pStyle w:val="affff6"/>
        <w:ind w:firstLine="420"/>
      </w:pPr>
      <w:r>
        <w:rPr>
          <w:rFonts w:hint="eastAsia"/>
        </w:rPr>
        <w:t>图D.1至D.3是定义辐射灭菌目标剂量值的关键术语的图示。所有的图都是相同产品的</w:t>
      </w:r>
      <w:r w:rsidR="00A7088A">
        <w:rPr>
          <w:rFonts w:hint="eastAsia"/>
        </w:rPr>
        <w:t>D</w:t>
      </w:r>
      <w:r w:rsidR="00A7088A" w:rsidRPr="003E79D1">
        <w:rPr>
          <w:rFonts w:hint="eastAsia"/>
          <w:vertAlign w:val="subscript"/>
        </w:rPr>
        <w:t>ster</w:t>
      </w:r>
      <w:r>
        <w:rPr>
          <w:rFonts w:hint="eastAsia"/>
        </w:rPr>
        <w:t>和</w:t>
      </w:r>
      <w:r w:rsidR="00D32DAF">
        <w:rPr>
          <w:rFonts w:hint="eastAsia"/>
        </w:rPr>
        <w:t>D</w:t>
      </w:r>
      <w:r w:rsidR="00D32DAF" w:rsidRPr="003E79D1">
        <w:rPr>
          <w:rFonts w:hint="eastAsia"/>
          <w:vertAlign w:val="subscript"/>
        </w:rPr>
        <w:t>max,acc</w:t>
      </w:r>
      <w:r>
        <w:rPr>
          <w:rFonts w:hint="eastAsia"/>
        </w:rPr>
        <w:t>值，分别为20和30kGy，在相同的辐照装置中具有相同的装载模式。唯一不同的是常规监测位置。</w:t>
      </w:r>
    </w:p>
    <w:p w:rsidR="008B7E5F" w:rsidRDefault="008B7E5F" w:rsidP="008B7E5F">
      <w:pPr>
        <w:pStyle w:val="affff6"/>
        <w:ind w:firstLine="420"/>
      </w:pPr>
      <w:r>
        <w:rPr>
          <w:rFonts w:hint="eastAsia"/>
        </w:rPr>
        <w:t>图D.1a)是该产品的过程规范的图示。</w:t>
      </w:r>
    </w:p>
    <w:p w:rsidR="008B7E5F" w:rsidRDefault="008B7E5F" w:rsidP="008B7E5F">
      <w:pPr>
        <w:pStyle w:val="affff6"/>
        <w:ind w:firstLine="420"/>
      </w:pPr>
      <w:r>
        <w:rPr>
          <w:rFonts w:hint="eastAsia"/>
        </w:rPr>
        <w:t>图D.1b)表示与使用一个远离最小和最大剂量位置的监测剂量计的相关监测剂量范围。</w:t>
      </w:r>
    </w:p>
    <w:p w:rsidR="008B7E5F" w:rsidRDefault="008B7E5F" w:rsidP="008B7E5F">
      <w:pPr>
        <w:pStyle w:val="affff6"/>
        <w:ind w:firstLine="420"/>
      </w:pPr>
      <w:r>
        <w:rPr>
          <w:rFonts w:hint="eastAsia"/>
        </w:rPr>
        <w:t>图D.2a)和图D.2b)是当分别在最小剂量和最大剂量的位置监测过程时的特定情况下的过程目标值的图示。</w:t>
      </w:r>
    </w:p>
    <w:p w:rsidR="008B7E5F" w:rsidRDefault="008B7E5F" w:rsidP="008B7E5F">
      <w:pPr>
        <w:pStyle w:val="affff6"/>
        <w:ind w:firstLine="420"/>
      </w:pPr>
      <w:r>
        <w:rPr>
          <w:rFonts w:hint="eastAsia"/>
        </w:rPr>
        <w:t>图D.3a)和图D.3b)分别是在远离最小剂量和最大剂量位置但随产品移动的常规监测地点位监测过程的特定情况下，</w:t>
      </w:r>
      <w:r w:rsidR="002B310A">
        <w:rPr>
          <w:rFonts w:hint="eastAsia"/>
        </w:rPr>
        <w:t>过程</w:t>
      </w:r>
      <w:r>
        <w:rPr>
          <w:rFonts w:hint="eastAsia"/>
        </w:rPr>
        <w:t>目标剂量值的图形表示。</w:t>
      </w:r>
    </w:p>
    <w:p w:rsidR="008B7E5F" w:rsidRDefault="008B7E5F" w:rsidP="0007022D">
      <w:pPr>
        <w:pStyle w:val="afffffffff3"/>
        <w:ind w:firstLine="360"/>
        <w:jc w:val="left"/>
      </w:pPr>
      <w:bookmarkStart w:id="179" w:name="_Toc111309038"/>
      <w:bookmarkStart w:id="180" w:name="_Toc111309758"/>
      <w:r w:rsidRPr="008B7E5F">
        <w:drawing>
          <wp:inline distT="0" distB="0" distL="0" distR="0">
            <wp:extent cx="3048000" cy="228917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0" cy="2289175"/>
                    </a:xfrm>
                    <a:prstGeom prst="rect">
                      <a:avLst/>
                    </a:prstGeom>
                    <a:noFill/>
                    <a:ln>
                      <a:noFill/>
                    </a:ln>
                  </pic:spPr>
                </pic:pic>
              </a:graphicData>
            </a:graphic>
          </wp:inline>
        </w:drawing>
      </w:r>
      <w:bookmarkEnd w:id="179"/>
      <w:bookmarkEnd w:id="180"/>
    </w:p>
    <w:p w:rsidR="008B7E5F" w:rsidRDefault="008B7E5F" w:rsidP="008B7E5F">
      <w:pPr>
        <w:pStyle w:val="affff6"/>
        <w:ind w:firstLine="420"/>
      </w:pPr>
      <w:r>
        <w:rPr>
          <w:rFonts w:hint="eastAsia"/>
        </w:rPr>
        <w:t>a)产品规范如图表示，</w:t>
      </w:r>
      <w:r w:rsidR="00A7088A">
        <w:rPr>
          <w:rFonts w:hint="eastAsia"/>
        </w:rPr>
        <w:t>D</w:t>
      </w:r>
      <w:r w:rsidR="00A7088A" w:rsidRPr="003E79D1">
        <w:rPr>
          <w:rFonts w:hint="eastAsia"/>
          <w:vertAlign w:val="subscript"/>
        </w:rPr>
        <w:t>ster</w:t>
      </w:r>
      <w:r>
        <w:rPr>
          <w:rFonts w:hint="eastAsia"/>
        </w:rPr>
        <w:t>和</w:t>
      </w:r>
      <w:r w:rsidR="00D32DAF">
        <w:rPr>
          <w:rFonts w:hint="eastAsia"/>
        </w:rPr>
        <w:t>D</w:t>
      </w:r>
      <w:r w:rsidR="00D32DAF" w:rsidRPr="003E79D1">
        <w:rPr>
          <w:rFonts w:hint="eastAsia"/>
          <w:vertAlign w:val="subscript"/>
        </w:rPr>
        <w:t>max,acc</w:t>
      </w:r>
      <w:r>
        <w:rPr>
          <w:rFonts w:hint="eastAsia"/>
        </w:rPr>
        <w:t>,分别为20和30kGy</w:t>
      </w:r>
    </w:p>
    <w:p w:rsidR="008B7E5F" w:rsidRDefault="008B7E5F" w:rsidP="00FD032B">
      <w:pPr>
        <w:pStyle w:val="afffffffff3"/>
        <w:ind w:firstLine="360"/>
      </w:pPr>
      <w:r>
        <w:t xml:space="preserve"> </w:t>
      </w:r>
      <w:bookmarkStart w:id="181" w:name="_Toc111309040"/>
      <w:bookmarkStart w:id="182" w:name="_Toc111309760"/>
      <w:r w:rsidR="00915FF4" w:rsidRPr="00915FF4">
        <w:drawing>
          <wp:inline distT="0" distB="0" distL="0" distR="0">
            <wp:extent cx="3048000" cy="228917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0" cy="2289175"/>
                    </a:xfrm>
                    <a:prstGeom prst="rect">
                      <a:avLst/>
                    </a:prstGeom>
                    <a:noFill/>
                    <a:ln>
                      <a:noFill/>
                    </a:ln>
                  </pic:spPr>
                </pic:pic>
              </a:graphicData>
            </a:graphic>
          </wp:inline>
        </w:drawing>
      </w:r>
      <w:bookmarkEnd w:id="181"/>
      <w:bookmarkEnd w:id="182"/>
    </w:p>
    <w:p w:rsidR="008B7E5F" w:rsidRDefault="008B7E5F" w:rsidP="008B7E5F">
      <w:pPr>
        <w:pStyle w:val="affff6"/>
        <w:ind w:firstLine="420"/>
      </w:pPr>
      <w:r>
        <w:rPr>
          <w:rFonts w:hint="eastAsia"/>
        </w:rPr>
        <w:t>b)剂量如图表示，在一个远程监测位置，</w:t>
      </w:r>
      <w:r w:rsidR="001E3BC8">
        <w:rPr>
          <w:rFonts w:hint="eastAsia"/>
        </w:rPr>
        <w:t>D</w:t>
      </w:r>
      <w:r w:rsidR="001E3BC8" w:rsidRPr="003E79D1">
        <w:rPr>
          <w:rFonts w:hint="eastAsia"/>
          <w:vertAlign w:val="subscript"/>
        </w:rPr>
        <w:t>mon</w:t>
      </w:r>
      <w:r w:rsidR="001E3BC8" w:rsidRPr="003E79D1">
        <w:rPr>
          <w:rFonts w:hint="eastAsia"/>
          <w:vertAlign w:val="superscript"/>
        </w:rPr>
        <w:t>ster</w:t>
      </w:r>
      <w:r>
        <w:rPr>
          <w:rFonts w:hint="eastAsia"/>
        </w:rPr>
        <w:t>和</w:t>
      </w:r>
      <w:r w:rsidR="002E49FE">
        <w:t>D</w:t>
      </w:r>
      <w:r w:rsidR="002E49FE" w:rsidRPr="003E79D1">
        <w:rPr>
          <w:vertAlign w:val="subscript"/>
        </w:rPr>
        <w:t>mon</w:t>
      </w:r>
      <w:r w:rsidR="002E49FE" w:rsidRPr="003E79D1">
        <w:rPr>
          <w:vertAlign w:val="superscript"/>
        </w:rPr>
        <w:t>max,acc</w:t>
      </w:r>
      <w:r>
        <w:rPr>
          <w:rFonts w:hint="eastAsia"/>
        </w:rPr>
        <w:t>通过剂量比直接对应于产品规范</w:t>
      </w:r>
      <w:r w:rsidR="00A7088A">
        <w:rPr>
          <w:rFonts w:hint="eastAsia"/>
        </w:rPr>
        <w:t>D</w:t>
      </w:r>
      <w:r w:rsidR="00A7088A" w:rsidRPr="003E79D1">
        <w:rPr>
          <w:rFonts w:hint="eastAsia"/>
          <w:vertAlign w:val="subscript"/>
        </w:rPr>
        <w:t>ster</w:t>
      </w:r>
      <w:r>
        <w:rPr>
          <w:rFonts w:hint="eastAsia"/>
        </w:rPr>
        <w:t>和</w:t>
      </w:r>
      <w:r w:rsidR="00D32DAF">
        <w:rPr>
          <w:rFonts w:hint="eastAsia"/>
        </w:rPr>
        <w:t>D</w:t>
      </w:r>
      <w:r w:rsidR="00D32DAF" w:rsidRPr="003E79D1">
        <w:rPr>
          <w:rFonts w:hint="eastAsia"/>
          <w:vertAlign w:val="subscript"/>
        </w:rPr>
        <w:t>max,acc</w:t>
      </w:r>
    </w:p>
    <w:p w:rsidR="008B7E5F" w:rsidRDefault="00F43F26" w:rsidP="00E30FAE">
      <w:pPr>
        <w:pStyle w:val="afff2"/>
      </w:pPr>
      <w:proofErr w:type="spellStart"/>
      <w:r>
        <w:rPr>
          <w:rFonts w:hint="eastAsia"/>
        </w:rPr>
        <w:t>D</w:t>
      </w:r>
      <w:r w:rsidRPr="003E79D1">
        <w:rPr>
          <w:rFonts w:hint="eastAsia"/>
          <w:vertAlign w:val="subscript"/>
        </w:rPr>
        <w:t>mon</w:t>
      </w:r>
      <w:r w:rsidRPr="003E79D1">
        <w:rPr>
          <w:rFonts w:hint="eastAsia"/>
          <w:vertAlign w:val="superscript"/>
        </w:rPr>
        <w:t>ster</w:t>
      </w:r>
      <w:proofErr w:type="spellEnd"/>
      <w:r w:rsidR="008B7E5F">
        <w:rPr>
          <w:rFonts w:hint="eastAsia"/>
        </w:rPr>
        <w:t>和</w:t>
      </w:r>
      <w:proofErr w:type="spellStart"/>
      <w:r w:rsidR="002E49FE">
        <w:t>D</w:t>
      </w:r>
      <w:r w:rsidR="002E49FE" w:rsidRPr="003E79D1">
        <w:rPr>
          <w:vertAlign w:val="subscript"/>
        </w:rPr>
        <w:t>mon</w:t>
      </w:r>
      <w:r w:rsidR="002E49FE" w:rsidRPr="003E79D1">
        <w:rPr>
          <w:vertAlign w:val="superscript"/>
        </w:rPr>
        <w:t>max,acc</w:t>
      </w:r>
      <w:proofErr w:type="spellEnd"/>
      <w:r w:rsidR="008B7E5F">
        <w:rPr>
          <w:rFonts w:hint="eastAsia"/>
        </w:rPr>
        <w:t>适用于当剂量监测在远离最小和最大剂量位置但随产品移动的常规监测地点监测时。</w:t>
      </w:r>
    </w:p>
    <w:p w:rsidR="008B7E5F" w:rsidRDefault="00915FF4" w:rsidP="00915FF4">
      <w:pPr>
        <w:pStyle w:val="af9"/>
        <w:spacing w:before="156" w:after="156"/>
      </w:pPr>
      <w:r>
        <w:rPr>
          <w:rFonts w:hint="eastAsia"/>
        </w:rPr>
        <w:t>-</w:t>
      </w:r>
      <w:r w:rsidR="008B7E5F">
        <w:rPr>
          <w:rFonts w:hint="eastAsia"/>
        </w:rPr>
        <w:t>过程规范</w:t>
      </w:r>
    </w:p>
    <w:p w:rsidR="008B7E5F" w:rsidRDefault="008B7E5F" w:rsidP="008B7E5F">
      <w:pPr>
        <w:pStyle w:val="affff6"/>
        <w:ind w:firstLine="420"/>
      </w:pPr>
      <w:r>
        <w:lastRenderedPageBreak/>
        <w:t xml:space="preserve"> </w:t>
      </w:r>
      <w:bookmarkStart w:id="183" w:name="_Toc111309045"/>
      <w:bookmarkStart w:id="184" w:name="_Toc111309765"/>
      <w:r w:rsidR="00915FF4" w:rsidRPr="00335958">
        <w:drawing>
          <wp:inline distT="0" distB="0" distL="0" distR="0">
            <wp:extent cx="3048000" cy="228917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0" cy="2289175"/>
                    </a:xfrm>
                    <a:prstGeom prst="rect">
                      <a:avLst/>
                    </a:prstGeom>
                    <a:noFill/>
                    <a:ln>
                      <a:noFill/>
                    </a:ln>
                  </pic:spPr>
                </pic:pic>
              </a:graphicData>
            </a:graphic>
          </wp:inline>
        </w:drawing>
      </w:r>
      <w:bookmarkEnd w:id="183"/>
      <w:bookmarkEnd w:id="184"/>
    </w:p>
    <w:p w:rsidR="008B7E5F" w:rsidRDefault="008B7E5F" w:rsidP="008B7E5F">
      <w:pPr>
        <w:pStyle w:val="affff6"/>
        <w:ind w:firstLine="420"/>
      </w:pPr>
      <w:r>
        <w:rPr>
          <w:rFonts w:hint="eastAsia"/>
        </w:rPr>
        <w:t>a)定义一个的辐射灭菌最小目标值</w:t>
      </w:r>
      <w:r w:rsidR="00E008C7">
        <w:rPr>
          <w:rFonts w:hint="eastAsia"/>
        </w:rPr>
        <w:t>D</w:t>
      </w:r>
      <w:r w:rsidR="00E008C7" w:rsidRPr="003E79D1">
        <w:rPr>
          <w:rFonts w:hint="eastAsia"/>
          <w:vertAlign w:val="subscript"/>
        </w:rPr>
        <w:t>ster</w:t>
      </w:r>
      <w:r>
        <w:rPr>
          <w:rFonts w:hint="eastAsia"/>
        </w:rPr>
        <w:t>=20kGy关键术语的图形表示</w:t>
      </w:r>
    </w:p>
    <w:p w:rsidR="008B7E5F" w:rsidRDefault="008B7E5F" w:rsidP="008B7E5F">
      <w:pPr>
        <w:pStyle w:val="affff6"/>
        <w:ind w:firstLine="420"/>
      </w:pPr>
      <w:r>
        <w:t xml:space="preserve"> </w:t>
      </w:r>
      <w:bookmarkStart w:id="185" w:name="_Toc111309047"/>
      <w:bookmarkStart w:id="186" w:name="_Toc111309767"/>
      <w:r w:rsidR="00915FF4" w:rsidRPr="00915FF4">
        <w:rPr>
          <w:rFonts w:ascii="Times New Roman"/>
          <w:kern w:val="2"/>
          <w:szCs w:val="24"/>
        </w:rPr>
        <w:drawing>
          <wp:inline distT="0" distB="0" distL="0" distR="0">
            <wp:extent cx="3048000" cy="228917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0" cy="2289175"/>
                    </a:xfrm>
                    <a:prstGeom prst="rect">
                      <a:avLst/>
                    </a:prstGeom>
                    <a:noFill/>
                    <a:ln>
                      <a:noFill/>
                    </a:ln>
                  </pic:spPr>
                </pic:pic>
              </a:graphicData>
            </a:graphic>
          </wp:inline>
        </w:drawing>
      </w:r>
      <w:bookmarkEnd w:id="185"/>
      <w:bookmarkEnd w:id="186"/>
    </w:p>
    <w:p w:rsidR="008B7E5F" w:rsidRDefault="008B7E5F" w:rsidP="008B7E5F">
      <w:pPr>
        <w:pStyle w:val="affff6"/>
        <w:ind w:firstLine="420"/>
      </w:pPr>
      <w:r>
        <w:rPr>
          <w:rFonts w:hint="eastAsia"/>
        </w:rPr>
        <w:t>b) 定义一个的辐射灭菌最大目标值</w:t>
      </w:r>
      <w:r w:rsidR="00D32DAF">
        <w:rPr>
          <w:rFonts w:hint="eastAsia"/>
        </w:rPr>
        <w:t>D</w:t>
      </w:r>
      <w:r w:rsidR="00D32DAF" w:rsidRPr="003E79D1">
        <w:rPr>
          <w:rFonts w:hint="eastAsia"/>
          <w:vertAlign w:val="subscript"/>
        </w:rPr>
        <w:t>max,acc</w:t>
      </w:r>
      <w:r>
        <w:rPr>
          <w:rFonts w:hint="eastAsia"/>
        </w:rPr>
        <w:t xml:space="preserve">=30kGy关键术语的图形表示 </w:t>
      </w:r>
    </w:p>
    <w:p w:rsidR="008B7E5F" w:rsidRDefault="00E37044" w:rsidP="00E30FAE">
      <w:pPr>
        <w:pStyle w:val="afff2"/>
      </w:pPr>
      <w:proofErr w:type="spellStart"/>
      <w:r>
        <w:rPr>
          <w:rFonts w:hint="eastAsia"/>
        </w:rPr>
        <w:t>D</w:t>
      </w:r>
      <w:r w:rsidRPr="003E79D1">
        <w:rPr>
          <w:rFonts w:hint="eastAsia"/>
          <w:vertAlign w:val="subscript"/>
        </w:rPr>
        <w:t>target</w:t>
      </w:r>
      <w:r w:rsidRPr="003E79D1">
        <w:rPr>
          <w:rFonts w:hint="eastAsia"/>
          <w:vertAlign w:val="superscript"/>
        </w:rPr>
        <w:t>upper</w:t>
      </w:r>
      <w:proofErr w:type="spellEnd"/>
      <w:r w:rsidR="008B7E5F">
        <w:rPr>
          <w:rFonts w:hint="eastAsia"/>
        </w:rPr>
        <w:t>周围的正态分布是与过程不确定度相关的分布(见D.2)。</w:t>
      </w:r>
    </w:p>
    <w:p w:rsidR="008B7E5F" w:rsidRDefault="008B7E5F" w:rsidP="00915FF4">
      <w:pPr>
        <w:pStyle w:val="af9"/>
        <w:spacing w:before="156" w:after="156"/>
      </w:pPr>
      <w:r>
        <w:rPr>
          <w:rFonts w:hint="eastAsia"/>
        </w:rPr>
        <w:t>-在最小和最大剂量位置的常规剂量监测</w:t>
      </w:r>
    </w:p>
    <w:p w:rsidR="008B7E5F" w:rsidRDefault="008B7E5F" w:rsidP="008B7E5F">
      <w:pPr>
        <w:pStyle w:val="affff6"/>
        <w:ind w:firstLine="420"/>
      </w:pPr>
      <w:r>
        <w:t xml:space="preserve"> </w:t>
      </w:r>
      <w:bookmarkStart w:id="187" w:name="_Toc111309048"/>
      <w:bookmarkStart w:id="188" w:name="_Toc111309768"/>
      <w:r w:rsidR="00915FF4" w:rsidRPr="00915FF4">
        <w:rPr>
          <w:rFonts w:ascii="Times New Roman"/>
          <w:kern w:val="2"/>
          <w:szCs w:val="24"/>
        </w:rPr>
        <w:drawing>
          <wp:inline distT="0" distB="0" distL="0" distR="0">
            <wp:extent cx="3048000" cy="228917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0" cy="2289175"/>
                    </a:xfrm>
                    <a:prstGeom prst="rect">
                      <a:avLst/>
                    </a:prstGeom>
                    <a:noFill/>
                    <a:ln>
                      <a:noFill/>
                    </a:ln>
                  </pic:spPr>
                </pic:pic>
              </a:graphicData>
            </a:graphic>
          </wp:inline>
        </w:drawing>
      </w:r>
      <w:bookmarkEnd w:id="187"/>
      <w:bookmarkEnd w:id="188"/>
    </w:p>
    <w:p w:rsidR="008B7E5F" w:rsidRDefault="008B7E5F" w:rsidP="008B7E5F">
      <w:pPr>
        <w:pStyle w:val="affff6"/>
        <w:ind w:firstLine="420"/>
      </w:pPr>
      <w:r>
        <w:rPr>
          <w:rFonts w:hint="eastAsia"/>
        </w:rPr>
        <w:t>a)定义一个的辐射灭菌最小目标值</w:t>
      </w:r>
      <w:r w:rsidR="00E008C7">
        <w:rPr>
          <w:rFonts w:hint="eastAsia"/>
        </w:rPr>
        <w:t>D</w:t>
      </w:r>
      <w:r w:rsidR="00E008C7" w:rsidRPr="003E79D1">
        <w:rPr>
          <w:rFonts w:hint="eastAsia"/>
          <w:vertAlign w:val="subscript"/>
        </w:rPr>
        <w:t>ster</w:t>
      </w:r>
      <w:r>
        <w:rPr>
          <w:rFonts w:hint="eastAsia"/>
        </w:rPr>
        <w:t>=20kGy关键术语的图形表示</w:t>
      </w:r>
    </w:p>
    <w:p w:rsidR="008B7E5F" w:rsidRDefault="008B7E5F" w:rsidP="008B7E5F">
      <w:pPr>
        <w:pStyle w:val="affff6"/>
        <w:ind w:firstLine="420"/>
      </w:pPr>
      <w:r>
        <w:lastRenderedPageBreak/>
        <w:t xml:space="preserve"> </w:t>
      </w:r>
      <w:bookmarkStart w:id="189" w:name="_Toc111309050"/>
      <w:bookmarkStart w:id="190" w:name="_Toc111309770"/>
      <w:r w:rsidR="00915FF4" w:rsidRPr="00915FF4">
        <w:rPr>
          <w:rFonts w:ascii="Times New Roman"/>
          <w:kern w:val="2"/>
          <w:szCs w:val="24"/>
        </w:rPr>
        <w:drawing>
          <wp:inline distT="0" distB="0" distL="0" distR="0">
            <wp:extent cx="3048000" cy="228917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0" cy="2289175"/>
                    </a:xfrm>
                    <a:prstGeom prst="rect">
                      <a:avLst/>
                    </a:prstGeom>
                    <a:noFill/>
                    <a:ln>
                      <a:noFill/>
                    </a:ln>
                  </pic:spPr>
                </pic:pic>
              </a:graphicData>
            </a:graphic>
          </wp:inline>
        </w:drawing>
      </w:r>
      <w:bookmarkEnd w:id="189"/>
      <w:bookmarkEnd w:id="190"/>
    </w:p>
    <w:p w:rsidR="008B7E5F" w:rsidRDefault="008B7E5F" w:rsidP="008B7E5F">
      <w:pPr>
        <w:pStyle w:val="affff6"/>
        <w:ind w:firstLine="420"/>
      </w:pPr>
      <w:r>
        <w:rPr>
          <w:rFonts w:hint="eastAsia"/>
        </w:rPr>
        <w:t>b) 定义一个的辐射灭菌最大目标值</w:t>
      </w:r>
      <w:r w:rsidR="00D32DAF">
        <w:rPr>
          <w:rFonts w:hint="eastAsia"/>
        </w:rPr>
        <w:t>D</w:t>
      </w:r>
      <w:r w:rsidR="00D32DAF" w:rsidRPr="003E79D1">
        <w:rPr>
          <w:rFonts w:hint="eastAsia"/>
          <w:vertAlign w:val="subscript"/>
        </w:rPr>
        <w:t>max,acc</w:t>
      </w:r>
      <w:r>
        <w:rPr>
          <w:rFonts w:hint="eastAsia"/>
        </w:rPr>
        <w:t>=30kGy关键术语的图形表示</w:t>
      </w:r>
    </w:p>
    <w:p w:rsidR="008B7E5F" w:rsidRDefault="007A1158">
      <w:pPr>
        <w:pStyle w:val="a5"/>
        <w:numPr>
          <w:ilvl w:val="0"/>
          <w:numId w:val="37"/>
        </w:numPr>
      </w:pPr>
      <w:proofErr w:type="spellStart"/>
      <w:r>
        <w:rPr>
          <w:rFonts w:hint="eastAsia"/>
        </w:rPr>
        <w:t>D</w:t>
      </w:r>
      <w:r w:rsidRPr="00E30FAE">
        <w:rPr>
          <w:rFonts w:hint="eastAsia"/>
          <w:vertAlign w:val="subscript"/>
        </w:rPr>
        <w:t>target</w:t>
      </w:r>
      <w:r w:rsidRPr="00E30FAE">
        <w:rPr>
          <w:rFonts w:hint="eastAsia"/>
          <w:vertAlign w:val="superscript"/>
        </w:rPr>
        <w:t>upper</w:t>
      </w:r>
      <w:proofErr w:type="spellEnd"/>
      <w:r w:rsidR="008B7E5F">
        <w:rPr>
          <w:rFonts w:hint="eastAsia"/>
        </w:rPr>
        <w:t>与</w:t>
      </w:r>
      <w:proofErr w:type="spellStart"/>
      <w:r w:rsidR="00D32DAF">
        <w:rPr>
          <w:rFonts w:hint="eastAsia"/>
        </w:rPr>
        <w:t>D</w:t>
      </w:r>
      <w:r w:rsidR="00D32DAF" w:rsidRPr="00E30FAE">
        <w:rPr>
          <w:rFonts w:hint="eastAsia"/>
          <w:vertAlign w:val="subscript"/>
        </w:rPr>
        <w:t>max,acc</w:t>
      </w:r>
      <w:proofErr w:type="spellEnd"/>
      <w:r w:rsidR="008B7E5F">
        <w:rPr>
          <w:rFonts w:hint="eastAsia"/>
        </w:rPr>
        <w:t>通过比值</w:t>
      </w:r>
      <w:proofErr w:type="spellStart"/>
      <w:r w:rsidR="002E49FE">
        <w:rPr>
          <w:rFonts w:hint="eastAsia"/>
        </w:rPr>
        <w:t>R</w:t>
      </w:r>
      <w:r w:rsidR="002E49FE" w:rsidRPr="00E30FAE">
        <w:rPr>
          <w:rFonts w:hint="eastAsia"/>
          <w:vertAlign w:val="subscript"/>
        </w:rPr>
        <w:t>max</w:t>
      </w:r>
      <w:proofErr w:type="spellEnd"/>
      <w:r w:rsidR="002E49FE" w:rsidRPr="00E30FAE">
        <w:rPr>
          <w:rFonts w:hint="eastAsia"/>
          <w:vertAlign w:val="subscript"/>
        </w:rPr>
        <w:t>/</w:t>
      </w:r>
      <w:proofErr w:type="spellStart"/>
      <w:r w:rsidR="002E49FE" w:rsidRPr="00E30FAE">
        <w:rPr>
          <w:rFonts w:hint="eastAsia"/>
          <w:vertAlign w:val="subscript"/>
        </w:rPr>
        <w:t>mon</w:t>
      </w:r>
      <w:proofErr w:type="spellEnd"/>
      <w:r w:rsidR="008B7E5F">
        <w:rPr>
          <w:rFonts w:hint="eastAsia"/>
        </w:rPr>
        <w:t>相关。</w:t>
      </w:r>
    </w:p>
    <w:p w:rsidR="008B7E5F" w:rsidRDefault="00E37044" w:rsidP="00E30FAE">
      <w:pPr>
        <w:pStyle w:val="a5"/>
      </w:pPr>
      <w:proofErr w:type="spellStart"/>
      <w:r>
        <w:rPr>
          <w:rFonts w:hint="eastAsia"/>
        </w:rPr>
        <w:t>D</w:t>
      </w:r>
      <w:r w:rsidRPr="003E79D1">
        <w:rPr>
          <w:rFonts w:hint="eastAsia"/>
          <w:vertAlign w:val="subscript"/>
        </w:rPr>
        <w:t>target</w:t>
      </w:r>
      <w:r w:rsidRPr="003E79D1">
        <w:rPr>
          <w:rFonts w:hint="eastAsia"/>
          <w:vertAlign w:val="superscript"/>
        </w:rPr>
        <w:t>upper</w:t>
      </w:r>
      <w:proofErr w:type="spellEnd"/>
      <w:r w:rsidR="008B7E5F">
        <w:rPr>
          <w:rFonts w:hint="eastAsia"/>
        </w:rPr>
        <w:t>周围的正态分布是与过程不确定度(D.2)相关的分布。</w:t>
      </w:r>
    </w:p>
    <w:p w:rsidR="008B7E5F" w:rsidRDefault="008B7E5F" w:rsidP="00915FF4">
      <w:pPr>
        <w:pStyle w:val="af9"/>
        <w:spacing w:before="156" w:after="156"/>
      </w:pPr>
      <w:r>
        <w:rPr>
          <w:rFonts w:hint="eastAsia"/>
        </w:rPr>
        <w:t>-在远离最小和最大剂量位置但随产品移动位置进行常规剂量监测</w:t>
      </w:r>
    </w:p>
    <w:p w:rsidR="008B7E5F" w:rsidRDefault="008B7E5F" w:rsidP="008B7E5F">
      <w:pPr>
        <w:pStyle w:val="aff4"/>
        <w:spacing w:before="156" w:after="156"/>
      </w:pPr>
      <w:bookmarkStart w:id="191" w:name="_Toc112783077"/>
      <w:bookmarkStart w:id="192" w:name="_Toc112844874"/>
      <w:r>
        <w:rPr>
          <w:rFonts w:hint="eastAsia"/>
        </w:rPr>
        <w:t>计算考虑到不确定度的过程目标剂量值</w:t>
      </w:r>
      <w:bookmarkEnd w:id="191"/>
      <w:bookmarkEnd w:id="192"/>
    </w:p>
    <w:p w:rsidR="008B7E5F" w:rsidRDefault="008B7E5F" w:rsidP="008B7E5F">
      <w:pPr>
        <w:pStyle w:val="affff6"/>
        <w:ind w:firstLine="420"/>
      </w:pPr>
      <w:r>
        <w:rPr>
          <w:rFonts w:hint="eastAsia"/>
        </w:rPr>
        <w:t>在一定的置信度下，可以用σ</w:t>
      </w:r>
      <w:r w:rsidRPr="009F4A4A">
        <w:rPr>
          <w:rFonts w:hint="eastAsia"/>
          <w:vertAlign w:val="subscript"/>
        </w:rPr>
        <w:t>process</w:t>
      </w:r>
      <w:r>
        <w:rPr>
          <w:rFonts w:hint="eastAsia"/>
        </w:rPr>
        <w:t>计算出与辐照容器中产品剂量相对应的监测点位的目标剂量。</w:t>
      </w:r>
    </w:p>
    <w:p w:rsidR="008B7E5F" w:rsidRDefault="008B7E5F" w:rsidP="008B7E5F">
      <w:pPr>
        <w:pStyle w:val="affff6"/>
        <w:ind w:firstLine="420"/>
      </w:pPr>
      <w:r>
        <w:rPr>
          <w:rFonts w:hint="eastAsia"/>
        </w:rPr>
        <w:t>这可以通过给出的计算公式(D.1)和公式(D.2)中指定的</w:t>
      </w:r>
      <w:r w:rsidR="003738FF" w:rsidRPr="004668EF">
        <w:rPr>
          <w:rFonts w:hAnsi="宋体" w:hint="eastAsia"/>
          <w:color w:val="000000"/>
        </w:rPr>
        <w:t>UF</w:t>
      </w:r>
      <w:r w:rsidR="003738FF" w:rsidRPr="002771E8">
        <w:rPr>
          <w:rFonts w:hAnsi="宋体" w:hint="eastAsia"/>
          <w:color w:val="000000"/>
          <w:vertAlign w:val="subscript"/>
        </w:rPr>
        <w:t>lower</w:t>
      </w:r>
      <w:r w:rsidR="003738FF" w:rsidRPr="004668EF">
        <w:rPr>
          <w:rFonts w:hAnsi="宋体" w:hint="eastAsia"/>
          <w:color w:val="000000"/>
        </w:rPr>
        <w:t>和UF</w:t>
      </w:r>
      <w:r w:rsidR="003738FF" w:rsidRPr="002771E8">
        <w:rPr>
          <w:rFonts w:hAnsi="宋体" w:hint="eastAsia"/>
          <w:color w:val="000000"/>
          <w:vertAlign w:val="subscript"/>
        </w:rPr>
        <w:t>upper</w:t>
      </w:r>
      <w:r>
        <w:rPr>
          <w:rFonts w:hint="eastAsia"/>
        </w:rPr>
        <w:t>来获得</w:t>
      </w:r>
    </w:p>
    <w:p w:rsidR="00E13BC2" w:rsidRDefault="00E13BC2" w:rsidP="00E13BC2">
      <w:pPr>
        <w:pStyle w:val="affffff6"/>
      </w:pPr>
      <w:r>
        <w:tab/>
      </w:r>
      <m:oMath>
        <m:r>
          <w:rPr>
            <w:rFonts w:ascii="Cambria Math" w:hAnsi="Cambria Math"/>
          </w:rPr>
          <m:t>UFlower=1/(1 – kσprocessmin/100)</m:t>
        </m:r>
      </m:oMath>
      <w:r w:rsidRPr="00E13BC2">
        <w:rPr>
          <w:rFonts w:ascii="微软雅黑" w:eastAsia="微软雅黑" w:hAnsi="微软雅黑"/>
        </w:rPr>
        <w:tab/>
      </w:r>
      <w:r>
        <w:t>(D.</w:t>
      </w:r>
      <w:fldSimple w:instr=" seq fulu_equation_133063364973458940 ">
        <w:r w:rsidR="0014135C">
          <w:rPr>
            <w:noProof/>
          </w:rPr>
          <w:t>1</w:t>
        </w:r>
      </w:fldSimple>
      <w:r>
        <w:t>)</w:t>
      </w:r>
    </w:p>
    <w:p w:rsidR="00E13BC2" w:rsidRDefault="00E13BC2" w:rsidP="00E13BC2">
      <w:pPr>
        <w:pStyle w:val="affffff6"/>
      </w:pPr>
      <w:bookmarkStart w:id="193" w:name="_Hlk112784079"/>
      <w:bookmarkStart w:id="194" w:name="_Hlk112784126"/>
      <w:r>
        <w:tab/>
      </w:r>
      <m:oMath>
        <m:r>
          <w:rPr>
            <w:rFonts w:ascii="Cambria Math" w:hAnsi="Cambria Math"/>
          </w:rPr>
          <m:t>UFupper=1/(1 + kσprocessmax/100)</m:t>
        </m:r>
      </m:oMath>
      <w:r w:rsidRPr="00E13BC2">
        <w:rPr>
          <w:rFonts w:ascii="微软雅黑" w:eastAsia="微软雅黑" w:hAnsi="微软雅黑"/>
        </w:rPr>
        <w:tab/>
      </w:r>
      <w:r>
        <w:t>(D.</w:t>
      </w:r>
      <w:fldSimple w:instr="  seq fulu_equation_133063364973458940  ">
        <w:r w:rsidR="0014135C">
          <w:rPr>
            <w:noProof/>
          </w:rPr>
          <w:t>2</w:t>
        </w:r>
      </w:fldSimple>
      <w:r>
        <w:t>)</w:t>
      </w:r>
    </w:p>
    <w:bookmarkEnd w:id="193"/>
    <w:bookmarkEnd w:id="194"/>
    <w:p w:rsidR="008B7E5F" w:rsidRDefault="008B7E5F" w:rsidP="008B7E5F">
      <w:pPr>
        <w:pStyle w:val="affff6"/>
        <w:ind w:firstLine="420"/>
      </w:pPr>
      <w:r>
        <w:rPr>
          <w:rFonts w:hint="eastAsia"/>
        </w:rPr>
        <w:t>其中</w:t>
      </w:r>
      <w:r w:rsidR="003738FF" w:rsidRPr="004668EF">
        <w:rPr>
          <w:rFonts w:hAnsi="宋体"/>
          <w:color w:val="000000"/>
        </w:rPr>
        <w:t>σ</w:t>
      </w:r>
      <w:r w:rsidR="003738FF" w:rsidRPr="002771E8">
        <w:rPr>
          <w:rFonts w:hAnsi="宋体"/>
          <w:color w:val="000000"/>
          <w:vertAlign w:val="subscript"/>
        </w:rPr>
        <w:t>process</w:t>
      </w:r>
      <w:r w:rsidR="003738FF" w:rsidRPr="002771E8">
        <w:rPr>
          <w:rFonts w:hAnsi="宋体"/>
          <w:color w:val="000000"/>
          <w:vertAlign w:val="superscript"/>
        </w:rPr>
        <w:t>min</w:t>
      </w:r>
      <w:r>
        <w:rPr>
          <w:rFonts w:hint="eastAsia"/>
        </w:rPr>
        <w:t>和</w:t>
      </w:r>
      <w:r w:rsidR="003738FF" w:rsidRPr="004668EF">
        <w:rPr>
          <w:rFonts w:hAnsi="宋体"/>
          <w:color w:val="000000"/>
        </w:rPr>
        <w:t>σ</w:t>
      </w:r>
      <w:r w:rsidR="003738FF" w:rsidRPr="002771E8">
        <w:rPr>
          <w:rFonts w:hAnsi="宋体"/>
          <w:color w:val="000000"/>
          <w:vertAlign w:val="subscript"/>
        </w:rPr>
        <w:t>process</w:t>
      </w:r>
      <w:r w:rsidR="003738FF" w:rsidRPr="002771E8">
        <w:rPr>
          <w:rFonts w:hAnsi="宋体"/>
          <w:color w:val="000000"/>
          <w:vertAlign w:val="superscript"/>
        </w:rPr>
        <w:t>max</w:t>
      </w:r>
      <w:r>
        <w:rPr>
          <w:rFonts w:hint="eastAsia"/>
        </w:rPr>
        <w:t>分别是与最小剂量和最大剂量相关的不确定值。</w:t>
      </w:r>
    </w:p>
    <w:p w:rsidR="008B7E5F" w:rsidRDefault="008B7E5F" w:rsidP="008B7E5F">
      <w:pPr>
        <w:pStyle w:val="affff6"/>
        <w:ind w:firstLine="420"/>
      </w:pPr>
      <w:r>
        <w:rPr>
          <w:rFonts w:hint="eastAsia"/>
        </w:rPr>
        <w:t>利用上述UF值，可以定义用于过程控制的常规监测位置</w:t>
      </w:r>
      <w:r w:rsidR="00E37044">
        <w:rPr>
          <w:rFonts w:hint="eastAsia"/>
        </w:rPr>
        <w:t>D</w:t>
      </w:r>
      <w:r w:rsidR="00E37044" w:rsidRPr="003E79D1">
        <w:rPr>
          <w:rFonts w:hint="eastAsia"/>
          <w:vertAlign w:val="subscript"/>
        </w:rPr>
        <w:t>mon</w:t>
      </w:r>
      <w:r>
        <w:rPr>
          <w:rFonts w:hint="eastAsia"/>
        </w:rPr>
        <w:t>的两个基于统计的剂量值。这些指定为</w:t>
      </w:r>
      <w:r w:rsidR="007A1158">
        <w:rPr>
          <w:rFonts w:hint="eastAsia"/>
        </w:rPr>
        <w:t>D</w:t>
      </w:r>
      <w:r w:rsidR="007A1158" w:rsidRPr="003E79D1">
        <w:rPr>
          <w:rFonts w:hint="eastAsia"/>
          <w:vertAlign w:val="subscript"/>
        </w:rPr>
        <w:t>target</w:t>
      </w:r>
      <w:r w:rsidR="007A1158" w:rsidRPr="003E79D1">
        <w:rPr>
          <w:rFonts w:hint="eastAsia"/>
          <w:vertAlign w:val="superscript"/>
        </w:rPr>
        <w:t>upper</w:t>
      </w:r>
      <w:r>
        <w:rPr>
          <w:rFonts w:hint="eastAsia"/>
        </w:rPr>
        <w:t>和</w:t>
      </w:r>
      <w:r w:rsidR="007A1158">
        <w:rPr>
          <w:rFonts w:hint="eastAsia"/>
        </w:rPr>
        <w:t>D</w:t>
      </w:r>
      <w:r w:rsidR="007A1158" w:rsidRPr="003E79D1">
        <w:rPr>
          <w:rFonts w:hint="eastAsia"/>
          <w:vertAlign w:val="subscript"/>
        </w:rPr>
        <w:t>target</w:t>
      </w:r>
      <w:r w:rsidR="007A1158" w:rsidRPr="003E79D1">
        <w:rPr>
          <w:rFonts w:hint="eastAsia"/>
          <w:vertAlign w:val="superscript"/>
        </w:rPr>
        <w:t>lower</w:t>
      </w:r>
      <w:r>
        <w:rPr>
          <w:rFonts w:hint="eastAsia"/>
        </w:rPr>
        <w:t>分别在公式(D.3)和公式(D.4)中给出：</w:t>
      </w:r>
    </w:p>
    <w:p w:rsidR="00E13BC2" w:rsidRDefault="00E13BC2" w:rsidP="00E13BC2">
      <w:pPr>
        <w:pStyle w:val="affffff6"/>
      </w:pPr>
      <w:bookmarkStart w:id="195" w:name="_Hlk112784099"/>
      <w:r>
        <w:tab/>
      </w:r>
      <m:oMath>
        <m:r>
          <w:rPr>
            <w:rFonts w:ascii="Cambria Math" w:hAnsi="Cambria Math"/>
          </w:rPr>
          <m:t>Dtargetupper= Dmax,acc/Rmax/mon · UFupper</m:t>
        </m:r>
      </m:oMath>
      <w:r w:rsidRPr="00E13BC2">
        <w:rPr>
          <w:rFonts w:ascii="微软雅黑" w:eastAsia="微软雅黑" w:hAnsi="微软雅黑"/>
        </w:rPr>
        <w:tab/>
      </w:r>
      <w:r>
        <w:t>(D.</w:t>
      </w:r>
      <w:fldSimple w:instr="  seq fulu_equation_133063364973458940  ">
        <w:r w:rsidR="0014135C">
          <w:rPr>
            <w:noProof/>
          </w:rPr>
          <w:t>3</w:t>
        </w:r>
      </w:fldSimple>
      <w:r>
        <w:t>)</w:t>
      </w:r>
    </w:p>
    <w:p w:rsidR="00E13BC2" w:rsidRDefault="00E13BC2" w:rsidP="00E13BC2">
      <w:pPr>
        <w:pStyle w:val="affffff6"/>
      </w:pPr>
      <w:r>
        <w:tab/>
      </w:r>
      <m:oMath>
        <m:r>
          <w:rPr>
            <w:rFonts w:ascii="Cambria Math" w:hAnsi="Cambria Math"/>
          </w:rPr>
          <m:t>Dtargetlower= Dster/Rmin/mon · UFlower</m:t>
        </m:r>
      </m:oMath>
      <w:r w:rsidRPr="00E13BC2">
        <w:rPr>
          <w:rFonts w:ascii="微软雅黑" w:eastAsia="微软雅黑" w:hAnsi="微软雅黑"/>
        </w:rPr>
        <w:tab/>
      </w:r>
      <w:r>
        <w:t>(D.</w:t>
      </w:r>
      <w:fldSimple w:instr="  seq fulu_equation_133063364973458940  ">
        <w:r w:rsidR="0014135C">
          <w:rPr>
            <w:noProof/>
          </w:rPr>
          <w:t>4</w:t>
        </w:r>
      </w:fldSimple>
      <w:r>
        <w:t>)</w:t>
      </w:r>
    </w:p>
    <w:bookmarkEnd w:id="195"/>
    <w:p w:rsidR="008B7E5F" w:rsidRDefault="008B7E5F" w:rsidP="008B7E5F">
      <w:pPr>
        <w:pStyle w:val="affff6"/>
        <w:ind w:firstLine="420"/>
      </w:pPr>
      <w:r>
        <w:rPr>
          <w:rFonts w:hint="eastAsia"/>
        </w:rPr>
        <w:t>监测地点可以是最小剂量和最大剂量的点位，也可以是单独的监测点位。</w:t>
      </w:r>
    </w:p>
    <w:p w:rsidR="008B7E5F" w:rsidRDefault="00E37044" w:rsidP="008B7E5F">
      <w:pPr>
        <w:pStyle w:val="affff6"/>
        <w:ind w:firstLine="420"/>
      </w:pPr>
      <w:r>
        <w:rPr>
          <w:rFonts w:hint="eastAsia"/>
        </w:rPr>
        <w:t>D</w:t>
      </w:r>
      <w:r w:rsidRPr="003E79D1">
        <w:rPr>
          <w:rFonts w:hint="eastAsia"/>
          <w:vertAlign w:val="subscript"/>
        </w:rPr>
        <w:t>target</w:t>
      </w:r>
      <w:r w:rsidR="008B7E5F">
        <w:rPr>
          <w:rFonts w:hint="eastAsia"/>
        </w:rPr>
        <w:t>剂量构成常规灭菌过程中过程控制的基础，但解释的方式将取决于所采用的过程控制方法。所使用的过程控制方法的细节不在本文件的范围之内。选择的方法将取决于几个因素，如辐照装置类型，产品和其他当地的运行要求。</w:t>
      </w:r>
    </w:p>
    <w:p w:rsidR="00915FF4" w:rsidRDefault="00915FF4" w:rsidP="008B7E5F">
      <w:pPr>
        <w:pStyle w:val="affff6"/>
        <w:ind w:firstLine="420"/>
        <w:sectPr w:rsidR="00915FF4" w:rsidSect="00BF2D77">
          <w:headerReference w:type="even" r:id="rId47"/>
          <w:headerReference w:type="default" r:id="rId48"/>
          <w:footerReference w:type="even" r:id="rId49"/>
          <w:footerReference w:type="default" r:id="rId50"/>
          <w:pgSz w:w="11906" w:h="16838" w:code="9"/>
          <w:pgMar w:top="1928" w:right="1134" w:bottom="1134" w:left="1134" w:header="1418" w:footer="1134" w:gutter="284"/>
          <w:cols w:space="425"/>
          <w:formProt w:val="0"/>
          <w:docGrid w:type="lines" w:linePitch="312"/>
        </w:sectPr>
      </w:pPr>
      <w:bookmarkStart w:id="196" w:name="BookMark6"/>
      <w:bookmarkEnd w:id="136"/>
    </w:p>
    <w:p w:rsidR="00915FF4" w:rsidRDefault="00915FF4" w:rsidP="00915FF4">
      <w:pPr>
        <w:pStyle w:val="affffd"/>
        <w:spacing w:after="156"/>
      </w:pPr>
      <w:bookmarkStart w:id="197" w:name="_Toc112783078"/>
      <w:bookmarkStart w:id="198" w:name="_Toc112844875"/>
      <w:r w:rsidRPr="00915FF4">
        <w:rPr>
          <w:rFonts w:hint="eastAsia"/>
          <w:spacing w:val="105"/>
        </w:rPr>
        <w:lastRenderedPageBreak/>
        <w:t>参考文</w:t>
      </w:r>
      <w:r>
        <w:rPr>
          <w:rFonts w:hint="eastAsia"/>
        </w:rPr>
        <w:t>献</w:t>
      </w:r>
      <w:bookmarkEnd w:id="197"/>
      <w:bookmarkEnd w:id="198"/>
    </w:p>
    <w:p w:rsidR="00915FF4" w:rsidRDefault="00915FF4" w:rsidP="00915FF4">
      <w:pPr>
        <w:pStyle w:val="affff6"/>
        <w:ind w:firstLine="420"/>
      </w:pPr>
      <w:r>
        <w:t xml:space="preserve">[1] ISO 10012, Measurement management systems </w:t>
      </w:r>
      <w:r>
        <w:t>—</w:t>
      </w:r>
      <w:r>
        <w:t xml:space="preserve"> Requirements for measurement processes and measuring equipment</w:t>
      </w:r>
    </w:p>
    <w:p w:rsidR="00915FF4" w:rsidRDefault="00915FF4" w:rsidP="00915FF4">
      <w:pPr>
        <w:pStyle w:val="affff6"/>
        <w:ind w:firstLine="420"/>
      </w:pPr>
      <w:r>
        <w:t xml:space="preserve">[2] ISO 11462-2, Guidelines for implementation of statistical process control (SPC) </w:t>
      </w:r>
      <w:r>
        <w:t>—</w:t>
      </w:r>
      <w:r>
        <w:t xml:space="preserve"> Part 2: Catalogue of tools and techniques</w:t>
      </w:r>
    </w:p>
    <w:p w:rsidR="00915FF4" w:rsidRDefault="00915FF4" w:rsidP="00915FF4">
      <w:pPr>
        <w:pStyle w:val="affff6"/>
        <w:ind w:firstLine="420"/>
      </w:pPr>
      <w:r>
        <w:t xml:space="preserve">[3] ISO 14253-1, Geometrical product specifications (GPS) </w:t>
      </w:r>
      <w:r>
        <w:t>—</w:t>
      </w:r>
      <w:r>
        <w:t xml:space="preserve"> Inspection by measurement of workpieces and measuring equipment </w:t>
      </w:r>
      <w:r>
        <w:t>—</w:t>
      </w:r>
      <w:r>
        <w:t xml:space="preserve"> Part 1: Decision rules for proving conformity or nonconformity with specifications</w:t>
      </w:r>
    </w:p>
    <w:p w:rsidR="00915FF4" w:rsidRDefault="00915FF4" w:rsidP="00915FF4">
      <w:pPr>
        <w:pStyle w:val="affff6"/>
        <w:ind w:firstLine="420"/>
      </w:pPr>
      <w:r>
        <w:t xml:space="preserve">[4] ISO 14971, Medical devices </w:t>
      </w:r>
      <w:r>
        <w:t>—</w:t>
      </w:r>
      <w:r>
        <w:t xml:space="preserve"> Application of risk management to medical devices</w:t>
      </w:r>
    </w:p>
    <w:p w:rsidR="00915FF4" w:rsidRDefault="00915FF4" w:rsidP="00915FF4">
      <w:pPr>
        <w:pStyle w:val="affff6"/>
        <w:ind w:firstLine="420"/>
      </w:pPr>
      <w:r>
        <w:t>[5] ISO/ASTM 51205, Practice for use of a ceric-cerous sulfate dosimetry system</w:t>
      </w:r>
    </w:p>
    <w:p w:rsidR="00915FF4" w:rsidRDefault="00915FF4" w:rsidP="00915FF4">
      <w:pPr>
        <w:pStyle w:val="affff6"/>
        <w:ind w:firstLine="420"/>
      </w:pPr>
      <w:r>
        <w:t>[6] ISO/ASTM 51261, Practice for calibration of routine dosimetry systems for radiation processing</w:t>
      </w:r>
    </w:p>
    <w:p w:rsidR="00915FF4" w:rsidRDefault="00915FF4" w:rsidP="00915FF4">
      <w:pPr>
        <w:pStyle w:val="affff6"/>
        <w:ind w:firstLine="420"/>
      </w:pPr>
      <w:r>
        <w:t>[7] ISO/ASTM 51275, Practice for use of a radiochromic film dosimetry system</w:t>
      </w:r>
    </w:p>
    <w:p w:rsidR="00915FF4" w:rsidRDefault="00915FF4" w:rsidP="00915FF4">
      <w:pPr>
        <w:pStyle w:val="affff6"/>
        <w:ind w:firstLine="420"/>
      </w:pPr>
      <w:r>
        <w:t>[8] ISO/ASTM 51276, Practice for use of a polymethylmethacrylate dosimetry system</w:t>
      </w:r>
    </w:p>
    <w:p w:rsidR="00915FF4" w:rsidRDefault="00915FF4" w:rsidP="00915FF4">
      <w:pPr>
        <w:pStyle w:val="affff6"/>
        <w:ind w:firstLine="420"/>
      </w:pPr>
      <w:r>
        <w:t>[9] ISO/ASTM 51401, Practice for use of a dichromate dosimetry system</w:t>
      </w:r>
    </w:p>
    <w:p w:rsidR="00915FF4" w:rsidRDefault="00915FF4" w:rsidP="00915FF4">
      <w:pPr>
        <w:pStyle w:val="affff6"/>
        <w:ind w:firstLine="420"/>
      </w:pPr>
      <w:r>
        <w:t>[10] ISO/ASTM 51538, Practice for use of the ethanol-chlorobenzene dosimetry system</w:t>
      </w:r>
    </w:p>
    <w:p w:rsidR="00915FF4" w:rsidRDefault="00915FF4" w:rsidP="00915FF4">
      <w:pPr>
        <w:pStyle w:val="affff6"/>
        <w:ind w:firstLine="420"/>
      </w:pPr>
      <w:r>
        <w:t>[11] ISO/ASTM 51607, Practice for use of the alanine-EPR dosimetry system</w:t>
      </w:r>
    </w:p>
    <w:p w:rsidR="00915FF4" w:rsidRDefault="00915FF4" w:rsidP="00915FF4">
      <w:pPr>
        <w:pStyle w:val="affff6"/>
        <w:ind w:firstLine="420"/>
      </w:pPr>
      <w:r>
        <w:t>[12] ISO/ASTM 51608, Practice for dosimetry in an X-ray (Bremsstrahlung) facility for radiation processing</w:t>
      </w:r>
    </w:p>
    <w:p w:rsidR="00915FF4" w:rsidRDefault="00915FF4" w:rsidP="00915FF4">
      <w:pPr>
        <w:pStyle w:val="affff6"/>
        <w:ind w:firstLine="420"/>
      </w:pPr>
      <w:r>
        <w:t>[13] ISO/ASTM 51631, Practice for use of calorimetric dosimetry systems for electron beam dose measurements and dosimeter calibrations</w:t>
      </w:r>
    </w:p>
    <w:p w:rsidR="00915FF4" w:rsidRDefault="00915FF4" w:rsidP="00915FF4">
      <w:pPr>
        <w:pStyle w:val="affff6"/>
        <w:ind w:firstLine="420"/>
      </w:pPr>
      <w:r>
        <w:t>[14] ISO/ASTM 51649, Practice for dosimetry in an electron beam facility for radiation processing at energies between 300 keV and 25 MeV</w:t>
      </w:r>
    </w:p>
    <w:p w:rsidR="00915FF4" w:rsidRDefault="00915FF4" w:rsidP="00915FF4">
      <w:pPr>
        <w:pStyle w:val="affff6"/>
        <w:ind w:firstLine="420"/>
      </w:pPr>
      <w:r>
        <w:t>[15] ISO/ASTM 51650, Practice for use of a cellulose triacetate dosimetry system</w:t>
      </w:r>
    </w:p>
    <w:p w:rsidR="00915FF4" w:rsidRDefault="00915FF4" w:rsidP="00915FF4">
      <w:pPr>
        <w:pStyle w:val="affff6"/>
        <w:ind w:firstLine="420"/>
      </w:pPr>
      <w:r>
        <w:t>[16] ISO/ASTM 51707, Standard guide for estimation of measurement uncertainty in dosimetry for radiation processing</w:t>
      </w:r>
    </w:p>
    <w:p w:rsidR="00915FF4" w:rsidRDefault="00915FF4" w:rsidP="00915FF4">
      <w:pPr>
        <w:pStyle w:val="affff6"/>
        <w:ind w:firstLine="420"/>
      </w:pPr>
      <w:r>
        <w:t>[17] ISO/ASTM 51818, Practice for dosimetry in an electron beam facility for radiation Processing at energies between 80 and 300 keV</w:t>
      </w:r>
    </w:p>
    <w:p w:rsidR="00915FF4" w:rsidRDefault="00915FF4" w:rsidP="00915FF4">
      <w:pPr>
        <w:pStyle w:val="affff6"/>
        <w:ind w:firstLine="420"/>
      </w:pPr>
      <w:r>
        <w:t>[18] ISO/ASTM 52303, Guide for absorbed-dose mapping in radiation processing facilities</w:t>
      </w:r>
    </w:p>
    <w:p w:rsidR="00915FF4" w:rsidRDefault="00915FF4" w:rsidP="00915FF4">
      <w:pPr>
        <w:pStyle w:val="affff6"/>
        <w:ind w:firstLine="420"/>
      </w:pPr>
      <w:r>
        <w:t>[19] ISO/ASTM 52628, Standard practice for dosimetry in radiation processing</w:t>
      </w:r>
    </w:p>
    <w:p w:rsidR="00915FF4" w:rsidRDefault="00915FF4" w:rsidP="00915FF4">
      <w:pPr>
        <w:pStyle w:val="affff6"/>
        <w:ind w:firstLine="420"/>
      </w:pPr>
      <w:r>
        <w:t>[20] ISO/ASTM 52701, Guide for performance characterization of dosimeters and dosimetry systems for use in radiation processing</w:t>
      </w:r>
    </w:p>
    <w:p w:rsidR="00915FF4" w:rsidRDefault="00915FF4" w:rsidP="00915FF4">
      <w:pPr>
        <w:pStyle w:val="affff6"/>
        <w:ind w:firstLine="420"/>
      </w:pPr>
      <w:r>
        <w:t>[21] ISO/IEC 17025, General requirements for the competence of testing and calibration laboratories</w:t>
      </w:r>
    </w:p>
    <w:p w:rsidR="00915FF4" w:rsidRDefault="00915FF4" w:rsidP="00915FF4">
      <w:pPr>
        <w:pStyle w:val="affff6"/>
        <w:ind w:firstLine="420"/>
      </w:pPr>
      <w:r>
        <w:t>[22] AAMI/TIR 29, Guide for process control in radiation sterilization</w:t>
      </w:r>
    </w:p>
    <w:p w:rsidR="00915FF4" w:rsidRDefault="00915FF4" w:rsidP="00915FF4">
      <w:pPr>
        <w:pStyle w:val="affff6"/>
        <w:ind w:firstLine="420"/>
      </w:pPr>
      <w:r>
        <w:t>[23] ASTM E2232, Standard guide for selection and use of mathematical methods for calculating absorbed dose in radiation processing applications</w:t>
      </w:r>
    </w:p>
    <w:p w:rsidR="00915FF4" w:rsidRDefault="00915FF4" w:rsidP="00915FF4">
      <w:pPr>
        <w:pStyle w:val="affff6"/>
        <w:ind w:firstLine="420"/>
      </w:pPr>
      <w:r>
        <w:t xml:space="preserve">[24] JCGM 1061), Evaluation of measurement data </w:t>
      </w:r>
      <w:r>
        <w:t>—</w:t>
      </w:r>
      <w:r>
        <w:t xml:space="preserve"> The role of measurement uncertainty in conformity Assessment. Joint committee for guides in metrology(2012)</w:t>
      </w:r>
    </w:p>
    <w:p w:rsidR="00915FF4" w:rsidRDefault="00915FF4" w:rsidP="00915FF4">
      <w:pPr>
        <w:pStyle w:val="affff6"/>
        <w:ind w:firstLine="420"/>
      </w:pPr>
      <w:r>
        <w:lastRenderedPageBreak/>
        <w:t>[25] Cleland M.R., Gregoire O., Stichelbaut F., Gomola I., Galloway R.A., Schlecht J. Energy determination in industrial X-ray processing facilities. Nucl. Instrum. Methods Phys. Res. B. 2005, 241 pp. 850</w:t>
      </w:r>
      <w:r>
        <w:t>–</w:t>
      </w:r>
      <w:r>
        <w:t>853</w:t>
      </w:r>
    </w:p>
    <w:p w:rsidR="00915FF4" w:rsidRDefault="00915FF4" w:rsidP="00915FF4">
      <w:pPr>
        <w:pStyle w:val="affff6"/>
        <w:ind w:firstLine="420"/>
      </w:pPr>
      <w:r>
        <w:t xml:space="preserve">[26] GUM:1995, JCGM 100, Evaluation of measurement data </w:t>
      </w:r>
      <w:r>
        <w:t>—</w:t>
      </w:r>
      <w:r>
        <w:t xml:space="preserve"> Guide to the expression of uncertainty in measurement</w:t>
      </w:r>
    </w:p>
    <w:p w:rsidR="00915FF4" w:rsidRDefault="00915FF4" w:rsidP="00915FF4">
      <w:pPr>
        <w:pStyle w:val="affff6"/>
        <w:ind w:firstLine="420"/>
      </w:pPr>
      <w:r>
        <w:t>[27] Radiation Technology Series NoI.A.E.A.1; Use of mathematical modelling in electron beam processing: a guidebook. http://www-pub.iaea.org/MTCD/publications/PDF/Pub1474_Web.pdf, Retrieved on 17 May 2017</w:t>
      </w:r>
    </w:p>
    <w:p w:rsidR="00915FF4" w:rsidRDefault="00915FF4" w:rsidP="00915FF4">
      <w:pPr>
        <w:pStyle w:val="affff6"/>
        <w:ind w:firstLine="420"/>
      </w:pPr>
      <w:r>
        <w:t>[28] International Commission on Radiation Units and Measurements (ICRU) Report 80. Dosimetry Systems for Use in Radiation Processing,Bethesda: 2008</w:t>
      </w:r>
    </w:p>
    <w:p w:rsidR="00915FF4" w:rsidRDefault="00915FF4" w:rsidP="00915FF4">
      <w:pPr>
        <w:pStyle w:val="affff6"/>
        <w:ind w:firstLine="420"/>
      </w:pPr>
      <w:r>
        <w:t>[29] Miller A. Approval and control of radiation processes, EB and gamma. Radiat. Phys. Chem. 1988, 31 pp. 385</w:t>
      </w:r>
      <w:r>
        <w:t>–</w:t>
      </w:r>
      <w:r>
        <w:t>393</w:t>
      </w:r>
    </w:p>
    <w:p w:rsidR="00915FF4" w:rsidRDefault="00915FF4" w:rsidP="00915FF4">
      <w:pPr>
        <w:pStyle w:val="affff6"/>
        <w:ind w:firstLine="420"/>
      </w:pPr>
      <w:r>
        <w:t>[30] SHARPE. P. and MILLER, A. Guidelines for the Calibration of Dosimeters for use in Radiation Processing. NPL Report CIRM 29, National Physical Laboratory, Teddington, TW11 0LW, UK ( 2009)</w:t>
      </w:r>
    </w:p>
    <w:p w:rsidR="00915FF4" w:rsidRDefault="00915FF4" w:rsidP="00915FF4">
      <w:pPr>
        <w:pStyle w:val="affff6"/>
        <w:ind w:firstLine="420"/>
      </w:pPr>
      <w:r>
        <w:t>[31] Panel on Gamma and Electron Irradiation, Review of Monte Carlo Modeling Codes, The Panel on Gamma &amp; Electron Irradiation (2010), https://www.irradiationpanel.org/app/download/3781272/Guide+Monte+Carlo+modelling+2010.pdf, Retrieved on 17 May 2017</w:t>
      </w:r>
    </w:p>
    <w:p w:rsidR="00915FF4" w:rsidRDefault="00915FF4" w:rsidP="00915FF4">
      <w:pPr>
        <w:pStyle w:val="affff6"/>
        <w:ind w:firstLine="420"/>
      </w:pPr>
      <w:r>
        <w:t>[32] Panel on Gamma and Electron Irradiation. Discussion Paper on Uncertainties in Routine Dosimetry for Gamma and EB Plants, The Panel on Gamma &amp; Electron Irradiation (1998), https://www.irradiationpanel.org/app/download/3781373/ Guide+Uncertainty+in+Routine+Dosimetry+1998.pdf, Retrieved on 17 May 2017</w:t>
      </w:r>
    </w:p>
    <w:p w:rsidR="00915FF4" w:rsidRDefault="00915FF4" w:rsidP="00915FF4">
      <w:pPr>
        <w:pStyle w:val="affff6"/>
        <w:ind w:firstLine="420"/>
      </w:pPr>
      <w:r>
        <w:t>[33] Panel on Gamma and Electron Irradiation. A Method for Statistical Process Control of Radiation Sterilization Facilities, The Panel on Gamma &amp; Electron Irradiation ( 2006), https://www.irradiationpanel.org/app/download/3781330/Guide+Statistical+Process+control+2006 .pdf, Retrieved on 17 May 2017</w:t>
      </w:r>
      <w:bookmarkEnd w:id="196"/>
    </w:p>
    <w:sectPr w:rsidR="00915FF4" w:rsidSect="00BF2D77">
      <w:headerReference w:type="even" r:id="rId51"/>
      <w:headerReference w:type="default" r:id="rId52"/>
      <w:footerReference w:type="even" r:id="rId53"/>
      <w:footerReference w:type="default" r:id="rId54"/>
      <w:pgSz w:w="11906" w:h="16838" w:code="9"/>
      <w:pgMar w:top="1928" w:right="1134" w:bottom="1134" w:left="1134" w:header="1418" w:footer="1134" w:gutter="284"/>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8DB" w:rsidRDefault="00F668DB" w:rsidP="00D86DB7">
      <w:r>
        <w:separator/>
      </w:r>
    </w:p>
    <w:p w:rsidR="00F668DB" w:rsidRDefault="00F668DB"/>
    <w:p w:rsidR="00F668DB" w:rsidRDefault="00F668DB"/>
  </w:endnote>
  <w:endnote w:type="continuationSeparator" w:id="0">
    <w:p w:rsidR="00F668DB" w:rsidRDefault="00F668DB" w:rsidP="00D86DB7">
      <w:r>
        <w:continuationSeparator/>
      </w:r>
    </w:p>
    <w:p w:rsidR="00F668DB" w:rsidRDefault="00F668DB"/>
    <w:p w:rsidR="00F668DB" w:rsidRDefault="00F668DB"/>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Default="00A0242A">
    <w:pPr>
      <w:pStyle w:val="afffa"/>
    </w:pPr>
    <w:r>
      <w:fldChar w:fldCharType="begin"/>
    </w:r>
    <w:r w:rsidR="00145D9D">
      <w:instrText>PAGE   \* MERGEFORMAT</w:instrText>
    </w:r>
    <w:r>
      <w:fldChar w:fldCharType="separate"/>
    </w:r>
    <w:r w:rsidR="00AF47C5" w:rsidRPr="00AF47C5">
      <w:rPr>
        <w:noProof/>
        <w:lang w:val="zh-CN"/>
      </w:rPr>
      <w:t>2</w:t>
    </w:r>
    <w: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592" w:rsidRPr="00BF2D77" w:rsidRDefault="00A0242A" w:rsidP="00BF2D77">
    <w:pPr>
      <w:pStyle w:val="affff2"/>
    </w:pPr>
    <w:r>
      <w:fldChar w:fldCharType="begin"/>
    </w:r>
    <w:r w:rsidR="00BF2D77">
      <w:instrText xml:space="preserve"> PAGE   \* MERGEFORMAT \* MERGEFORMAT </w:instrText>
    </w:r>
    <w:r>
      <w:fldChar w:fldCharType="separate"/>
    </w:r>
    <w:r w:rsidR="00BF2D77">
      <w:rPr>
        <w:noProof/>
      </w:rPr>
      <w:t>4</w:t>
    </w:r>
    <w: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592" w:rsidRDefault="00A0242A" w:rsidP="00BF2D77">
    <w:pPr>
      <w:pStyle w:val="affff3"/>
    </w:pPr>
    <w:r>
      <w:fldChar w:fldCharType="begin"/>
    </w:r>
    <w:r w:rsidR="003D1592">
      <w:instrText>PAGE   \* MERGEFORMAT</w:instrText>
    </w:r>
    <w:r>
      <w:fldChar w:fldCharType="separate"/>
    </w:r>
    <w:r w:rsidR="0014135C" w:rsidRPr="0014135C">
      <w:rPr>
        <w:noProof/>
        <w:lang w:val="zh-CN"/>
      </w:rPr>
      <w:t>21</w:t>
    </w:r>
    <w: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592" w:rsidRPr="00BF2D77" w:rsidRDefault="00A0242A" w:rsidP="00BF2D77">
    <w:pPr>
      <w:pStyle w:val="affff2"/>
    </w:pPr>
    <w:r>
      <w:fldChar w:fldCharType="begin"/>
    </w:r>
    <w:r w:rsidR="00BF2D77">
      <w:instrText xml:space="preserve"> PAGE   \* MERGEFORMAT \* MERGEFORMAT </w:instrText>
    </w:r>
    <w:r>
      <w:fldChar w:fldCharType="separate"/>
    </w:r>
    <w:r w:rsidR="00BF2D77">
      <w:rPr>
        <w:noProof/>
      </w:rPr>
      <w:t>4</w:t>
    </w:r>
    <w: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592" w:rsidRDefault="00A0242A" w:rsidP="00BF2D77">
    <w:pPr>
      <w:pStyle w:val="affff3"/>
    </w:pPr>
    <w:r>
      <w:fldChar w:fldCharType="begin"/>
    </w:r>
    <w:r w:rsidR="003D1592">
      <w:instrText>PAGE   \* MERGEFORMAT</w:instrText>
    </w:r>
    <w:r>
      <w:fldChar w:fldCharType="separate"/>
    </w:r>
    <w:r w:rsidR="0014135C" w:rsidRPr="0014135C">
      <w:rPr>
        <w:noProof/>
        <w:lang w:val="zh-CN"/>
      </w:rPr>
      <w:t>24</w:t>
    </w:r>
    <w: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592" w:rsidRPr="00BF2D77" w:rsidRDefault="00A0242A" w:rsidP="00BF2D77">
    <w:pPr>
      <w:pStyle w:val="affff2"/>
    </w:pPr>
    <w:r>
      <w:fldChar w:fldCharType="begin"/>
    </w:r>
    <w:r w:rsidR="00BF2D77">
      <w:instrText xml:space="preserve"> PAGE   \* MERGEFORMAT \* MERGEFORMAT </w:instrText>
    </w:r>
    <w:r>
      <w:fldChar w:fldCharType="separate"/>
    </w:r>
    <w:r w:rsidR="00BF2D77">
      <w:rPr>
        <w:noProof/>
      </w:rPr>
      <w:t>4</w:t>
    </w:r>
    <w: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592" w:rsidRDefault="00A0242A" w:rsidP="00BF2D77">
    <w:pPr>
      <w:pStyle w:val="affff3"/>
    </w:pPr>
    <w:r>
      <w:fldChar w:fldCharType="begin"/>
    </w:r>
    <w:r w:rsidR="003D1592">
      <w:instrText>PAGE   \* MERGEFORMAT</w:instrText>
    </w:r>
    <w:r>
      <w:fldChar w:fldCharType="separate"/>
    </w:r>
    <w:r w:rsidR="0014135C" w:rsidRPr="0014135C">
      <w:rPr>
        <w:noProof/>
        <w:lang w:val="zh-CN"/>
      </w:rPr>
      <w:t>27</w:t>
    </w:r>
    <w: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592" w:rsidRPr="00BF2D77" w:rsidRDefault="00A0242A" w:rsidP="00BF2D77">
    <w:pPr>
      <w:pStyle w:val="affff2"/>
    </w:pPr>
    <w:r>
      <w:fldChar w:fldCharType="begin"/>
    </w:r>
    <w:r w:rsidR="00BF2D77">
      <w:instrText xml:space="preserve"> PAGE   \* MERGEFORMAT \* MERGEFORMAT </w:instrText>
    </w:r>
    <w:r>
      <w:fldChar w:fldCharType="separate"/>
    </w:r>
    <w:r w:rsidR="00BF2D77">
      <w:rPr>
        <w:noProof/>
      </w:rPr>
      <w:t>4</w:t>
    </w:r>
    <w: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592" w:rsidRDefault="00A0242A" w:rsidP="00BF2D77">
    <w:pPr>
      <w:pStyle w:val="affff3"/>
    </w:pPr>
    <w:r>
      <w:fldChar w:fldCharType="begin"/>
    </w:r>
    <w:r w:rsidR="003D1592">
      <w:instrText>PAGE   \* MERGEFORMAT</w:instrText>
    </w:r>
    <w:r>
      <w:fldChar w:fldCharType="separate"/>
    </w:r>
    <w:r w:rsidR="0014135C" w:rsidRPr="0014135C">
      <w:rPr>
        <w:noProof/>
        <w:lang w:val="zh-CN"/>
      </w:rPr>
      <w:t>29</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9E8" w:rsidRDefault="00A779E8">
    <w:pPr>
      <w:pStyle w:val="aff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A03" w:rsidRPr="00324EDD" w:rsidRDefault="00E77A03" w:rsidP="00CD50A1">
    <w:pPr>
      <w:pStyle w:val="afffa"/>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D77" w:rsidRPr="00BF2D77" w:rsidRDefault="00A0242A" w:rsidP="00BF2D77">
    <w:pPr>
      <w:pStyle w:val="affff2"/>
    </w:pPr>
    <w:r>
      <w:fldChar w:fldCharType="begin"/>
    </w:r>
    <w:r w:rsidR="00BF2D77">
      <w:instrText xml:space="preserve"> PAGE   \* MERGEFORMAT \* MERGEFORMAT </w:instrText>
    </w:r>
    <w:r>
      <w:fldChar w:fldCharType="separate"/>
    </w:r>
    <w:r w:rsidR="00BF2D77">
      <w:rPr>
        <w:noProof/>
      </w:rPr>
      <w:t>III</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D77" w:rsidRDefault="00A0242A" w:rsidP="00BF2D77">
    <w:pPr>
      <w:pStyle w:val="affff3"/>
    </w:pPr>
    <w:r>
      <w:fldChar w:fldCharType="begin"/>
    </w:r>
    <w:r w:rsidR="00BF2D77">
      <w:instrText>PAGE   \* MERGEFORMAT</w:instrText>
    </w:r>
    <w:r>
      <w:fldChar w:fldCharType="separate"/>
    </w:r>
    <w:r w:rsidR="0014135C" w:rsidRPr="0014135C">
      <w:rPr>
        <w:noProof/>
        <w:lang w:val="zh-CN"/>
      </w:rPr>
      <w:t>III</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592" w:rsidRPr="00BF2D77" w:rsidRDefault="00A0242A" w:rsidP="00BF2D77">
    <w:pPr>
      <w:pStyle w:val="affff2"/>
    </w:pPr>
    <w:r>
      <w:fldChar w:fldCharType="begin"/>
    </w:r>
    <w:r w:rsidR="00BF2D77">
      <w:instrText xml:space="preserve"> PAGE   \* MERGEFORMAT \* MERGEFORMAT </w:instrText>
    </w:r>
    <w:r>
      <w:fldChar w:fldCharType="separate"/>
    </w:r>
    <w:r w:rsidR="00BF2D77">
      <w:rPr>
        <w:noProof/>
      </w:rPr>
      <w:t>IV</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592" w:rsidRDefault="00A0242A" w:rsidP="00BF2D77">
    <w:pPr>
      <w:pStyle w:val="affff3"/>
    </w:pPr>
    <w:r>
      <w:fldChar w:fldCharType="begin"/>
    </w:r>
    <w:r w:rsidR="003D1592">
      <w:instrText>PAGE   \* MERGEFORMAT</w:instrText>
    </w:r>
    <w:r>
      <w:fldChar w:fldCharType="separate"/>
    </w:r>
    <w:r w:rsidR="0014135C" w:rsidRPr="0014135C">
      <w:rPr>
        <w:noProof/>
        <w:lang w:val="zh-CN"/>
      </w:rPr>
      <w:t>IV</w:t>
    </w:r>
    <w: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592" w:rsidRPr="00BF2D77" w:rsidRDefault="00A0242A" w:rsidP="00BF2D77">
    <w:pPr>
      <w:pStyle w:val="affff2"/>
    </w:pPr>
    <w:r>
      <w:fldChar w:fldCharType="begin"/>
    </w:r>
    <w:r w:rsidR="00BF2D77">
      <w:instrText xml:space="preserve"> PAGE   \* MERGEFORMAT \* MERGEFORMAT </w:instrText>
    </w:r>
    <w:r>
      <w:fldChar w:fldCharType="separate"/>
    </w:r>
    <w:r w:rsidR="00BF2D77">
      <w:rPr>
        <w:noProof/>
      </w:rPr>
      <w:t>4</w:t>
    </w:r>
    <w: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592" w:rsidRDefault="00A0242A" w:rsidP="00BF2D77">
    <w:pPr>
      <w:pStyle w:val="affff3"/>
    </w:pPr>
    <w:r>
      <w:fldChar w:fldCharType="begin"/>
    </w:r>
    <w:r w:rsidR="003D1592">
      <w:instrText>PAGE   \* MERGEFORMAT</w:instrText>
    </w:r>
    <w:r>
      <w:fldChar w:fldCharType="separate"/>
    </w:r>
    <w:r w:rsidR="0014135C" w:rsidRPr="0014135C">
      <w:rPr>
        <w:noProof/>
        <w:lang w:val="zh-CN"/>
      </w:rPr>
      <w:t>19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8DB" w:rsidRDefault="00F668DB" w:rsidP="00D86DB7">
      <w:r>
        <w:separator/>
      </w:r>
    </w:p>
  </w:footnote>
  <w:footnote w:type="continuationSeparator" w:id="0">
    <w:p w:rsidR="00F668DB" w:rsidRDefault="00F668DB" w:rsidP="00D86DB7">
      <w:r>
        <w:continuationSeparator/>
      </w:r>
    </w:p>
    <w:p w:rsidR="00F668DB" w:rsidRDefault="00F668DB"/>
    <w:p w:rsidR="00F668DB" w:rsidRDefault="00F668D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9E8" w:rsidRDefault="00A779E8">
    <w:pPr>
      <w:pStyle w:val="afff9"/>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592" w:rsidRPr="00BF2D77" w:rsidRDefault="00A0242A" w:rsidP="00BF2D77">
    <w:pPr>
      <w:pStyle w:val="affffc"/>
    </w:pPr>
    <w:fldSimple w:instr=" STYLEREF  标准文件_文件编号 \* MERGEFORMAT ">
      <w:r w:rsidR="0014135C">
        <w:t>GB/T 18280.3</w:t>
      </w:r>
      <w:r w:rsidR="0014135C">
        <w:t>—</w:t>
      </w:r>
      <w:r w:rsidR="0014135C">
        <w:t>XXXX</w:t>
      </w:r>
    </w:fldSimple>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592" w:rsidRPr="00D84FA1" w:rsidRDefault="00A0242A" w:rsidP="00BF2D77">
    <w:pPr>
      <w:pStyle w:val="affffb"/>
    </w:pPr>
    <w:fldSimple w:instr=" STYLEREF  标准文件_文件编号  \* MERGEFORMAT ">
      <w:r w:rsidR="0014135C">
        <w:t>GB/T 18280.3</w:t>
      </w:r>
      <w:r w:rsidR="0014135C">
        <w:t>—</w:t>
      </w:r>
      <w:r w:rsidR="0014135C">
        <w:t>XXXX</w:t>
      </w:r>
    </w:fldSimple>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592" w:rsidRPr="00BF2D77" w:rsidRDefault="00A0242A" w:rsidP="00BF2D77">
    <w:pPr>
      <w:pStyle w:val="affffc"/>
    </w:pPr>
    <w:fldSimple w:instr=" STYLEREF  标准文件_文件编号 \* MERGEFORMAT ">
      <w:r w:rsidR="0014135C">
        <w:t>GB/T 18280.3</w:t>
      </w:r>
      <w:r w:rsidR="0014135C">
        <w:t>—</w:t>
      </w:r>
      <w:r w:rsidR="0014135C">
        <w:t>XXXX</w:t>
      </w:r>
    </w:fldSimple>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592" w:rsidRPr="00D84FA1" w:rsidRDefault="00A0242A" w:rsidP="00BF2D77">
    <w:pPr>
      <w:pStyle w:val="affffb"/>
    </w:pPr>
    <w:fldSimple w:instr=" STYLEREF  标准文件_文件编号  \* MERGEFORMAT ">
      <w:r w:rsidR="0014135C">
        <w:t>GB/T 18280.3</w:t>
      </w:r>
      <w:r w:rsidR="0014135C">
        <w:t>—</w:t>
      </w:r>
      <w:r w:rsidR="0014135C">
        <w:t>XXXX</w:t>
      </w:r>
    </w:fldSimple>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592" w:rsidRPr="00BF2D77" w:rsidRDefault="00A0242A" w:rsidP="00BF2D77">
    <w:pPr>
      <w:pStyle w:val="affffc"/>
    </w:pPr>
    <w:fldSimple w:instr=" STYLEREF  标准文件_文件编号 \* MERGEFORMAT ">
      <w:r w:rsidR="0014135C">
        <w:t>GB/T 18280.3</w:t>
      </w:r>
      <w:r w:rsidR="0014135C">
        <w:t>—</w:t>
      </w:r>
      <w:r w:rsidR="0014135C">
        <w:t>XXXX</w:t>
      </w:r>
    </w:fldSimple>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592" w:rsidRPr="00D84FA1" w:rsidRDefault="00A0242A" w:rsidP="00BF2D77">
    <w:pPr>
      <w:pStyle w:val="affffb"/>
    </w:pPr>
    <w:fldSimple w:instr=" STYLEREF  标准文件_文件编号  \* MERGEFORMAT ">
      <w:r w:rsidR="0014135C">
        <w:t>GB/T 18280.3</w:t>
      </w:r>
      <w:r w:rsidR="0014135C">
        <w:t>—</w:t>
      </w:r>
      <w:r w:rsidR="0014135C">
        <w:t>XXXX</w:t>
      </w:r>
    </w:fldSimple>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592" w:rsidRPr="00BF2D77" w:rsidRDefault="00A0242A" w:rsidP="00BF2D77">
    <w:pPr>
      <w:pStyle w:val="affffc"/>
    </w:pPr>
    <w:fldSimple w:instr=" STYLEREF  标准文件_文件编号 \* MERGEFORMAT ">
      <w:r w:rsidR="0014135C">
        <w:t>GB/T 18280.3</w:t>
      </w:r>
      <w:r w:rsidR="0014135C">
        <w:t>—</w:t>
      </w:r>
      <w:r w:rsidR="0014135C">
        <w:t>XXXX</w:t>
      </w:r>
    </w:fldSimple>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592" w:rsidRPr="00D84FA1" w:rsidRDefault="00A0242A" w:rsidP="00BF2D77">
    <w:pPr>
      <w:pStyle w:val="affffb"/>
    </w:pPr>
    <w:fldSimple w:instr=" STYLEREF  标准文件_文件编号  \* MERGEFORMAT ">
      <w:r w:rsidR="0014135C">
        <w:t>GB/T 18280.3</w:t>
      </w:r>
      <w:r w:rsidR="0014135C">
        <w:t>—</w:t>
      </w:r>
      <w:r w:rsidR="0014135C">
        <w:t>XXXX</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Pr="00324EDD" w:rsidRDefault="00145D9D" w:rsidP="00E846C8">
    <w:pPr>
      <w:pStyle w:val="afff9"/>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D77" w:rsidRPr="00BF2D77" w:rsidRDefault="00A0242A" w:rsidP="00BF2D77">
    <w:pPr>
      <w:pStyle w:val="affffc"/>
    </w:pPr>
    <w:fldSimple w:instr=" STYLEREF  标准文件_文件编号 \* MERGEFORMAT ">
      <w:r w:rsidR="0014135C">
        <w:t>GB/T 18280.3</w:t>
      </w:r>
      <w:r w:rsidR="0014135C">
        <w:t>—</w:t>
      </w:r>
      <w:r w:rsidR="0014135C">
        <w:t>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D77" w:rsidRPr="00D84FA1" w:rsidRDefault="00A0242A" w:rsidP="00BF2D77">
    <w:pPr>
      <w:pStyle w:val="affffb"/>
    </w:pPr>
    <w:fldSimple w:instr=" STYLEREF  标准文件_文件编号  \* MERGEFORMAT ">
      <w:r w:rsidR="0014135C">
        <w:t>GB/T 18280.3</w:t>
      </w:r>
      <w:r w:rsidR="0014135C">
        <w:t>—</w:t>
      </w:r>
      <w:r w:rsidR="0014135C">
        <w:t>XXXX</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592" w:rsidRPr="00BF2D77" w:rsidRDefault="00A0242A" w:rsidP="00BF2D77">
    <w:pPr>
      <w:pStyle w:val="affffc"/>
    </w:pPr>
    <w:fldSimple w:instr=" STYLEREF  标准文件_文件编号 \* MERGEFORMAT ">
      <w:r w:rsidR="0014135C">
        <w:t>GB/T 18280.3</w:t>
      </w:r>
      <w:r w:rsidR="0014135C">
        <w:t>—</w:t>
      </w:r>
      <w:r w:rsidR="0014135C">
        <w:t>XXXX</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592" w:rsidRPr="00D84FA1" w:rsidRDefault="00A0242A" w:rsidP="00BF2D77">
    <w:pPr>
      <w:pStyle w:val="affffb"/>
    </w:pPr>
    <w:fldSimple w:instr=" STYLEREF  标准文件_文件编号  \* MERGEFORMAT ">
      <w:r w:rsidR="0014135C">
        <w:t>GB/T 18280.3</w:t>
      </w:r>
      <w:r w:rsidR="0014135C">
        <w:t>—</w:t>
      </w:r>
      <w:r w:rsidR="0014135C">
        <w:t>XXXX</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592" w:rsidRPr="00BF2D77" w:rsidRDefault="00A0242A" w:rsidP="00BF2D77">
    <w:pPr>
      <w:pStyle w:val="affffc"/>
    </w:pPr>
    <w:fldSimple w:instr=" STYLEREF  标准文件_文件编号 \* MERGEFORMAT ">
      <w:r w:rsidR="0014135C">
        <w:t>GB/T 18280.3</w:t>
      </w:r>
      <w:r w:rsidR="0014135C">
        <w:t>—</w:t>
      </w:r>
      <w:r w:rsidR="0014135C">
        <w:t>XXXX</w:t>
      </w:r>
    </w:fldSimple>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592" w:rsidRPr="00D84FA1" w:rsidRDefault="00A0242A" w:rsidP="00BF2D77">
    <w:pPr>
      <w:pStyle w:val="affffb"/>
    </w:pPr>
    <w:fldSimple w:instr=" STYLEREF  标准文件_文件编号  \* MERGEFORMAT ">
      <w:r w:rsidR="0014135C">
        <w:t>GB/T 18280.3</w:t>
      </w:r>
      <w:r w:rsidR="0014135C">
        <w:t>—</w:t>
      </w:r>
      <w:r w:rsidR="0014135C">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7"/>
  </w:num>
  <w:num w:numId="3">
    <w:abstractNumId w:val="5"/>
  </w:num>
  <w:num w:numId="4">
    <w:abstractNumId w:val="8"/>
  </w:num>
  <w:num w:numId="5">
    <w:abstractNumId w:val="23"/>
  </w:num>
  <w:num w:numId="6">
    <w:abstractNumId w:val="9"/>
  </w:num>
  <w:num w:numId="7">
    <w:abstractNumId w:val="16"/>
  </w:num>
  <w:num w:numId="8">
    <w:abstractNumId w:val="7"/>
  </w:num>
  <w:num w:numId="9">
    <w:abstractNumId w:val="19"/>
  </w:num>
  <w:num w:numId="10">
    <w:abstractNumId w:val="21"/>
  </w:num>
  <w:num w:numId="11">
    <w:abstractNumId w:val="17"/>
  </w:num>
  <w:num w:numId="12">
    <w:abstractNumId w:val="29"/>
  </w:num>
  <w:num w:numId="13">
    <w:abstractNumId w:val="15"/>
  </w:num>
  <w:num w:numId="14">
    <w:abstractNumId w:val="30"/>
  </w:num>
  <w:num w:numId="15">
    <w:abstractNumId w:val="1"/>
  </w:num>
  <w:num w:numId="16">
    <w:abstractNumId w:val="20"/>
  </w:num>
  <w:num w:numId="17">
    <w:abstractNumId w:val="6"/>
  </w:num>
  <w:num w:numId="18">
    <w:abstractNumId w:val="13"/>
  </w:num>
  <w:num w:numId="19">
    <w:abstractNumId w:val="25"/>
  </w:num>
  <w:num w:numId="20">
    <w:abstractNumId w:val="26"/>
  </w:num>
  <w:num w:numId="21">
    <w:abstractNumId w:val="11"/>
  </w:num>
  <w:num w:numId="22">
    <w:abstractNumId w:val="12"/>
  </w:num>
  <w:num w:numId="23">
    <w:abstractNumId w:val="28"/>
  </w:num>
  <w:num w:numId="24">
    <w:abstractNumId w:val="2"/>
  </w:num>
  <w:num w:numId="25">
    <w:abstractNumId w:val="4"/>
  </w:num>
  <w:num w:numId="26">
    <w:abstractNumId w:val="14"/>
  </w:num>
  <w:num w:numId="27">
    <w:abstractNumId w:val="24"/>
  </w:num>
  <w:num w:numId="28">
    <w:abstractNumId w:val="10"/>
  </w:num>
  <w:num w:numId="29">
    <w:abstractNumId w:val="22"/>
  </w:num>
  <w:num w:numId="30">
    <w:abstractNumId w:val="18"/>
  </w:num>
  <w:num w:numId="31">
    <w:abstractNumId w:val="3"/>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attachedTemplate r:id="rId1"/>
  <w:stylePaneSortMethod w:val="0000"/>
  <w:documentProtection w:edit="forms" w:enforcement="1" w:cryptProviderType="rsaAES" w:cryptAlgorithmClass="hash" w:cryptAlgorithmType="typeAny" w:cryptAlgorithmSid="14" w:cryptSpinCount="100000" w:hash="rUIIpqmY9OQl7fhXUDw1l47zH/BiOnF3AhZAHI0zaTmftJcuNnOclzmzqnCkRU59ciqo3AKXlj0c&#10;nJWtx2EjDw==" w:salt="GhPWQKFL5S725EhJHYRAxA=="/>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4C9E"/>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2956"/>
    <w:rsid w:val="000539DD"/>
    <w:rsid w:val="00053BD3"/>
    <w:rsid w:val="000556ED"/>
    <w:rsid w:val="00055CAA"/>
    <w:rsid w:val="00055FE2"/>
    <w:rsid w:val="0005616F"/>
    <w:rsid w:val="00060C2E"/>
    <w:rsid w:val="00061033"/>
    <w:rsid w:val="000619E9"/>
    <w:rsid w:val="000622D4"/>
    <w:rsid w:val="0006357D"/>
    <w:rsid w:val="00067F1E"/>
    <w:rsid w:val="0007022D"/>
    <w:rsid w:val="00071CC0"/>
    <w:rsid w:val="0007307A"/>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2E41"/>
    <w:rsid w:val="000F4AEA"/>
    <w:rsid w:val="000F6501"/>
    <w:rsid w:val="000F67E9"/>
    <w:rsid w:val="001016A7"/>
    <w:rsid w:val="00104926"/>
    <w:rsid w:val="00113B1E"/>
    <w:rsid w:val="0011711C"/>
    <w:rsid w:val="001246F6"/>
    <w:rsid w:val="00124E4F"/>
    <w:rsid w:val="001260B7"/>
    <w:rsid w:val="001265CB"/>
    <w:rsid w:val="001321C6"/>
    <w:rsid w:val="001325C4"/>
    <w:rsid w:val="00133010"/>
    <w:rsid w:val="001337A1"/>
    <w:rsid w:val="001338EE"/>
    <w:rsid w:val="00133AAE"/>
    <w:rsid w:val="00135323"/>
    <w:rsid w:val="001356C4"/>
    <w:rsid w:val="00137539"/>
    <w:rsid w:val="00141114"/>
    <w:rsid w:val="0014135C"/>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F79"/>
    <w:rsid w:val="00190087"/>
    <w:rsid w:val="001913C4"/>
    <w:rsid w:val="0019348F"/>
    <w:rsid w:val="00193A07"/>
    <w:rsid w:val="00194C95"/>
    <w:rsid w:val="00195C34"/>
    <w:rsid w:val="001A1A53"/>
    <w:rsid w:val="001A234A"/>
    <w:rsid w:val="001B06E8"/>
    <w:rsid w:val="001B71D0"/>
    <w:rsid w:val="001B71EE"/>
    <w:rsid w:val="001C04A8"/>
    <w:rsid w:val="001C10B3"/>
    <w:rsid w:val="001C2C03"/>
    <w:rsid w:val="001C422B"/>
    <w:rsid w:val="001C42F7"/>
    <w:rsid w:val="001C49E5"/>
    <w:rsid w:val="001C680C"/>
    <w:rsid w:val="001C6ED0"/>
    <w:rsid w:val="001C7FEA"/>
    <w:rsid w:val="001D0499"/>
    <w:rsid w:val="001D0BBE"/>
    <w:rsid w:val="001D0ED4"/>
    <w:rsid w:val="001D1C53"/>
    <w:rsid w:val="001D212F"/>
    <w:rsid w:val="001D29D7"/>
    <w:rsid w:val="001D2DE7"/>
    <w:rsid w:val="001D411C"/>
    <w:rsid w:val="001E1B6A"/>
    <w:rsid w:val="001E2484"/>
    <w:rsid w:val="001E3BC8"/>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2109"/>
    <w:rsid w:val="002142EA"/>
    <w:rsid w:val="002204BB"/>
    <w:rsid w:val="00221B79"/>
    <w:rsid w:val="00221C6B"/>
    <w:rsid w:val="002253A1"/>
    <w:rsid w:val="00225CF8"/>
    <w:rsid w:val="0022794E"/>
    <w:rsid w:val="00233D64"/>
    <w:rsid w:val="0023482A"/>
    <w:rsid w:val="002359CB"/>
    <w:rsid w:val="002375D9"/>
    <w:rsid w:val="00243540"/>
    <w:rsid w:val="0024497B"/>
    <w:rsid w:val="0024515B"/>
    <w:rsid w:val="00246021"/>
    <w:rsid w:val="0024666E"/>
    <w:rsid w:val="00247F52"/>
    <w:rsid w:val="00250B25"/>
    <w:rsid w:val="00250BBE"/>
    <w:rsid w:val="0025194F"/>
    <w:rsid w:val="00251E7D"/>
    <w:rsid w:val="0026148A"/>
    <w:rsid w:val="00262696"/>
    <w:rsid w:val="00262B58"/>
    <w:rsid w:val="002643C3"/>
    <w:rsid w:val="00264A0C"/>
    <w:rsid w:val="00267EF4"/>
    <w:rsid w:val="00270CB8"/>
    <w:rsid w:val="00272B08"/>
    <w:rsid w:val="002770FD"/>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5D94"/>
    <w:rsid w:val="002A7F44"/>
    <w:rsid w:val="002B0C40"/>
    <w:rsid w:val="002B1966"/>
    <w:rsid w:val="002B2415"/>
    <w:rsid w:val="002B308B"/>
    <w:rsid w:val="002B310A"/>
    <w:rsid w:val="002B4508"/>
    <w:rsid w:val="002B5779"/>
    <w:rsid w:val="002B7332"/>
    <w:rsid w:val="002B785E"/>
    <w:rsid w:val="002B7F51"/>
    <w:rsid w:val="002C09E7"/>
    <w:rsid w:val="002C1B28"/>
    <w:rsid w:val="002C3F07"/>
    <w:rsid w:val="002C5278"/>
    <w:rsid w:val="002C7EBB"/>
    <w:rsid w:val="002D06C1"/>
    <w:rsid w:val="002D42B5"/>
    <w:rsid w:val="002D4F1A"/>
    <w:rsid w:val="002D6EC6"/>
    <w:rsid w:val="002D79AC"/>
    <w:rsid w:val="002E039D"/>
    <w:rsid w:val="002E49FE"/>
    <w:rsid w:val="002E4D5A"/>
    <w:rsid w:val="002E6326"/>
    <w:rsid w:val="002F30E0"/>
    <w:rsid w:val="002F35E4"/>
    <w:rsid w:val="002F3730"/>
    <w:rsid w:val="002F38E1"/>
    <w:rsid w:val="002F7AF6"/>
    <w:rsid w:val="00300E63"/>
    <w:rsid w:val="00302F5F"/>
    <w:rsid w:val="0030441D"/>
    <w:rsid w:val="00306063"/>
    <w:rsid w:val="00313B85"/>
    <w:rsid w:val="00314BDF"/>
    <w:rsid w:val="00316DD7"/>
    <w:rsid w:val="00317988"/>
    <w:rsid w:val="003221B4"/>
    <w:rsid w:val="00322E62"/>
    <w:rsid w:val="0032439C"/>
    <w:rsid w:val="00324EDD"/>
    <w:rsid w:val="00336C64"/>
    <w:rsid w:val="00337162"/>
    <w:rsid w:val="0034194F"/>
    <w:rsid w:val="00344605"/>
    <w:rsid w:val="003474AA"/>
    <w:rsid w:val="00350D1D"/>
    <w:rsid w:val="00352C83"/>
    <w:rsid w:val="003565AF"/>
    <w:rsid w:val="003615D2"/>
    <w:rsid w:val="0036429C"/>
    <w:rsid w:val="00364A53"/>
    <w:rsid w:val="003654CB"/>
    <w:rsid w:val="00365F86"/>
    <w:rsid w:val="00365F87"/>
    <w:rsid w:val="003705F4"/>
    <w:rsid w:val="00370D58"/>
    <w:rsid w:val="00371316"/>
    <w:rsid w:val="003738FF"/>
    <w:rsid w:val="00376713"/>
    <w:rsid w:val="00381815"/>
    <w:rsid w:val="003819AF"/>
    <w:rsid w:val="003820E9"/>
    <w:rsid w:val="00382DE7"/>
    <w:rsid w:val="00384FFC"/>
    <w:rsid w:val="003872FC"/>
    <w:rsid w:val="00387ADC"/>
    <w:rsid w:val="00387F13"/>
    <w:rsid w:val="00390020"/>
    <w:rsid w:val="003903D6"/>
    <w:rsid w:val="003906E5"/>
    <w:rsid w:val="00390EE6"/>
    <w:rsid w:val="0039118F"/>
    <w:rsid w:val="00392AD7"/>
    <w:rsid w:val="00392C1E"/>
    <w:rsid w:val="003938D9"/>
    <w:rsid w:val="00394376"/>
    <w:rsid w:val="003943FF"/>
    <w:rsid w:val="003974EB"/>
    <w:rsid w:val="00397CC5"/>
    <w:rsid w:val="003A1582"/>
    <w:rsid w:val="003A2824"/>
    <w:rsid w:val="003A4077"/>
    <w:rsid w:val="003B09AD"/>
    <w:rsid w:val="003B1F18"/>
    <w:rsid w:val="003B5BF0"/>
    <w:rsid w:val="003B60BF"/>
    <w:rsid w:val="003B6BE3"/>
    <w:rsid w:val="003C010C"/>
    <w:rsid w:val="003C0A6C"/>
    <w:rsid w:val="003C1C87"/>
    <w:rsid w:val="003C5A43"/>
    <w:rsid w:val="003D0519"/>
    <w:rsid w:val="003D0FF6"/>
    <w:rsid w:val="003D1592"/>
    <w:rsid w:val="003D160F"/>
    <w:rsid w:val="003D262C"/>
    <w:rsid w:val="003D627A"/>
    <w:rsid w:val="003D6D61"/>
    <w:rsid w:val="003E091D"/>
    <w:rsid w:val="003E1C53"/>
    <w:rsid w:val="003E2A69"/>
    <w:rsid w:val="003E2D49"/>
    <w:rsid w:val="003E2FD4"/>
    <w:rsid w:val="003E49F6"/>
    <w:rsid w:val="003F0841"/>
    <w:rsid w:val="003F23D3"/>
    <w:rsid w:val="003F3F08"/>
    <w:rsid w:val="003F49F1"/>
    <w:rsid w:val="003F559F"/>
    <w:rsid w:val="003F6272"/>
    <w:rsid w:val="00400E72"/>
    <w:rsid w:val="00401400"/>
    <w:rsid w:val="00404869"/>
    <w:rsid w:val="00405884"/>
    <w:rsid w:val="00407D39"/>
    <w:rsid w:val="0041477A"/>
    <w:rsid w:val="004167A3"/>
    <w:rsid w:val="00417CDE"/>
    <w:rsid w:val="00432DAA"/>
    <w:rsid w:val="00434305"/>
    <w:rsid w:val="004347D3"/>
    <w:rsid w:val="00435DF7"/>
    <w:rsid w:val="0044083F"/>
    <w:rsid w:val="00441280"/>
    <w:rsid w:val="00441AE7"/>
    <w:rsid w:val="00445574"/>
    <w:rsid w:val="004467FB"/>
    <w:rsid w:val="00452D6B"/>
    <w:rsid w:val="00454484"/>
    <w:rsid w:val="0045517B"/>
    <w:rsid w:val="00463B77"/>
    <w:rsid w:val="00463C7B"/>
    <w:rsid w:val="004644A6"/>
    <w:rsid w:val="004659BD"/>
    <w:rsid w:val="00470775"/>
    <w:rsid w:val="00470E4E"/>
    <w:rsid w:val="004746B1"/>
    <w:rsid w:val="0047583F"/>
    <w:rsid w:val="00484936"/>
    <w:rsid w:val="00485C89"/>
    <w:rsid w:val="00486BE3"/>
    <w:rsid w:val="004905E4"/>
    <w:rsid w:val="00490A89"/>
    <w:rsid w:val="00490AB4"/>
    <w:rsid w:val="00492F02"/>
    <w:rsid w:val="004939AE"/>
    <w:rsid w:val="004A12DF"/>
    <w:rsid w:val="004A1BA8"/>
    <w:rsid w:val="004A4B57"/>
    <w:rsid w:val="004A63FA"/>
    <w:rsid w:val="004B14E4"/>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341B"/>
    <w:rsid w:val="004E35F9"/>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461"/>
    <w:rsid w:val="00523F95"/>
    <w:rsid w:val="00524D65"/>
    <w:rsid w:val="00525B16"/>
    <w:rsid w:val="00530DC7"/>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76D2B"/>
    <w:rsid w:val="005801E3"/>
    <w:rsid w:val="00581802"/>
    <w:rsid w:val="005836A8"/>
    <w:rsid w:val="00584262"/>
    <w:rsid w:val="00586630"/>
    <w:rsid w:val="00587ADD"/>
    <w:rsid w:val="00593083"/>
    <w:rsid w:val="00596160"/>
    <w:rsid w:val="005966E2"/>
    <w:rsid w:val="00597007"/>
    <w:rsid w:val="005A0966"/>
    <w:rsid w:val="005A11B7"/>
    <w:rsid w:val="005A260B"/>
    <w:rsid w:val="005A4A1B"/>
    <w:rsid w:val="005A4D1A"/>
    <w:rsid w:val="005A7830"/>
    <w:rsid w:val="005A7FCE"/>
    <w:rsid w:val="005B0F3F"/>
    <w:rsid w:val="005B297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01DC"/>
    <w:rsid w:val="005E2335"/>
    <w:rsid w:val="005E34CA"/>
    <w:rsid w:val="005E3C18"/>
    <w:rsid w:val="005E3C95"/>
    <w:rsid w:val="005E7881"/>
    <w:rsid w:val="005E78E0"/>
    <w:rsid w:val="005F0D9C"/>
    <w:rsid w:val="005F284E"/>
    <w:rsid w:val="006002B2"/>
    <w:rsid w:val="006015CE"/>
    <w:rsid w:val="00604784"/>
    <w:rsid w:val="00606419"/>
    <w:rsid w:val="00607D29"/>
    <w:rsid w:val="00612952"/>
    <w:rsid w:val="00612D76"/>
    <w:rsid w:val="00614CC1"/>
    <w:rsid w:val="00615A9D"/>
    <w:rsid w:val="006162BE"/>
    <w:rsid w:val="00616BBB"/>
    <w:rsid w:val="00617387"/>
    <w:rsid w:val="006252D8"/>
    <w:rsid w:val="006259BC"/>
    <w:rsid w:val="0062636B"/>
    <w:rsid w:val="00626922"/>
    <w:rsid w:val="00632182"/>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4DCB"/>
    <w:rsid w:val="006770F4"/>
    <w:rsid w:val="00677A84"/>
    <w:rsid w:val="0068026D"/>
    <w:rsid w:val="00680A27"/>
    <w:rsid w:val="006816A4"/>
    <w:rsid w:val="006819B8"/>
    <w:rsid w:val="006840A6"/>
    <w:rsid w:val="006850CD"/>
    <w:rsid w:val="00685659"/>
    <w:rsid w:val="00685AAB"/>
    <w:rsid w:val="0068797F"/>
    <w:rsid w:val="00693685"/>
    <w:rsid w:val="006A07AA"/>
    <w:rsid w:val="006A25E5"/>
    <w:rsid w:val="006A2B46"/>
    <w:rsid w:val="006A336D"/>
    <w:rsid w:val="006A37B9"/>
    <w:rsid w:val="006A4B92"/>
    <w:rsid w:val="006B2672"/>
    <w:rsid w:val="006B54BF"/>
    <w:rsid w:val="006B5F44"/>
    <w:rsid w:val="006B5F90"/>
    <w:rsid w:val="006B62E4"/>
    <w:rsid w:val="006B67CC"/>
    <w:rsid w:val="006C1BBA"/>
    <w:rsid w:val="006C2079"/>
    <w:rsid w:val="006C5A62"/>
    <w:rsid w:val="006C5D68"/>
    <w:rsid w:val="006C65C0"/>
    <w:rsid w:val="006C6976"/>
    <w:rsid w:val="006C6DD0"/>
    <w:rsid w:val="006D04EA"/>
    <w:rsid w:val="006D16C4"/>
    <w:rsid w:val="006D3E96"/>
    <w:rsid w:val="006D4515"/>
    <w:rsid w:val="006D4BB1"/>
    <w:rsid w:val="006D6593"/>
    <w:rsid w:val="006E5DEE"/>
    <w:rsid w:val="006F03A8"/>
    <w:rsid w:val="006F0ED7"/>
    <w:rsid w:val="006F2ACA"/>
    <w:rsid w:val="006F2ADC"/>
    <w:rsid w:val="006F2BFE"/>
    <w:rsid w:val="006F31E9"/>
    <w:rsid w:val="006F4D66"/>
    <w:rsid w:val="006F6284"/>
    <w:rsid w:val="007002C5"/>
    <w:rsid w:val="00704387"/>
    <w:rsid w:val="0070741D"/>
    <w:rsid w:val="00707669"/>
    <w:rsid w:val="00711CBA"/>
    <w:rsid w:val="00711FB5"/>
    <w:rsid w:val="00712A01"/>
    <w:rsid w:val="00714F58"/>
    <w:rsid w:val="00722FBF"/>
    <w:rsid w:val="00722FC2"/>
    <w:rsid w:val="00725949"/>
    <w:rsid w:val="00727FA2"/>
    <w:rsid w:val="007322D9"/>
    <w:rsid w:val="00732BC0"/>
    <w:rsid w:val="0073480D"/>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EFB"/>
    <w:rsid w:val="007671CA"/>
    <w:rsid w:val="00767C61"/>
    <w:rsid w:val="0077008A"/>
    <w:rsid w:val="00773C1F"/>
    <w:rsid w:val="00773F0C"/>
    <w:rsid w:val="00774DA4"/>
    <w:rsid w:val="00775CED"/>
    <w:rsid w:val="00776599"/>
    <w:rsid w:val="00777B6D"/>
    <w:rsid w:val="0078114B"/>
    <w:rsid w:val="00781B87"/>
    <w:rsid w:val="00781DD2"/>
    <w:rsid w:val="00783ECF"/>
    <w:rsid w:val="0078413A"/>
    <w:rsid w:val="00790CA3"/>
    <w:rsid w:val="00790E01"/>
    <w:rsid w:val="007959E8"/>
    <w:rsid w:val="00795E9C"/>
    <w:rsid w:val="007A0521"/>
    <w:rsid w:val="007A061E"/>
    <w:rsid w:val="007A1158"/>
    <w:rsid w:val="007A2E12"/>
    <w:rsid w:val="007A3475"/>
    <w:rsid w:val="007A41C8"/>
    <w:rsid w:val="007A51C3"/>
    <w:rsid w:val="007A54CE"/>
    <w:rsid w:val="007A6118"/>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D790F"/>
    <w:rsid w:val="007E0BF1"/>
    <w:rsid w:val="007E3FCA"/>
    <w:rsid w:val="007F0ED8"/>
    <w:rsid w:val="007F0F63"/>
    <w:rsid w:val="007F226D"/>
    <w:rsid w:val="007F75CE"/>
    <w:rsid w:val="008013A4"/>
    <w:rsid w:val="0080225F"/>
    <w:rsid w:val="008027CE"/>
    <w:rsid w:val="00802F42"/>
    <w:rsid w:val="00804383"/>
    <w:rsid w:val="00804BB7"/>
    <w:rsid w:val="00810257"/>
    <w:rsid w:val="008104F5"/>
    <w:rsid w:val="00811072"/>
    <w:rsid w:val="00811369"/>
    <w:rsid w:val="00813C41"/>
    <w:rsid w:val="00814E50"/>
    <w:rsid w:val="00815419"/>
    <w:rsid w:val="008163C8"/>
    <w:rsid w:val="00817325"/>
    <w:rsid w:val="008209E6"/>
    <w:rsid w:val="00823303"/>
    <w:rsid w:val="008233B2"/>
    <w:rsid w:val="00823A9F"/>
    <w:rsid w:val="00823C85"/>
    <w:rsid w:val="00825138"/>
    <w:rsid w:val="00825305"/>
    <w:rsid w:val="00826480"/>
    <w:rsid w:val="008269DD"/>
    <w:rsid w:val="00830621"/>
    <w:rsid w:val="0083348C"/>
    <w:rsid w:val="008373D3"/>
    <w:rsid w:val="00837D85"/>
    <w:rsid w:val="00840617"/>
    <w:rsid w:val="00842A47"/>
    <w:rsid w:val="00843353"/>
    <w:rsid w:val="00843C13"/>
    <w:rsid w:val="008454F8"/>
    <w:rsid w:val="00851342"/>
    <w:rsid w:val="0085173A"/>
    <w:rsid w:val="008603CE"/>
    <w:rsid w:val="008620FC"/>
    <w:rsid w:val="008627A5"/>
    <w:rsid w:val="00863E05"/>
    <w:rsid w:val="00865ACA"/>
    <w:rsid w:val="00865D28"/>
    <w:rsid w:val="00865F85"/>
    <w:rsid w:val="00867C10"/>
    <w:rsid w:val="00870439"/>
    <w:rsid w:val="00870DA1"/>
    <w:rsid w:val="00877501"/>
    <w:rsid w:val="00881C34"/>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B7E5F"/>
    <w:rsid w:val="008C1797"/>
    <w:rsid w:val="008C219C"/>
    <w:rsid w:val="008C3158"/>
    <w:rsid w:val="008C475E"/>
    <w:rsid w:val="008C619A"/>
    <w:rsid w:val="008D01D8"/>
    <w:rsid w:val="008D0CE8"/>
    <w:rsid w:val="008D2259"/>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172"/>
    <w:rsid w:val="008F788F"/>
    <w:rsid w:val="008F7EA2"/>
    <w:rsid w:val="00902722"/>
    <w:rsid w:val="009027BC"/>
    <w:rsid w:val="009062E6"/>
    <w:rsid w:val="00911BE5"/>
    <w:rsid w:val="00913CA9"/>
    <w:rsid w:val="009145AE"/>
    <w:rsid w:val="009146CE"/>
    <w:rsid w:val="00914CA7"/>
    <w:rsid w:val="00915C3E"/>
    <w:rsid w:val="00915FF4"/>
    <w:rsid w:val="009161A8"/>
    <w:rsid w:val="0091673D"/>
    <w:rsid w:val="00917A23"/>
    <w:rsid w:val="00920358"/>
    <w:rsid w:val="009245F5"/>
    <w:rsid w:val="009249EC"/>
    <w:rsid w:val="009273B3"/>
    <w:rsid w:val="009305B5"/>
    <w:rsid w:val="00934C12"/>
    <w:rsid w:val="009427CD"/>
    <w:rsid w:val="009429D5"/>
    <w:rsid w:val="00942BF1"/>
    <w:rsid w:val="00945180"/>
    <w:rsid w:val="00945428"/>
    <w:rsid w:val="0094607B"/>
    <w:rsid w:val="00952C52"/>
    <w:rsid w:val="009530FD"/>
    <w:rsid w:val="00953604"/>
    <w:rsid w:val="009567B1"/>
    <w:rsid w:val="009610DC"/>
    <w:rsid w:val="00961490"/>
    <w:rsid w:val="0096381A"/>
    <w:rsid w:val="00965E04"/>
    <w:rsid w:val="009674AD"/>
    <w:rsid w:val="0097094E"/>
    <w:rsid w:val="00970CDC"/>
    <w:rsid w:val="00971E85"/>
    <w:rsid w:val="00973991"/>
    <w:rsid w:val="00977010"/>
    <w:rsid w:val="00977D02"/>
    <w:rsid w:val="009809BB"/>
    <w:rsid w:val="00982D22"/>
    <w:rsid w:val="0098364B"/>
    <w:rsid w:val="00983BF9"/>
    <w:rsid w:val="009911AF"/>
    <w:rsid w:val="009911E4"/>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63B7"/>
    <w:rsid w:val="009A72AD"/>
    <w:rsid w:val="009B09E0"/>
    <w:rsid w:val="009B0BC5"/>
    <w:rsid w:val="009B1247"/>
    <w:rsid w:val="009B6029"/>
    <w:rsid w:val="009B6971"/>
    <w:rsid w:val="009C27F1"/>
    <w:rsid w:val="009C3152"/>
    <w:rsid w:val="009C4CFA"/>
    <w:rsid w:val="009C5070"/>
    <w:rsid w:val="009C767E"/>
    <w:rsid w:val="009D112C"/>
    <w:rsid w:val="009D47FA"/>
    <w:rsid w:val="009D4C9E"/>
    <w:rsid w:val="009D50D2"/>
    <w:rsid w:val="009D6BCA"/>
    <w:rsid w:val="009E0F62"/>
    <w:rsid w:val="009E4A58"/>
    <w:rsid w:val="009E5A2D"/>
    <w:rsid w:val="009E5AB2"/>
    <w:rsid w:val="009E6219"/>
    <w:rsid w:val="009F03B3"/>
    <w:rsid w:val="009F4A4A"/>
    <w:rsid w:val="00A01757"/>
    <w:rsid w:val="00A0242A"/>
    <w:rsid w:val="00A028C0"/>
    <w:rsid w:val="00A02BAE"/>
    <w:rsid w:val="00A05E9D"/>
    <w:rsid w:val="00A06A6B"/>
    <w:rsid w:val="00A07E47"/>
    <w:rsid w:val="00A129D0"/>
    <w:rsid w:val="00A12C33"/>
    <w:rsid w:val="00A138BA"/>
    <w:rsid w:val="00A14C8E"/>
    <w:rsid w:val="00A153D9"/>
    <w:rsid w:val="00A15F09"/>
    <w:rsid w:val="00A169B6"/>
    <w:rsid w:val="00A2271D"/>
    <w:rsid w:val="00A236A2"/>
    <w:rsid w:val="00A236E5"/>
    <w:rsid w:val="00A237D5"/>
    <w:rsid w:val="00A24F7B"/>
    <w:rsid w:val="00A30EFC"/>
    <w:rsid w:val="00A31286"/>
    <w:rsid w:val="00A31984"/>
    <w:rsid w:val="00A31B26"/>
    <w:rsid w:val="00A32D73"/>
    <w:rsid w:val="00A32ECE"/>
    <w:rsid w:val="00A3367B"/>
    <w:rsid w:val="00A3597D"/>
    <w:rsid w:val="00A40091"/>
    <w:rsid w:val="00A4030F"/>
    <w:rsid w:val="00A41C79"/>
    <w:rsid w:val="00A41CB5"/>
    <w:rsid w:val="00A42CDF"/>
    <w:rsid w:val="00A4452E"/>
    <w:rsid w:val="00A4472C"/>
    <w:rsid w:val="00A44E69"/>
    <w:rsid w:val="00A4661E"/>
    <w:rsid w:val="00A55BD6"/>
    <w:rsid w:val="00A55C97"/>
    <w:rsid w:val="00A55D50"/>
    <w:rsid w:val="00A57142"/>
    <w:rsid w:val="00A648CD"/>
    <w:rsid w:val="00A6537A"/>
    <w:rsid w:val="00A664CD"/>
    <w:rsid w:val="00A67866"/>
    <w:rsid w:val="00A7088A"/>
    <w:rsid w:val="00A70B07"/>
    <w:rsid w:val="00A723F8"/>
    <w:rsid w:val="00A779E8"/>
    <w:rsid w:val="00A77CCB"/>
    <w:rsid w:val="00A83D8D"/>
    <w:rsid w:val="00A8446B"/>
    <w:rsid w:val="00A8473F"/>
    <w:rsid w:val="00A862D6"/>
    <w:rsid w:val="00A8715E"/>
    <w:rsid w:val="00A9295B"/>
    <w:rsid w:val="00A93B09"/>
    <w:rsid w:val="00A952D7"/>
    <w:rsid w:val="00A95595"/>
    <w:rsid w:val="00A963F7"/>
    <w:rsid w:val="00A96AD8"/>
    <w:rsid w:val="00AA052C"/>
    <w:rsid w:val="00AA1E45"/>
    <w:rsid w:val="00AA2A24"/>
    <w:rsid w:val="00AA4286"/>
    <w:rsid w:val="00AA456B"/>
    <w:rsid w:val="00AA57F5"/>
    <w:rsid w:val="00AA672E"/>
    <w:rsid w:val="00AA6EC9"/>
    <w:rsid w:val="00AB1117"/>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E1703"/>
    <w:rsid w:val="00AE6129"/>
    <w:rsid w:val="00AF0C18"/>
    <w:rsid w:val="00AF47C5"/>
    <w:rsid w:val="00AF5398"/>
    <w:rsid w:val="00B049AF"/>
    <w:rsid w:val="00B07242"/>
    <w:rsid w:val="00B10534"/>
    <w:rsid w:val="00B113DB"/>
    <w:rsid w:val="00B11D8A"/>
    <w:rsid w:val="00B12981"/>
    <w:rsid w:val="00B147DD"/>
    <w:rsid w:val="00B156FD"/>
    <w:rsid w:val="00B17227"/>
    <w:rsid w:val="00B21F61"/>
    <w:rsid w:val="00B23045"/>
    <w:rsid w:val="00B261F1"/>
    <w:rsid w:val="00B265BC"/>
    <w:rsid w:val="00B31330"/>
    <w:rsid w:val="00B31FB1"/>
    <w:rsid w:val="00B33952"/>
    <w:rsid w:val="00B33C5E"/>
    <w:rsid w:val="00B342F4"/>
    <w:rsid w:val="00B34369"/>
    <w:rsid w:val="00B34DC2"/>
    <w:rsid w:val="00B369BE"/>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675B7"/>
    <w:rsid w:val="00B72880"/>
    <w:rsid w:val="00B758BF"/>
    <w:rsid w:val="00B76945"/>
    <w:rsid w:val="00B827A6"/>
    <w:rsid w:val="00B831CE"/>
    <w:rsid w:val="00B86677"/>
    <w:rsid w:val="00B87131"/>
    <w:rsid w:val="00B9127B"/>
    <w:rsid w:val="00B91566"/>
    <w:rsid w:val="00B9320C"/>
    <w:rsid w:val="00B939B1"/>
    <w:rsid w:val="00B96D40"/>
    <w:rsid w:val="00B97386"/>
    <w:rsid w:val="00BA263B"/>
    <w:rsid w:val="00BA2C76"/>
    <w:rsid w:val="00BA42B2"/>
    <w:rsid w:val="00BA58D4"/>
    <w:rsid w:val="00BA5B9E"/>
    <w:rsid w:val="00BA7C9A"/>
    <w:rsid w:val="00BB5F8F"/>
    <w:rsid w:val="00BB657A"/>
    <w:rsid w:val="00BC1A4E"/>
    <w:rsid w:val="00BC48B7"/>
    <w:rsid w:val="00BC5DC7"/>
    <w:rsid w:val="00BC67BE"/>
    <w:rsid w:val="00BC6B8B"/>
    <w:rsid w:val="00BC73D8"/>
    <w:rsid w:val="00BD0518"/>
    <w:rsid w:val="00BD1FF7"/>
    <w:rsid w:val="00BD3E2F"/>
    <w:rsid w:val="00BD52D7"/>
    <w:rsid w:val="00BD5AD2"/>
    <w:rsid w:val="00BD6082"/>
    <w:rsid w:val="00BE22F3"/>
    <w:rsid w:val="00BE49EE"/>
    <w:rsid w:val="00BE5B52"/>
    <w:rsid w:val="00BE7B8D"/>
    <w:rsid w:val="00BF0993"/>
    <w:rsid w:val="00BF10A9"/>
    <w:rsid w:val="00BF1703"/>
    <w:rsid w:val="00BF231C"/>
    <w:rsid w:val="00BF2D77"/>
    <w:rsid w:val="00BF51E5"/>
    <w:rsid w:val="00BF74A6"/>
    <w:rsid w:val="00C013AD"/>
    <w:rsid w:val="00C04904"/>
    <w:rsid w:val="00C056B3"/>
    <w:rsid w:val="00C103E5"/>
    <w:rsid w:val="00C13319"/>
    <w:rsid w:val="00C13EE9"/>
    <w:rsid w:val="00C14D87"/>
    <w:rsid w:val="00C21540"/>
    <w:rsid w:val="00C21906"/>
    <w:rsid w:val="00C21BFA"/>
    <w:rsid w:val="00C24C8D"/>
    <w:rsid w:val="00C25FE2"/>
    <w:rsid w:val="00C26B53"/>
    <w:rsid w:val="00C279B2"/>
    <w:rsid w:val="00C33E50"/>
    <w:rsid w:val="00C34C20"/>
    <w:rsid w:val="00C35A3E"/>
    <w:rsid w:val="00C405FE"/>
    <w:rsid w:val="00C42130"/>
    <w:rsid w:val="00C423A4"/>
    <w:rsid w:val="00C44BF5"/>
    <w:rsid w:val="00C55232"/>
    <w:rsid w:val="00C553A4"/>
    <w:rsid w:val="00C55A06"/>
    <w:rsid w:val="00C55D03"/>
    <w:rsid w:val="00C601BC"/>
    <w:rsid w:val="00C6053E"/>
    <w:rsid w:val="00C6329F"/>
    <w:rsid w:val="00C63340"/>
    <w:rsid w:val="00C643F9"/>
    <w:rsid w:val="00C64E95"/>
    <w:rsid w:val="00C655FD"/>
    <w:rsid w:val="00C71372"/>
    <w:rsid w:val="00C72410"/>
    <w:rsid w:val="00C7287F"/>
    <w:rsid w:val="00C72F0E"/>
    <w:rsid w:val="00C80CB8"/>
    <w:rsid w:val="00C8169A"/>
    <w:rsid w:val="00C819F8"/>
    <w:rsid w:val="00C8248C"/>
    <w:rsid w:val="00C84E33"/>
    <w:rsid w:val="00C86D6F"/>
    <w:rsid w:val="00C905FC"/>
    <w:rsid w:val="00C92D03"/>
    <w:rsid w:val="00C9319C"/>
    <w:rsid w:val="00C9435D"/>
    <w:rsid w:val="00C9517F"/>
    <w:rsid w:val="00C96741"/>
    <w:rsid w:val="00CA2D1B"/>
    <w:rsid w:val="00CA482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2BCD"/>
    <w:rsid w:val="00CE30EA"/>
    <w:rsid w:val="00CF048A"/>
    <w:rsid w:val="00CF155A"/>
    <w:rsid w:val="00CF184E"/>
    <w:rsid w:val="00CF2947"/>
    <w:rsid w:val="00CF44B1"/>
    <w:rsid w:val="00CF61E3"/>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2DAF"/>
    <w:rsid w:val="00D33333"/>
    <w:rsid w:val="00D352A2"/>
    <w:rsid w:val="00D40A83"/>
    <w:rsid w:val="00D4162B"/>
    <w:rsid w:val="00D4514F"/>
    <w:rsid w:val="00D451E2"/>
    <w:rsid w:val="00D4545E"/>
    <w:rsid w:val="00D45E89"/>
    <w:rsid w:val="00D45E8D"/>
    <w:rsid w:val="00D466AE"/>
    <w:rsid w:val="00D4734F"/>
    <w:rsid w:val="00D517D2"/>
    <w:rsid w:val="00D51BF3"/>
    <w:rsid w:val="00D63276"/>
    <w:rsid w:val="00D66846"/>
    <w:rsid w:val="00D675FB"/>
    <w:rsid w:val="00D71F25"/>
    <w:rsid w:val="00D77031"/>
    <w:rsid w:val="00D8457D"/>
    <w:rsid w:val="00D84941"/>
    <w:rsid w:val="00D84FA1"/>
    <w:rsid w:val="00D851F0"/>
    <w:rsid w:val="00D86DB7"/>
    <w:rsid w:val="00D90C33"/>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B38EE"/>
    <w:rsid w:val="00DB498B"/>
    <w:rsid w:val="00DB66CA"/>
    <w:rsid w:val="00DB6BCA"/>
    <w:rsid w:val="00DC0321"/>
    <w:rsid w:val="00DC0823"/>
    <w:rsid w:val="00DC3067"/>
    <w:rsid w:val="00DC370B"/>
    <w:rsid w:val="00DC5B90"/>
    <w:rsid w:val="00DD00F2"/>
    <w:rsid w:val="00DD00FF"/>
    <w:rsid w:val="00DD0619"/>
    <w:rsid w:val="00DD07FB"/>
    <w:rsid w:val="00DD25C6"/>
    <w:rsid w:val="00DD54B0"/>
    <w:rsid w:val="00DD57EE"/>
    <w:rsid w:val="00DD6BCC"/>
    <w:rsid w:val="00DE0A4B"/>
    <w:rsid w:val="00DE2410"/>
    <w:rsid w:val="00DE2939"/>
    <w:rsid w:val="00DE2B46"/>
    <w:rsid w:val="00DE3E4A"/>
    <w:rsid w:val="00DE51F0"/>
    <w:rsid w:val="00DE6E81"/>
    <w:rsid w:val="00DE703F"/>
    <w:rsid w:val="00DE7595"/>
    <w:rsid w:val="00DE7C8F"/>
    <w:rsid w:val="00DF15BE"/>
    <w:rsid w:val="00DF1961"/>
    <w:rsid w:val="00DF2BB2"/>
    <w:rsid w:val="00DF41FA"/>
    <w:rsid w:val="00DF44DE"/>
    <w:rsid w:val="00E008C7"/>
    <w:rsid w:val="00E01138"/>
    <w:rsid w:val="00E02DFB"/>
    <w:rsid w:val="00E030F9"/>
    <w:rsid w:val="00E0311A"/>
    <w:rsid w:val="00E03138"/>
    <w:rsid w:val="00E06404"/>
    <w:rsid w:val="00E11A85"/>
    <w:rsid w:val="00E12495"/>
    <w:rsid w:val="00E13BC2"/>
    <w:rsid w:val="00E15CCD"/>
    <w:rsid w:val="00E202EF"/>
    <w:rsid w:val="00E20878"/>
    <w:rsid w:val="00E210B5"/>
    <w:rsid w:val="00E2552F"/>
    <w:rsid w:val="00E30FAE"/>
    <w:rsid w:val="00E3137A"/>
    <w:rsid w:val="00E32CCF"/>
    <w:rsid w:val="00E33621"/>
    <w:rsid w:val="00E34A98"/>
    <w:rsid w:val="00E35D1E"/>
    <w:rsid w:val="00E364F9"/>
    <w:rsid w:val="00E365FA"/>
    <w:rsid w:val="00E37044"/>
    <w:rsid w:val="00E40C94"/>
    <w:rsid w:val="00E43C00"/>
    <w:rsid w:val="00E44A83"/>
    <w:rsid w:val="00E502C1"/>
    <w:rsid w:val="00E502DD"/>
    <w:rsid w:val="00E50D3A"/>
    <w:rsid w:val="00E51387"/>
    <w:rsid w:val="00E51E68"/>
    <w:rsid w:val="00E52EFD"/>
    <w:rsid w:val="00E5408A"/>
    <w:rsid w:val="00E56800"/>
    <w:rsid w:val="00E60CD7"/>
    <w:rsid w:val="00E62FF9"/>
    <w:rsid w:val="00E635D6"/>
    <w:rsid w:val="00E639BC"/>
    <w:rsid w:val="00E664CC"/>
    <w:rsid w:val="00E70388"/>
    <w:rsid w:val="00E70F92"/>
    <w:rsid w:val="00E74C54"/>
    <w:rsid w:val="00E75147"/>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1679"/>
    <w:rsid w:val="00EA3351"/>
    <w:rsid w:val="00EA58D1"/>
    <w:rsid w:val="00EA61BC"/>
    <w:rsid w:val="00EA681A"/>
    <w:rsid w:val="00EA735B"/>
    <w:rsid w:val="00EB1E69"/>
    <w:rsid w:val="00EB2086"/>
    <w:rsid w:val="00EB54B8"/>
    <w:rsid w:val="00EB5EDF"/>
    <w:rsid w:val="00EB5FCB"/>
    <w:rsid w:val="00EB60FE"/>
    <w:rsid w:val="00EB648F"/>
    <w:rsid w:val="00EB74DB"/>
    <w:rsid w:val="00EC4BA2"/>
    <w:rsid w:val="00EC5359"/>
    <w:rsid w:val="00EC562A"/>
    <w:rsid w:val="00ED067A"/>
    <w:rsid w:val="00ED09CC"/>
    <w:rsid w:val="00ED2B50"/>
    <w:rsid w:val="00EE0350"/>
    <w:rsid w:val="00EE0719"/>
    <w:rsid w:val="00EE0E80"/>
    <w:rsid w:val="00EE613F"/>
    <w:rsid w:val="00EE7295"/>
    <w:rsid w:val="00EE7869"/>
    <w:rsid w:val="00EF054A"/>
    <w:rsid w:val="00EF3235"/>
    <w:rsid w:val="00EF4DA7"/>
    <w:rsid w:val="00EF7E72"/>
    <w:rsid w:val="00F06D37"/>
    <w:rsid w:val="00F07B9D"/>
    <w:rsid w:val="00F11586"/>
    <w:rsid w:val="00F1183B"/>
    <w:rsid w:val="00F11C9F"/>
    <w:rsid w:val="00F12263"/>
    <w:rsid w:val="00F1409D"/>
    <w:rsid w:val="00F14214"/>
    <w:rsid w:val="00F146BD"/>
    <w:rsid w:val="00F157A9"/>
    <w:rsid w:val="00F23D85"/>
    <w:rsid w:val="00F25BB6"/>
    <w:rsid w:val="00F26B7E"/>
    <w:rsid w:val="00F27A3B"/>
    <w:rsid w:val="00F33817"/>
    <w:rsid w:val="00F35E35"/>
    <w:rsid w:val="00F37A15"/>
    <w:rsid w:val="00F420D5"/>
    <w:rsid w:val="00F43F26"/>
    <w:rsid w:val="00F451EA"/>
    <w:rsid w:val="00F45447"/>
    <w:rsid w:val="00F456C6"/>
    <w:rsid w:val="00F4577B"/>
    <w:rsid w:val="00F46496"/>
    <w:rsid w:val="00F474D0"/>
    <w:rsid w:val="00F50179"/>
    <w:rsid w:val="00F56511"/>
    <w:rsid w:val="00F60745"/>
    <w:rsid w:val="00F6194E"/>
    <w:rsid w:val="00F623AC"/>
    <w:rsid w:val="00F6412A"/>
    <w:rsid w:val="00F65893"/>
    <w:rsid w:val="00F668DB"/>
    <w:rsid w:val="00F66A4A"/>
    <w:rsid w:val="00F71E22"/>
    <w:rsid w:val="00F72142"/>
    <w:rsid w:val="00F72AE7"/>
    <w:rsid w:val="00F84934"/>
    <w:rsid w:val="00F84FD0"/>
    <w:rsid w:val="00F859A8"/>
    <w:rsid w:val="00F90D7F"/>
    <w:rsid w:val="00F9108B"/>
    <w:rsid w:val="00F91349"/>
    <w:rsid w:val="00F93A8A"/>
    <w:rsid w:val="00F95248"/>
    <w:rsid w:val="00F95390"/>
    <w:rsid w:val="00F956A9"/>
    <w:rsid w:val="00F963ED"/>
    <w:rsid w:val="00F966CF"/>
    <w:rsid w:val="00F96CAE"/>
    <w:rsid w:val="00F97C99"/>
    <w:rsid w:val="00FA0239"/>
    <w:rsid w:val="00FA662D"/>
    <w:rsid w:val="00FA73B1"/>
    <w:rsid w:val="00FB0CB9"/>
    <w:rsid w:val="00FB45F1"/>
    <w:rsid w:val="00FB4A72"/>
    <w:rsid w:val="00FB54E8"/>
    <w:rsid w:val="00FB7054"/>
    <w:rsid w:val="00FC17B7"/>
    <w:rsid w:val="00FC2CB7"/>
    <w:rsid w:val="00FC4090"/>
    <w:rsid w:val="00FC55B4"/>
    <w:rsid w:val="00FD00E6"/>
    <w:rsid w:val="00FD032B"/>
    <w:rsid w:val="00FD09A1"/>
    <w:rsid w:val="00FD18C0"/>
    <w:rsid w:val="00FD2A7C"/>
    <w:rsid w:val="00FD59EB"/>
    <w:rsid w:val="00FD7299"/>
    <w:rsid w:val="00FE113D"/>
    <w:rsid w:val="00FE1FBE"/>
    <w:rsid w:val="00FE3901"/>
    <w:rsid w:val="00FE4BCE"/>
    <w:rsid w:val="00FE54AE"/>
    <w:rsid w:val="00FE576A"/>
    <w:rsid w:val="00FE61CF"/>
    <w:rsid w:val="00FE7E79"/>
    <w:rsid w:val="00FF3E7D"/>
    <w:rsid w:val="00FF5B99"/>
    <w:rsid w:val="00FF730C"/>
    <w:rsid w:val="00FF73F4"/>
    <w:rsid w:val="00FF7CE4"/>
    <w:rsid w:val="00FF7E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7A061E"/>
    <w:pPr>
      <w:ind w:left="198"/>
    </w:pPr>
    <w:rPr>
      <w:rFonts w:ascii="宋体" w:hAnsi="Times New Roman"/>
      <w:sz w:val="18"/>
    </w:rPr>
  </w:style>
  <w:style w:type="paragraph" w:customStyle="1" w:styleId="affff3">
    <w:name w:val="标准文件_页脚奇数页"/>
    <w:rsid w:val="00D63276"/>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523461"/>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afterLines="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6F0ED7"/>
    <w:pPr>
      <w:numPr>
        <w:numId w:val="5"/>
      </w:numPr>
      <w:shd w:val="clear" w:color="FFFFFF" w:fill="FFFFFF"/>
      <w:tabs>
        <w:tab w:val="left" w:pos="6406"/>
      </w:tabs>
      <w:spacing w:before="560" w:afterLines="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0"/>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523461"/>
    <w:pPr>
      <w:numPr>
        <w:numId w:val="31"/>
      </w:numPr>
      <w:shd w:val="clear" w:color="FFFFFF" w:fill="FFFFFF"/>
      <w:spacing w:before="480" w:afterLines="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523461"/>
    <w:pPr>
      <w:spacing w:before="480" w:afterLines="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19"/>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afterLines="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1"/>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afterLines="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C72F0E"/>
    <w:pPr>
      <w:numPr>
        <w:ilvl w:val="1"/>
        <w:numId w:val="22"/>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afterLines="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afterLines="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2"/>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C72F0E"/>
    <w:pPr>
      <w:numPr>
        <w:numId w:val="28"/>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afterLines="0"/>
      <w:outlineLvl w:val="9"/>
    </w:pPr>
    <w:rPr>
      <w:rFonts w:ascii="宋体" w:eastAsia="宋体"/>
    </w:rPr>
  </w:style>
  <w:style w:type="paragraph" w:customStyle="1" w:styleId="affffffff8">
    <w:name w:val="标准文件_五级无标题"/>
    <w:basedOn w:val="afff1"/>
    <w:qFormat/>
    <w:rsid w:val="00BA263B"/>
    <w:pPr>
      <w:spacing w:beforeLines="0" w:afterLines="0"/>
      <w:outlineLvl w:val="9"/>
    </w:pPr>
    <w:rPr>
      <w:rFonts w:ascii="宋体" w:eastAsia="宋体"/>
    </w:rPr>
  </w:style>
  <w:style w:type="paragraph" w:customStyle="1" w:styleId="affffffff9">
    <w:name w:val="标准文件_三级无标题"/>
    <w:basedOn w:val="afff"/>
    <w:qFormat/>
    <w:rsid w:val="00BA263B"/>
    <w:pPr>
      <w:spacing w:beforeLines="0" w:afterLines="0"/>
      <w:outlineLvl w:val="9"/>
    </w:pPr>
    <w:rPr>
      <w:rFonts w:ascii="宋体" w:eastAsia="宋体"/>
    </w:rPr>
  </w:style>
  <w:style w:type="paragraph" w:customStyle="1" w:styleId="affffffffa">
    <w:name w:val="标准文件_二级无标题"/>
    <w:basedOn w:val="affe"/>
    <w:qFormat/>
    <w:rsid w:val="00BA263B"/>
    <w:pPr>
      <w:spacing w:beforeLines="0" w:afterLines="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afterLines="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C72F0E"/>
    <w:rPr>
      <w:rFonts w:ascii="宋体" w:hAnsi="Times New Roman"/>
      <w:sz w:val="21"/>
    </w:rPr>
  </w:style>
  <w:style w:type="paragraph" w:customStyle="1" w:styleId="af3">
    <w:name w:val="标准文件_三级项"/>
    <w:basedOn w:val="afff5"/>
    <w:rsid w:val="00E82554"/>
    <w:pPr>
      <w:numPr>
        <w:ilvl w:val="2"/>
        <w:numId w:val="28"/>
      </w:numPr>
      <w:spacing w:line="-300" w:lineRule="auto"/>
    </w:pPr>
    <w:rPr>
      <w:rFonts w:ascii="Times New Roman" w:hAnsi="Times New Roman"/>
    </w:rPr>
  </w:style>
  <w:style w:type="paragraph" w:customStyle="1" w:styleId="affa">
    <w:name w:val="图表脚注说明"/>
    <w:basedOn w:val="afff5"/>
    <w:next w:val="affff6"/>
    <w:rsid w:val="00D035EC"/>
    <w:pPr>
      <w:numPr>
        <w:numId w:val="20"/>
      </w:numPr>
      <w:adjustRightInd/>
      <w:spacing w:line="240" w:lineRule="auto"/>
      <w:ind w:left="783"/>
    </w:pPr>
    <w:rPr>
      <w:rFonts w:ascii="宋体" w:hAnsi="Times New Roman"/>
      <w:sz w:val="18"/>
      <w:szCs w:val="18"/>
    </w:rPr>
  </w:style>
  <w:style w:type="paragraph" w:customStyle="1" w:styleId="af5">
    <w:name w:val="标准文件_字母编号列项（一级）"/>
    <w:rsid w:val="00C72F0E"/>
    <w:pPr>
      <w:numPr>
        <w:numId w:val="22"/>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7A6118"/>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5"/>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6"/>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C72F0E"/>
    <w:pPr>
      <w:numPr>
        <w:ilvl w:val="1"/>
        <w:numId w:val="28"/>
      </w:numPr>
      <w:ind w:left="1271" w:firstLineChars="0" w:hanging="420"/>
    </w:pPr>
  </w:style>
  <w:style w:type="paragraph" w:customStyle="1" w:styleId="21">
    <w:name w:val="标准文件_三级项2"/>
    <w:basedOn w:val="affff6"/>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29"/>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0"/>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1"/>
      </w:numPr>
      <w:spacing w:beforeLines="50" w:afterLines="50"/>
      <w:ind w:firstLineChars="0"/>
    </w:pPr>
    <w:rPr>
      <w:rFonts w:ascii="黑体" w:eastAsia="黑体"/>
    </w:rPr>
  </w:style>
  <w:style w:type="paragraph" w:customStyle="1" w:styleId="a8">
    <w:name w:val="标准文件_引言二级条标题"/>
    <w:basedOn w:val="affff6"/>
    <w:next w:val="affff6"/>
    <w:qFormat/>
    <w:rsid w:val="00E030F9"/>
    <w:pPr>
      <w:numPr>
        <w:ilvl w:val="2"/>
        <w:numId w:val="31"/>
      </w:numPr>
      <w:spacing w:beforeLines="50" w:afterLines="50"/>
      <w:ind w:firstLineChars="0"/>
    </w:pPr>
    <w:rPr>
      <w:rFonts w:ascii="黑体" w:eastAsia="黑体"/>
    </w:rPr>
  </w:style>
  <w:style w:type="paragraph" w:customStyle="1" w:styleId="a9">
    <w:name w:val="标准文件_引言三级条标题"/>
    <w:basedOn w:val="affff6"/>
    <w:next w:val="affff6"/>
    <w:qFormat/>
    <w:rsid w:val="00E030F9"/>
    <w:pPr>
      <w:numPr>
        <w:ilvl w:val="3"/>
        <w:numId w:val="31"/>
      </w:numPr>
      <w:spacing w:beforeLines="50" w:afterLines="50"/>
      <w:ind w:firstLineChars="0"/>
    </w:pPr>
    <w:rPr>
      <w:rFonts w:ascii="黑体" w:eastAsia="黑体"/>
    </w:rPr>
  </w:style>
  <w:style w:type="paragraph" w:customStyle="1" w:styleId="aa">
    <w:name w:val="标准文件_引言四级条标题"/>
    <w:basedOn w:val="affff6"/>
    <w:next w:val="affff6"/>
    <w:qFormat/>
    <w:rsid w:val="005E3C18"/>
    <w:pPr>
      <w:numPr>
        <w:ilvl w:val="4"/>
        <w:numId w:val="31"/>
      </w:numPr>
      <w:spacing w:beforeLines="50" w:afterLines="50"/>
      <w:ind w:firstLineChars="0"/>
    </w:pPr>
    <w:rPr>
      <w:rFonts w:ascii="黑体" w:eastAsia="黑体"/>
    </w:rPr>
  </w:style>
  <w:style w:type="paragraph" w:customStyle="1" w:styleId="ab">
    <w:name w:val="标准文件_引言五级条标题"/>
    <w:basedOn w:val="affff6"/>
    <w:next w:val="affff6"/>
    <w:qFormat/>
    <w:rsid w:val="005E3C18"/>
    <w:pPr>
      <w:numPr>
        <w:ilvl w:val="5"/>
        <w:numId w:val="31"/>
      </w:numPr>
      <w:spacing w:beforeLines="50" w:afterLines="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afterLines="0" w:line="276" w:lineRule="auto"/>
      <w:outlineLvl w:val="9"/>
    </w:pPr>
    <w:rPr>
      <w:rFonts w:ascii="宋体" w:eastAsia="宋体"/>
    </w:rPr>
  </w:style>
  <w:style w:type="paragraph" w:customStyle="1" w:styleId="affffffffff3">
    <w:name w:val="标准文件_附录二级无标题"/>
    <w:basedOn w:val="aff5"/>
    <w:rsid w:val="009D6BCA"/>
    <w:pPr>
      <w:spacing w:beforeLines="0" w:afterLines="0" w:line="276" w:lineRule="auto"/>
      <w:outlineLvl w:val="9"/>
    </w:pPr>
    <w:rPr>
      <w:rFonts w:ascii="宋体" w:eastAsia="宋体"/>
    </w:rPr>
  </w:style>
  <w:style w:type="paragraph" w:customStyle="1" w:styleId="affffffffff4">
    <w:name w:val="标准文件_附录三级无标题"/>
    <w:basedOn w:val="aff6"/>
    <w:qFormat/>
    <w:rsid w:val="00A41CB5"/>
    <w:pPr>
      <w:spacing w:beforeLines="0" w:afterLines="0" w:line="276" w:lineRule="auto"/>
      <w:outlineLvl w:val="9"/>
    </w:pPr>
    <w:rPr>
      <w:rFonts w:ascii="宋体" w:eastAsia="宋体"/>
    </w:rPr>
  </w:style>
  <w:style w:type="paragraph" w:customStyle="1" w:styleId="affffffffff5">
    <w:name w:val="标准文件_附录四级无标题"/>
    <w:basedOn w:val="aff7"/>
    <w:qFormat/>
    <w:rsid w:val="00A41CB5"/>
    <w:pPr>
      <w:spacing w:beforeLines="0" w:afterLines="0" w:line="276" w:lineRule="auto"/>
      <w:outlineLvl w:val="9"/>
    </w:pPr>
    <w:rPr>
      <w:rFonts w:ascii="宋体" w:eastAsia="宋体"/>
    </w:rPr>
  </w:style>
  <w:style w:type="paragraph" w:customStyle="1" w:styleId="affffffffff6">
    <w:name w:val="标准文件_附录五级无标题"/>
    <w:basedOn w:val="aff8"/>
    <w:qFormat/>
    <w:rsid w:val="00A41CB5"/>
    <w:pPr>
      <w:spacing w:beforeLines="0" w:afterLines="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afterLines="0" w:line="276" w:lineRule="auto"/>
    </w:pPr>
    <w:rPr>
      <w:rFonts w:ascii="宋体" w:eastAsia="宋体"/>
    </w:rPr>
  </w:style>
  <w:style w:type="paragraph" w:customStyle="1" w:styleId="affffffffff8">
    <w:name w:val="标准文件_引言二级无标题"/>
    <w:basedOn w:val="a8"/>
    <w:next w:val="affff6"/>
    <w:qFormat/>
    <w:rsid w:val="00843C13"/>
    <w:pPr>
      <w:spacing w:beforeLines="0" w:afterLines="0" w:line="276" w:lineRule="auto"/>
    </w:pPr>
    <w:rPr>
      <w:rFonts w:ascii="宋体" w:eastAsia="宋体"/>
    </w:rPr>
  </w:style>
  <w:style w:type="paragraph" w:customStyle="1" w:styleId="affffffffff9">
    <w:name w:val="标准文件_引言三级无标题"/>
    <w:basedOn w:val="a9"/>
    <w:qFormat/>
    <w:rsid w:val="00534BDF"/>
    <w:pPr>
      <w:spacing w:beforeLines="0" w:afterLines="0" w:line="276" w:lineRule="auto"/>
    </w:pPr>
    <w:rPr>
      <w:rFonts w:ascii="宋体" w:eastAsia="宋体"/>
    </w:rPr>
  </w:style>
  <w:style w:type="paragraph" w:customStyle="1" w:styleId="affffffffffa">
    <w:name w:val="标准文件_引言四级无标题"/>
    <w:basedOn w:val="aa"/>
    <w:next w:val="affff6"/>
    <w:qFormat/>
    <w:rsid w:val="00534BDF"/>
    <w:pPr>
      <w:spacing w:beforeLines="0" w:afterLines="0" w:line="276" w:lineRule="auto"/>
    </w:pPr>
    <w:rPr>
      <w:rFonts w:ascii="宋体" w:eastAsia="宋体"/>
    </w:rPr>
  </w:style>
  <w:style w:type="paragraph" w:customStyle="1" w:styleId="affffffffffb">
    <w:name w:val="标准文件_引言五级无标题"/>
    <w:basedOn w:val="ab"/>
    <w:next w:val="affff6"/>
    <w:qFormat/>
    <w:rsid w:val="00534BDF"/>
    <w:pPr>
      <w:spacing w:beforeLines="0" w:afterLines="0" w:line="276" w:lineRule="auto"/>
    </w:pPr>
    <w:rPr>
      <w:rFonts w:ascii="宋体" w:eastAsia="宋体"/>
    </w:rPr>
  </w:style>
  <w:style w:type="paragraph" w:customStyle="1" w:styleId="affffffffffc">
    <w:name w:val="标准文件_索引标题"/>
    <w:basedOn w:val="affffd"/>
    <w:next w:val="affff6"/>
    <w:qFormat/>
    <w:rsid w:val="006F0ED7"/>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paragraph" w:customStyle="1" w:styleId="afffffffffff3">
    <w:name w:val="段"/>
    <w:rsid w:val="00DF41FA"/>
    <w:pPr>
      <w:autoSpaceDE w:val="0"/>
      <w:autoSpaceDN w:val="0"/>
      <w:ind w:firstLineChars="200" w:firstLine="200"/>
      <w:jc w:val="both"/>
    </w:pPr>
    <w:rPr>
      <w:rFonts w:ascii="宋体" w:hAnsi="Times New Roman"/>
      <w:noProof/>
      <w:sz w:val="21"/>
    </w:rPr>
  </w:style>
</w:styles>
</file>

<file path=word/webSettings.xml><?xml version="1.0" encoding="utf-8"?>
<w:webSettings xmlns:r="http://schemas.openxmlformats.org/officeDocument/2006/relationships" xmlns:w="http://schemas.openxmlformats.org/wordprocessingml/2006/main">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2.xml"/><Relationship Id="rId21" Type="http://schemas.openxmlformats.org/officeDocument/2006/relationships/header" Target="header7.xml"/><Relationship Id="rId34" Type="http://schemas.openxmlformats.org/officeDocument/2006/relationships/image" Target="media/image5.png"/><Relationship Id="rId42" Type="http://schemas.openxmlformats.org/officeDocument/2006/relationships/image" Target="media/image9.png"/><Relationship Id="rId47" Type="http://schemas.openxmlformats.org/officeDocument/2006/relationships/header" Target="header14.xml"/><Relationship Id="rId50" Type="http://schemas.openxmlformats.org/officeDocument/2006/relationships/footer" Target="footer15.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image" Target="media/image4.png"/><Relationship Id="rId38" Type="http://schemas.openxmlformats.org/officeDocument/2006/relationships/header" Target="header13.xml"/><Relationship Id="rId46"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image" Target="media/image8.png"/><Relationship Id="rId54"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image" Target="media/image3.png"/><Relationship Id="rId37" Type="http://schemas.openxmlformats.org/officeDocument/2006/relationships/header" Target="header12.xml"/><Relationship Id="rId40" Type="http://schemas.openxmlformats.org/officeDocument/2006/relationships/footer" Target="footer13.xml"/><Relationship Id="rId45" Type="http://schemas.openxmlformats.org/officeDocument/2006/relationships/image" Target="media/image12.png"/><Relationship Id="rId53"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image" Target="media/image2.tiff"/><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image" Target="media/image7.png"/><Relationship Id="rId49" Type="http://schemas.openxmlformats.org/officeDocument/2006/relationships/footer" Target="footer14.xml"/><Relationship Id="rId57"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image" Target="media/image11.png"/><Relationship Id="rId52"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image" Target="media/image6.png"/><Relationship Id="rId43" Type="http://schemas.openxmlformats.org/officeDocument/2006/relationships/image" Target="media/image10.png"/><Relationship Id="rId48" Type="http://schemas.openxmlformats.org/officeDocument/2006/relationships/header" Target="header15.xml"/><Relationship Id="rId56" Type="http://schemas.openxmlformats.org/officeDocument/2006/relationships/glossaryDocument" Target="glossary/document.xml"/><Relationship Id="rId8" Type="http://schemas.openxmlformats.org/officeDocument/2006/relationships/image" Target="media/image1.png"/><Relationship Id="rId51" Type="http://schemas.openxmlformats.org/officeDocument/2006/relationships/header" Target="header16.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77BAB6469740FC8866DF23DD24BF25"/>
        <w:category>
          <w:name w:val="常规"/>
          <w:gallery w:val="placeholder"/>
        </w:category>
        <w:types>
          <w:type w:val="bbPlcHdr"/>
        </w:types>
        <w:behaviors>
          <w:behavior w:val="content"/>
        </w:behaviors>
        <w:guid w:val="{3B6FD4F6-DB28-496D-BE4A-D8DC1832891E}"/>
      </w:docPartPr>
      <w:docPartBody>
        <w:p w:rsidR="00EE27F9" w:rsidRDefault="004743A7">
          <w:pPr>
            <w:pStyle w:val="BA77BAB6469740FC8866DF23DD24BF25"/>
          </w:pPr>
          <w:r w:rsidRPr="00751A05">
            <w:rPr>
              <w:rStyle w:val="a3"/>
              <w:rFonts w:hint="eastAsia"/>
            </w:rPr>
            <w:t>单击或点击此处输入文字。</w:t>
          </w:r>
        </w:p>
      </w:docPartBody>
    </w:docPart>
    <w:docPart>
      <w:docPartPr>
        <w:name w:val="0E554894BB6148FE9A090B1F8FE39DD3"/>
        <w:category>
          <w:name w:val="常规"/>
          <w:gallery w:val="placeholder"/>
        </w:category>
        <w:types>
          <w:type w:val="bbPlcHdr"/>
        </w:types>
        <w:behaviors>
          <w:behavior w:val="content"/>
        </w:behaviors>
        <w:guid w:val="{A835B319-DA71-4AA1-B206-C77F83B0CE43}"/>
      </w:docPartPr>
      <w:docPartBody>
        <w:p w:rsidR="00EE27F9" w:rsidRDefault="004743A7">
          <w:pPr>
            <w:pStyle w:val="0E554894BB6148FE9A090B1F8FE39DD3"/>
          </w:pPr>
          <w:r w:rsidRPr="00FB6243">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E4806"/>
    <w:rsid w:val="002B3115"/>
    <w:rsid w:val="004743A7"/>
    <w:rsid w:val="004840DD"/>
    <w:rsid w:val="004E4806"/>
    <w:rsid w:val="00760DF2"/>
    <w:rsid w:val="007C4C75"/>
    <w:rsid w:val="00BF44B8"/>
    <w:rsid w:val="00C44FC8"/>
    <w:rsid w:val="00CF36C7"/>
    <w:rsid w:val="00E0212B"/>
    <w:rsid w:val="00EE27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3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E27F9"/>
    <w:rPr>
      <w:color w:val="808080"/>
    </w:rPr>
  </w:style>
  <w:style w:type="paragraph" w:customStyle="1" w:styleId="BA77BAB6469740FC8866DF23DD24BF25">
    <w:name w:val="BA77BAB6469740FC8866DF23DD24BF25"/>
    <w:rsid w:val="004743A7"/>
    <w:pPr>
      <w:widowControl w:val="0"/>
      <w:jc w:val="both"/>
    </w:pPr>
  </w:style>
  <w:style w:type="paragraph" w:customStyle="1" w:styleId="0E554894BB6148FE9A090B1F8FE39DD3">
    <w:name w:val="0E554894BB6148FE9A090B1F8FE39DD3"/>
    <w:rsid w:val="004743A7"/>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xmlns="">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9FEF6-0E41-4F5E-9D2E-6043C04ED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8</TotalTime>
  <Pages>35</Pages>
  <Words>6431</Words>
  <Characters>36661</Characters>
  <Application>Microsoft Office Word</Application>
  <DocSecurity>0</DocSecurity>
  <Lines>305</Lines>
  <Paragraphs>86</Paragraphs>
  <ScaleCrop>false</ScaleCrop>
  <Company>PCMI</Company>
  <LinksUpToDate>false</LinksUpToDate>
  <CharactersWithSpaces>43006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subject/>
  <dc:creator>lenovo</dc:creator>
  <cp:keywords/>
  <dc:description>&lt;config cover="true" show_menu="true" version="1.0.0" doctype="SDKXY"&gt;_x000d_
&lt;/config&gt;</dc:description>
  <cp:lastModifiedBy>全国消毒技术与设备标准化技术委员会</cp:lastModifiedBy>
  <cp:revision>22</cp:revision>
  <cp:lastPrinted>2022-09-09T03:30:00Z</cp:lastPrinted>
  <dcterms:created xsi:type="dcterms:W3CDTF">2022-09-01T00:42:00Z</dcterms:created>
  <dcterms:modified xsi:type="dcterms:W3CDTF">2022-09-09T03:30:00Z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false</vt:lpwstr>
  </property>
</Properties>
</file>