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angSong_GB2312" w:hAnsi="宋体" w:eastAsia="FangSong_GB2312"/>
          <w:b/>
          <w:sz w:val="28"/>
          <w:szCs w:val="28"/>
        </w:rPr>
      </w:pPr>
      <w:r>
        <w:rPr>
          <w:rFonts w:hint="eastAsia" w:ascii="FangSong_GB2312" w:hAnsi="宋体" w:eastAsia="FangSong_GB2312"/>
          <w:b/>
          <w:bCs/>
          <w:sz w:val="28"/>
          <w:szCs w:val="28"/>
        </w:rPr>
        <w:t>《</w:t>
      </w:r>
      <w:r>
        <w:rPr>
          <w:rFonts w:hint="eastAsia" w:ascii="FangSong_GB2312" w:hAnsi="宋体" w:eastAsiaTheme="minorEastAsia"/>
          <w:b/>
          <w:bCs/>
          <w:sz w:val="28"/>
          <w:szCs w:val="28"/>
        </w:rPr>
        <w:t>透析器血液相容性试验</w:t>
      </w:r>
      <w:r>
        <w:rPr>
          <w:rFonts w:hint="eastAsia" w:ascii="FangSong_GB2312" w:hAnsi="宋体" w:eastAsia="FangSong_GB2312"/>
          <w:b/>
          <w:bCs/>
          <w:sz w:val="28"/>
          <w:szCs w:val="28"/>
        </w:rPr>
        <w:t>》行业标准起草</w:t>
      </w:r>
      <w:r>
        <w:rPr>
          <w:rFonts w:hint="eastAsia" w:ascii="FangSong_GB2312" w:hAnsi="宋体" w:eastAsia="FangSong_GB2312"/>
          <w:b/>
          <w:sz w:val="28"/>
          <w:szCs w:val="28"/>
        </w:rPr>
        <w:t>编制说明</w:t>
      </w:r>
    </w:p>
    <w:p>
      <w:pPr>
        <w:jc w:val="center"/>
        <w:rPr>
          <w:rFonts w:ascii="FangSong_GB2312" w:hAnsi="宋体" w:eastAsia="FangSong_GB2312"/>
          <w:b/>
          <w:sz w:val="28"/>
          <w:szCs w:val="28"/>
        </w:rPr>
      </w:pPr>
    </w:p>
    <w:p>
      <w:pPr>
        <w:numPr>
          <w:ilvl w:val="0"/>
          <w:numId w:val="1"/>
        </w:numPr>
        <w:tabs>
          <w:tab w:val="left" w:pos="180"/>
        </w:tabs>
        <w:ind w:firstLine="482" w:firstLineChars="200"/>
        <w:rPr>
          <w:rFonts w:ascii="FangSong_GB2312" w:hAnsi="宋体" w:eastAsia="FangSong_GB2312"/>
          <w:b/>
          <w:bCs/>
          <w:sz w:val="24"/>
        </w:rPr>
      </w:pPr>
      <w:r>
        <w:rPr>
          <w:rFonts w:hint="eastAsia" w:ascii="FangSong_GB2312" w:hAnsi="宋体" w:eastAsia="FangSong_GB2312"/>
          <w:b/>
          <w:bCs/>
          <w:sz w:val="24"/>
        </w:rPr>
        <w:t>工作简况</w:t>
      </w:r>
    </w:p>
    <w:p>
      <w:pPr>
        <w:snapToGrid w:val="0"/>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rPr>
        <w:t>《透析器血液相容性试验</w:t>
      </w:r>
      <w:r>
        <w:rPr>
          <w:rFonts w:hint="eastAsia" w:asciiTheme="minorEastAsia" w:hAnsiTheme="minorEastAsia" w:eastAsiaTheme="minorEastAsia"/>
          <w:sz w:val="24"/>
          <w:highlight w:val="none"/>
        </w:rPr>
        <w:t>》是根据《</w:t>
      </w:r>
      <w:r>
        <w:rPr>
          <w:rFonts w:hint="eastAsia" w:asciiTheme="minorEastAsia" w:hAnsiTheme="minorEastAsia" w:eastAsiaTheme="minorEastAsia"/>
          <w:sz w:val="24"/>
          <w:highlight w:val="none"/>
          <w:lang w:val="en-US" w:eastAsia="zh-CN"/>
        </w:rPr>
        <w:t>国家药监局综合司关于印发2022年医疗器械行业标准制修订计划项目的通知</w:t>
      </w:r>
      <w:r>
        <w:rPr>
          <w:rFonts w:hint="eastAsia" w:asciiTheme="minorEastAsia" w:hAnsiTheme="minorEastAsia" w:eastAsiaTheme="minorEastAsia"/>
          <w:sz w:val="24"/>
          <w:highlight w:val="none"/>
        </w:rPr>
        <w:t>》的要求，以及全国医用体外循环设备标准化技术委员会（SAC/TC 158）2022年的工作安排进行起草的，标准立项编号为N2022089-T-gz。</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highlight w:val="none"/>
        </w:rPr>
        <w:t>本标准在起草过程中与生产企业、医院临床机构、检测机构等领域专家进行了充分交流，在深入研讨的基础上结合产品的使用情况，经标准起草小组讨论后形成了标准草</w:t>
      </w:r>
      <w:r>
        <w:rPr>
          <w:rFonts w:hint="eastAsia" w:asciiTheme="minorEastAsia" w:hAnsiTheme="minorEastAsia" w:eastAsiaTheme="minorEastAsia"/>
          <w:sz w:val="24"/>
        </w:rPr>
        <w:t>案。</w:t>
      </w:r>
    </w:p>
    <w:p>
      <w:pPr>
        <w:numPr>
          <w:ilvl w:val="0"/>
          <w:numId w:val="1"/>
        </w:numPr>
        <w:spacing w:line="360" w:lineRule="auto"/>
        <w:ind w:firstLine="482" w:firstLineChars="200"/>
        <w:rPr>
          <w:rFonts w:ascii="FangSong_GB2312" w:hAnsi="宋体" w:eastAsia="FangSong_GB2312"/>
          <w:b/>
          <w:bCs/>
          <w:sz w:val="24"/>
        </w:rPr>
      </w:pPr>
      <w:r>
        <w:rPr>
          <w:rFonts w:hint="eastAsia" w:ascii="FangSong_GB2312" w:hAnsi="宋体" w:eastAsia="FangSong_GB2312"/>
          <w:b/>
          <w:bCs/>
          <w:sz w:val="24"/>
        </w:rPr>
        <w:t>标准编制原则和确定标准主要内容</w:t>
      </w:r>
    </w:p>
    <w:p>
      <w:pPr>
        <w:autoSpaceDE w:val="0"/>
        <w:autoSpaceDN w:val="0"/>
        <w:adjustRightIn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本标准的制订充分参考GB/T 16886.4-2003《医疗器械生物学评价 第4部分：与血液相互作用试验选择》和</w:t>
      </w:r>
      <w:r>
        <w:rPr>
          <w:rFonts w:eastAsiaTheme="minorEastAsia"/>
          <w:sz w:val="24"/>
        </w:rPr>
        <w:t>ISO10993.4-2017</w:t>
      </w:r>
      <w:r>
        <w:rPr>
          <w:rFonts w:hAnsiTheme="minorEastAsia" w:eastAsiaTheme="minorEastAsia"/>
          <w:sz w:val="24"/>
        </w:rPr>
        <w:t>《</w:t>
      </w:r>
      <w:r>
        <w:rPr>
          <w:rFonts w:eastAsiaTheme="minorEastAsia"/>
          <w:sz w:val="24"/>
        </w:rPr>
        <w:t>Biological evaluation of medical devices-Part 4:Selection of tests for interactions with blood</w:t>
      </w:r>
      <w:r>
        <w:rPr>
          <w:rFonts w:hAnsiTheme="minorEastAsia" w:eastAsiaTheme="minorEastAsia"/>
          <w:sz w:val="24"/>
        </w:rPr>
        <w:t>》</w:t>
      </w:r>
      <w:r>
        <w:rPr>
          <w:rFonts w:hint="eastAsia" w:asciiTheme="minorEastAsia" w:hAnsiTheme="minorEastAsia" w:eastAsiaTheme="minorEastAsia"/>
          <w:sz w:val="24"/>
        </w:rPr>
        <w:t>中血液相容性试验的指导原则，编写格式上根据中国国家标准GB/T</w:t>
      </w:r>
      <w:r>
        <w:rPr>
          <w:rFonts w:asciiTheme="minorEastAsia" w:hAnsiTheme="minorEastAsia" w:eastAsiaTheme="minorEastAsia"/>
          <w:sz w:val="24"/>
        </w:rPr>
        <w:t xml:space="preserve"> </w:t>
      </w:r>
      <w:r>
        <w:rPr>
          <w:rFonts w:hint="eastAsia" w:asciiTheme="minorEastAsia" w:hAnsiTheme="minorEastAsia" w:eastAsiaTheme="minorEastAsia"/>
          <w:sz w:val="24"/>
        </w:rPr>
        <w:t>1.1-20</w:t>
      </w:r>
      <w:r>
        <w:rPr>
          <w:rFonts w:asciiTheme="minorEastAsia" w:hAnsiTheme="minorEastAsia" w:eastAsiaTheme="minorEastAsia"/>
          <w:sz w:val="24"/>
        </w:rPr>
        <w:t>20</w:t>
      </w:r>
      <w:r>
        <w:rPr>
          <w:rFonts w:hint="eastAsia" w:asciiTheme="minorEastAsia" w:hAnsiTheme="minorEastAsia" w:eastAsiaTheme="minorEastAsia"/>
          <w:sz w:val="24"/>
        </w:rPr>
        <w:t>《标准化工作导则 第1部分：标准文件的结构和起草规则》的有关要求作了一些编辑性修改。</w:t>
      </w:r>
    </w:p>
    <w:p>
      <w:pPr>
        <w:autoSpaceDE w:val="0"/>
        <w:autoSpaceDN w:val="0"/>
        <w:adjustRightIn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标准主要内容全部依照GB/T 16886.4-2003中关于透析器血液相容性试验的要求制订。</w:t>
      </w:r>
    </w:p>
    <w:p>
      <w:pPr>
        <w:numPr>
          <w:ilvl w:val="0"/>
          <w:numId w:val="1"/>
        </w:numPr>
        <w:spacing w:line="360" w:lineRule="auto"/>
        <w:ind w:firstLine="482" w:firstLineChars="200"/>
        <w:rPr>
          <w:rFonts w:ascii="FangSong_GB2312" w:hAnsi="宋体" w:eastAsia="FangSong_GB2312"/>
          <w:b/>
          <w:bCs/>
          <w:sz w:val="24"/>
        </w:rPr>
      </w:pPr>
      <w:r>
        <w:rPr>
          <w:rFonts w:hint="eastAsia" w:ascii="FangSong_GB2312" w:hAnsi="宋体" w:eastAsia="FangSong_GB2312"/>
          <w:b/>
          <w:bCs/>
          <w:sz w:val="24"/>
        </w:rPr>
        <w:t>预期的经济、社会效果等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透析器是血液透析治疗中的核心部件，血液和透析液正是通过其中的中空纤维膜进行物质交换来达到治疗目的。为达到充分的透析作用，中空纤维的膜面积相对较大，血液透析过程即是中空纤维膜与循环血液广泛接触</w:t>
      </w:r>
      <w:bookmarkStart w:id="0" w:name="_GoBack"/>
      <w:bookmarkEnd w:id="0"/>
      <w:r>
        <w:rPr>
          <w:rFonts w:hint="eastAsia" w:asciiTheme="minorEastAsia" w:hAnsiTheme="minorEastAsia" w:eastAsiaTheme="minorEastAsia"/>
          <w:sz w:val="24"/>
        </w:rPr>
        <w:t>的过程。在此过程中，血液成分不同程度地被破坏、被激活。肾衰病人通常每周透析3次，若没有换肾的机会，透析将持续终生。透析器的血液相容性直接关系到病人的生存质量和生存寿命。基于上述原因，需要规范透析器的血液相容性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本标准的制订有助于对透析器的血液相容性进行控制。标准中的方法应用于产品研发、产品的出厂质控及监管中心透析器临床前检测，对行业发展及透析器的临床应用安全有重要意义。</w:t>
      </w:r>
    </w:p>
    <w:p>
      <w:pPr>
        <w:numPr>
          <w:ilvl w:val="0"/>
          <w:numId w:val="1"/>
        </w:numPr>
        <w:spacing w:line="360" w:lineRule="auto"/>
        <w:ind w:firstLine="482" w:firstLineChars="200"/>
        <w:rPr>
          <w:rFonts w:ascii="FangSong_GB2312" w:hAnsi="宋体" w:eastAsia="FangSong_GB2312"/>
          <w:b/>
          <w:bCs/>
          <w:sz w:val="24"/>
        </w:rPr>
      </w:pPr>
      <w:r>
        <w:rPr>
          <w:rFonts w:hint="eastAsia" w:ascii="FangSong_GB2312" w:hAnsi="宋体" w:eastAsia="FangSong_GB2312"/>
          <w:b/>
          <w:bCs/>
          <w:sz w:val="24"/>
        </w:rPr>
        <w:t>采用国际标准或国外先进标准的程度</w:t>
      </w:r>
    </w:p>
    <w:p>
      <w:pPr>
        <w:spacing w:line="360" w:lineRule="auto"/>
        <w:ind w:firstLine="480" w:firstLineChars="200"/>
        <w:rPr>
          <w:rFonts w:ascii="FangSong_GB2312" w:hAnsi="宋体" w:eastAsia="FangSong_GB2312"/>
          <w:sz w:val="24"/>
        </w:rPr>
      </w:pPr>
      <w:r>
        <w:rPr>
          <w:rFonts w:hint="eastAsia" w:ascii="FangSong_GB2312" w:hAnsi="宋体" w:eastAsia="FangSong_GB2312"/>
          <w:sz w:val="24"/>
        </w:rPr>
        <w:t>本标准</w:t>
      </w:r>
      <w:r>
        <w:rPr>
          <w:rFonts w:hint="eastAsia" w:ascii="FangSong_GB2312" w:hAnsi="宋体" w:eastAsiaTheme="minorEastAsia"/>
          <w:sz w:val="24"/>
        </w:rPr>
        <w:t>的制订参考了</w:t>
      </w:r>
      <w:r>
        <w:rPr>
          <w:rFonts w:eastAsiaTheme="minorEastAsia"/>
          <w:sz w:val="24"/>
        </w:rPr>
        <w:t>ISO10993.4-2017</w:t>
      </w:r>
      <w:r>
        <w:rPr>
          <w:rFonts w:hAnsiTheme="minorEastAsia" w:eastAsiaTheme="minorEastAsia"/>
          <w:sz w:val="24"/>
        </w:rPr>
        <w:t>《</w:t>
      </w:r>
      <w:r>
        <w:rPr>
          <w:rFonts w:eastAsiaTheme="minorEastAsia"/>
          <w:sz w:val="24"/>
        </w:rPr>
        <w:t>Biological evaluation of medical devices-Part 4:Selection of tests for interactions with blood</w:t>
      </w:r>
      <w:r>
        <w:rPr>
          <w:rFonts w:hAnsiTheme="minorEastAsia" w:eastAsiaTheme="minorEastAsia"/>
          <w:sz w:val="24"/>
        </w:rPr>
        <w:t>》</w:t>
      </w:r>
      <w:r>
        <w:rPr>
          <w:rFonts w:hint="eastAsia" w:asciiTheme="minorEastAsia" w:hAnsiTheme="minorEastAsia" w:eastAsiaTheme="minorEastAsia"/>
          <w:sz w:val="24"/>
        </w:rPr>
        <w:t>中血液相容性试验的指导原则</w:t>
      </w:r>
      <w:r>
        <w:rPr>
          <w:rFonts w:hint="eastAsia" w:ascii="FangSong_GB2312" w:hAnsi="宋体" w:eastAsia="FangSong_GB2312"/>
          <w:sz w:val="24"/>
        </w:rPr>
        <w:t>。</w:t>
      </w:r>
    </w:p>
    <w:p>
      <w:pPr>
        <w:numPr>
          <w:ilvl w:val="0"/>
          <w:numId w:val="1"/>
        </w:numPr>
        <w:spacing w:line="360" w:lineRule="auto"/>
        <w:ind w:firstLine="482" w:firstLineChars="200"/>
        <w:rPr>
          <w:rFonts w:ascii="FangSong_GB2312" w:hAnsi="宋体" w:eastAsia="FangSong_GB2312"/>
          <w:b/>
          <w:bCs/>
          <w:sz w:val="24"/>
        </w:rPr>
      </w:pPr>
      <w:r>
        <w:rPr>
          <w:rFonts w:hint="eastAsia" w:ascii="FangSong_GB2312" w:hAnsi="宋体" w:eastAsia="FangSong_GB2312"/>
          <w:b/>
          <w:bCs/>
          <w:sz w:val="24"/>
        </w:rPr>
        <w:t>与有关现行法律、法规、强制性国家/行业标准的协调情况</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与有关的现行法律、法规和强制性国家标准无冲突和交叉。</w:t>
      </w:r>
    </w:p>
    <w:p>
      <w:pPr>
        <w:numPr>
          <w:ilvl w:val="0"/>
          <w:numId w:val="1"/>
        </w:numPr>
        <w:spacing w:line="360" w:lineRule="auto"/>
        <w:ind w:firstLine="482" w:firstLineChars="200"/>
        <w:rPr>
          <w:rFonts w:ascii="FangSong_GB2312" w:hAnsi="宋体" w:eastAsia="FangSong_GB2312"/>
          <w:b/>
          <w:bCs/>
          <w:sz w:val="24"/>
        </w:rPr>
      </w:pPr>
      <w:r>
        <w:rPr>
          <w:rFonts w:hint="eastAsia" w:ascii="FangSong_GB2312" w:hAnsi="宋体" w:eastAsia="FangSong_GB2312"/>
          <w:b/>
          <w:bCs/>
          <w:sz w:val="24"/>
        </w:rPr>
        <w:t xml:space="preserve">重大分歧意见的处理情况及依据  </w:t>
      </w:r>
    </w:p>
    <w:p>
      <w:pPr>
        <w:spacing w:line="360" w:lineRule="auto"/>
        <w:ind w:firstLine="480" w:firstLineChars="200"/>
        <w:rPr>
          <w:rFonts w:ascii="FangSong_GB2312" w:hAnsi="宋体" w:eastAsia="FangSong_GB2312"/>
          <w:b/>
          <w:bCs/>
          <w:sz w:val="24"/>
        </w:rPr>
      </w:pPr>
      <w:r>
        <w:rPr>
          <w:rFonts w:hint="eastAsia" w:asciiTheme="minorEastAsia" w:hAnsiTheme="minorEastAsia" w:eastAsiaTheme="minorEastAsia"/>
          <w:sz w:val="24"/>
        </w:rPr>
        <w:t>无。</w:t>
      </w:r>
    </w:p>
    <w:p>
      <w:pPr>
        <w:numPr>
          <w:ilvl w:val="0"/>
          <w:numId w:val="1"/>
        </w:numPr>
        <w:spacing w:line="360" w:lineRule="auto"/>
        <w:ind w:firstLine="482" w:firstLineChars="200"/>
        <w:rPr>
          <w:rFonts w:ascii="FangSong_GB2312" w:hAnsi="宋体" w:eastAsia="FangSong_GB2312"/>
          <w:b/>
          <w:bCs/>
          <w:sz w:val="24"/>
        </w:rPr>
      </w:pPr>
      <w:r>
        <w:rPr>
          <w:rFonts w:hint="eastAsia" w:ascii="FangSong_GB2312" w:hAnsi="宋体" w:eastAsia="FangSong_GB2312"/>
          <w:b/>
          <w:bCs/>
          <w:sz w:val="24"/>
        </w:rPr>
        <w:t>作为强制性或推荐性标准的建议</w:t>
      </w:r>
    </w:p>
    <w:p>
      <w:pPr>
        <w:spacing w:line="360" w:lineRule="auto"/>
        <w:ind w:firstLine="480" w:firstLineChars="200"/>
        <w:rPr>
          <w:rFonts w:ascii="FangSong_GB2312" w:hAnsi="宋体" w:eastAsia="FangSong_GB2312"/>
          <w:sz w:val="24"/>
        </w:rPr>
      </w:pPr>
      <w:r>
        <w:rPr>
          <w:rFonts w:hint="eastAsia" w:asciiTheme="minorEastAsia" w:hAnsiTheme="minorEastAsia" w:eastAsiaTheme="minorEastAsia"/>
          <w:sz w:val="24"/>
        </w:rPr>
        <w:t>计划起草的行业标准预计将对我国今后几年该领域的发展起到重要的指导作用，建议作为推荐性标准供相关机构参考。</w:t>
      </w:r>
    </w:p>
    <w:p>
      <w:pPr>
        <w:numPr>
          <w:ilvl w:val="0"/>
          <w:numId w:val="1"/>
        </w:numPr>
        <w:spacing w:line="360" w:lineRule="auto"/>
        <w:ind w:firstLine="482" w:firstLineChars="200"/>
        <w:rPr>
          <w:rFonts w:ascii="FangSong_GB2312" w:hAnsi="宋体" w:eastAsia="FangSong_GB2312"/>
          <w:b/>
          <w:bCs/>
          <w:sz w:val="24"/>
        </w:rPr>
      </w:pPr>
      <w:r>
        <w:rPr>
          <w:rFonts w:hint="eastAsia" w:ascii="FangSong_GB2312" w:hAnsi="宋体" w:eastAsia="FangSong_GB2312"/>
          <w:b/>
          <w:bCs/>
          <w:sz w:val="24"/>
        </w:rPr>
        <w:t>贯彻执行标准的建议</w:t>
      </w:r>
    </w:p>
    <w:p>
      <w:pPr>
        <w:spacing w:line="360" w:lineRule="auto"/>
        <w:ind w:left="480"/>
        <w:rPr>
          <w:rFonts w:asciiTheme="minorEastAsia" w:hAnsiTheme="minorEastAsia" w:eastAsiaTheme="minorEastAsia"/>
          <w:sz w:val="24"/>
        </w:rPr>
      </w:pPr>
      <w:r>
        <w:rPr>
          <w:rFonts w:hint="eastAsia" w:asciiTheme="minorEastAsia" w:hAnsiTheme="minorEastAsia" w:eastAsiaTheme="minorEastAsia"/>
          <w:sz w:val="24"/>
        </w:rPr>
        <w:t>建议在标准发布后实施前进行标准宣贯。</w:t>
      </w:r>
    </w:p>
    <w:p>
      <w:pPr>
        <w:spacing w:line="360" w:lineRule="auto"/>
        <w:ind w:left="480"/>
        <w:rPr>
          <w:rFonts w:ascii="FangSong_GB2312" w:hAnsi="宋体" w:eastAsiaTheme="minorEastAsia"/>
          <w:bCs/>
          <w:sz w:val="24"/>
        </w:rPr>
      </w:pPr>
      <w:r>
        <w:rPr>
          <w:rFonts w:hint="eastAsia" w:asciiTheme="minorEastAsia" w:hAnsiTheme="minorEastAsia" w:eastAsiaTheme="minorEastAsia"/>
          <w:sz w:val="24"/>
        </w:rPr>
        <w:t>建议标准自发布后</w:t>
      </w:r>
      <w:r>
        <w:rPr>
          <w:rFonts w:hint="eastAsia" w:ascii="FangSong_GB2312" w:hAnsi="宋体" w:eastAsiaTheme="minorEastAsia"/>
          <w:bCs/>
          <w:sz w:val="24"/>
        </w:rPr>
        <w:t>个12个月实施。</w:t>
      </w:r>
    </w:p>
    <w:p>
      <w:pPr>
        <w:numPr>
          <w:ilvl w:val="0"/>
          <w:numId w:val="1"/>
        </w:numPr>
        <w:spacing w:line="360" w:lineRule="auto"/>
        <w:ind w:firstLine="482" w:firstLineChars="200"/>
        <w:rPr>
          <w:rFonts w:ascii="FangSong_GB2312" w:hAnsi="宋体" w:eastAsia="FangSong_GB2312"/>
          <w:b/>
          <w:bCs/>
          <w:sz w:val="24"/>
        </w:rPr>
      </w:pPr>
      <w:r>
        <w:rPr>
          <w:rFonts w:hint="eastAsia" w:ascii="FangSong_GB2312" w:hAnsi="宋体" w:eastAsia="FangSong_GB2312"/>
          <w:b/>
          <w:bCs/>
          <w:sz w:val="24"/>
        </w:rPr>
        <w:t>代替或废止有关标准的建议</w:t>
      </w:r>
    </w:p>
    <w:p>
      <w:pPr>
        <w:spacing w:line="360" w:lineRule="auto"/>
        <w:rPr>
          <w:rFonts w:ascii="FangSong_GB2312" w:hAnsi="宋体" w:eastAsiaTheme="minorEastAsia"/>
          <w:sz w:val="24"/>
        </w:rPr>
      </w:pPr>
      <w:r>
        <w:rPr>
          <w:rFonts w:hint="eastAsia" w:ascii="FangSong_GB2312" w:hAnsi="宋体" w:eastAsiaTheme="minorEastAsia"/>
          <w:sz w:val="24"/>
        </w:rPr>
        <w:t xml:space="preserve">    无。</w:t>
      </w:r>
    </w:p>
    <w:p>
      <w:pPr>
        <w:numPr>
          <w:ilvl w:val="0"/>
          <w:numId w:val="1"/>
        </w:numPr>
        <w:spacing w:line="360" w:lineRule="auto"/>
        <w:ind w:firstLine="482" w:firstLineChars="200"/>
        <w:rPr>
          <w:rFonts w:ascii="FangSong_GB2312" w:hAnsi="宋体" w:eastAsia="FangSong_GB2312"/>
          <w:b/>
          <w:bCs/>
          <w:sz w:val="24"/>
        </w:rPr>
      </w:pPr>
      <w:r>
        <w:rPr>
          <w:rFonts w:hint="eastAsia" w:ascii="FangSong_GB2312" w:hAnsi="宋体" w:eastAsia="FangSong_GB2312"/>
          <w:b/>
          <w:bCs/>
          <w:sz w:val="24"/>
        </w:rPr>
        <w:t>其它应予说明的问题</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无。</w:t>
      </w:r>
    </w:p>
    <w:p>
      <w:pPr>
        <w:spacing w:line="360" w:lineRule="auto"/>
        <w:ind w:left="359" w:leftChars="171" w:firstLine="480" w:firstLineChars="200"/>
        <w:rPr>
          <w:rFonts w:ascii="FangSong_GB2312" w:hAnsi="宋体" w:eastAsia="FangSong_GB2312"/>
          <w:sz w:val="24"/>
        </w:rPr>
      </w:pPr>
    </w:p>
    <w:p>
      <w:pPr>
        <w:spacing w:line="360" w:lineRule="auto"/>
        <w:rPr>
          <w:rFonts w:ascii="FangSong_GB2312" w:hAnsi="宋体" w:eastAsia="FangSong_GB2312"/>
          <w:sz w:val="24"/>
        </w:rPr>
      </w:pPr>
    </w:p>
    <w:p>
      <w:pPr>
        <w:spacing w:line="360" w:lineRule="auto"/>
        <w:ind w:left="359" w:leftChars="171" w:firstLine="480" w:firstLineChars="200"/>
        <w:rPr>
          <w:rFonts w:ascii="FangSong_GB2312" w:hAnsi="宋体" w:eastAsia="FangSong_GB2312"/>
          <w:sz w:val="24"/>
        </w:rPr>
      </w:pPr>
    </w:p>
    <w:p>
      <w:pPr>
        <w:spacing w:line="360" w:lineRule="auto"/>
        <w:ind w:left="359" w:leftChars="171" w:firstLine="3840" w:firstLineChars="1600"/>
        <w:jc w:val="left"/>
        <w:rPr>
          <w:rFonts w:asciiTheme="minorEastAsia" w:hAnsiTheme="minorEastAsia" w:eastAsiaTheme="minorEastAsia"/>
          <w:sz w:val="24"/>
        </w:rPr>
      </w:pPr>
      <w:r>
        <w:rPr>
          <w:rFonts w:hint="eastAsia" w:asciiTheme="minorEastAsia" w:hAnsiTheme="minorEastAsia" w:eastAsiaTheme="minorEastAsia"/>
          <w:sz w:val="24"/>
        </w:rPr>
        <w:t>全国医用体外循环设备标准化技术委员会</w:t>
      </w:r>
    </w:p>
    <w:p>
      <w:pPr>
        <w:spacing w:line="360" w:lineRule="auto"/>
        <w:ind w:left="359" w:leftChars="171"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20</w:t>
      </w:r>
      <w:r>
        <w:rPr>
          <w:rFonts w:hint="eastAsia" w:asciiTheme="minorEastAsia" w:hAnsiTheme="minorEastAsia" w:eastAsiaTheme="minorEastAsia"/>
          <w:sz w:val="24"/>
        </w:rPr>
        <w:t>22-5-5</w:t>
      </w:r>
    </w:p>
    <w:p>
      <w:pPr>
        <w:rPr>
          <w:rFonts w:ascii="FangSong_GB2312" w:eastAsia="FangSong_GB2312"/>
          <w:sz w:val="24"/>
        </w:rPr>
      </w:pPr>
    </w:p>
    <w:sectPr>
      <w:pgSz w:w="11907" w:h="16839"/>
      <w:pgMar w:top="1418" w:right="1134" w:bottom="1134" w:left="1418" w:header="1418"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56969"/>
    <w:multiLevelType w:val="singleLevel"/>
    <w:tmpl w:val="59E5696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505B4"/>
    <w:rsid w:val="000031E3"/>
    <w:rsid w:val="00023822"/>
    <w:rsid w:val="000317B3"/>
    <w:rsid w:val="00040F62"/>
    <w:rsid w:val="00043B85"/>
    <w:rsid w:val="00050B36"/>
    <w:rsid w:val="00063378"/>
    <w:rsid w:val="00077BC0"/>
    <w:rsid w:val="000858FA"/>
    <w:rsid w:val="000A07E4"/>
    <w:rsid w:val="000A0D06"/>
    <w:rsid w:val="000A665D"/>
    <w:rsid w:val="000C6638"/>
    <w:rsid w:val="000D5631"/>
    <w:rsid w:val="000E70AF"/>
    <w:rsid w:val="000E76F6"/>
    <w:rsid w:val="00103E3F"/>
    <w:rsid w:val="001050DA"/>
    <w:rsid w:val="00121C35"/>
    <w:rsid w:val="0012776A"/>
    <w:rsid w:val="001505B4"/>
    <w:rsid w:val="00162B10"/>
    <w:rsid w:val="00183060"/>
    <w:rsid w:val="00196037"/>
    <w:rsid w:val="0019634D"/>
    <w:rsid w:val="001B6467"/>
    <w:rsid w:val="001F0705"/>
    <w:rsid w:val="0024458C"/>
    <w:rsid w:val="002509FB"/>
    <w:rsid w:val="002744E1"/>
    <w:rsid w:val="00276B59"/>
    <w:rsid w:val="002820A3"/>
    <w:rsid w:val="002875C9"/>
    <w:rsid w:val="00292C5D"/>
    <w:rsid w:val="00294EE2"/>
    <w:rsid w:val="00297879"/>
    <w:rsid w:val="002B112C"/>
    <w:rsid w:val="002B31C0"/>
    <w:rsid w:val="002D3696"/>
    <w:rsid w:val="002E0B35"/>
    <w:rsid w:val="002E361C"/>
    <w:rsid w:val="002F06A6"/>
    <w:rsid w:val="00301050"/>
    <w:rsid w:val="00303EC0"/>
    <w:rsid w:val="00304D17"/>
    <w:rsid w:val="003270A5"/>
    <w:rsid w:val="003353D1"/>
    <w:rsid w:val="00342379"/>
    <w:rsid w:val="003549CD"/>
    <w:rsid w:val="00374714"/>
    <w:rsid w:val="00381A77"/>
    <w:rsid w:val="003A40DB"/>
    <w:rsid w:val="003A6E0E"/>
    <w:rsid w:val="003B160D"/>
    <w:rsid w:val="003D503F"/>
    <w:rsid w:val="003D721E"/>
    <w:rsid w:val="003E5891"/>
    <w:rsid w:val="003F5108"/>
    <w:rsid w:val="003F63E4"/>
    <w:rsid w:val="00413360"/>
    <w:rsid w:val="00445192"/>
    <w:rsid w:val="00450AD4"/>
    <w:rsid w:val="004779B1"/>
    <w:rsid w:val="004C7AB9"/>
    <w:rsid w:val="004D5E16"/>
    <w:rsid w:val="004E5057"/>
    <w:rsid w:val="004F141E"/>
    <w:rsid w:val="00504CDB"/>
    <w:rsid w:val="005339E9"/>
    <w:rsid w:val="005425AD"/>
    <w:rsid w:val="00543ECC"/>
    <w:rsid w:val="00560909"/>
    <w:rsid w:val="00565FA7"/>
    <w:rsid w:val="0059699A"/>
    <w:rsid w:val="005B1EE0"/>
    <w:rsid w:val="005B5ED5"/>
    <w:rsid w:val="005C23B1"/>
    <w:rsid w:val="005D3E1F"/>
    <w:rsid w:val="005D539F"/>
    <w:rsid w:val="005E4255"/>
    <w:rsid w:val="005E55CF"/>
    <w:rsid w:val="00601E22"/>
    <w:rsid w:val="006051AF"/>
    <w:rsid w:val="00673DBB"/>
    <w:rsid w:val="00686B1C"/>
    <w:rsid w:val="00694BC4"/>
    <w:rsid w:val="006B76E7"/>
    <w:rsid w:val="006D091D"/>
    <w:rsid w:val="006D3AAC"/>
    <w:rsid w:val="006D5FD9"/>
    <w:rsid w:val="006E1153"/>
    <w:rsid w:val="006E3866"/>
    <w:rsid w:val="006F3F59"/>
    <w:rsid w:val="007038B0"/>
    <w:rsid w:val="007118EE"/>
    <w:rsid w:val="00715CA9"/>
    <w:rsid w:val="00743211"/>
    <w:rsid w:val="00757FDA"/>
    <w:rsid w:val="00776BAB"/>
    <w:rsid w:val="007A61DF"/>
    <w:rsid w:val="007B38CE"/>
    <w:rsid w:val="007C35B2"/>
    <w:rsid w:val="007C4729"/>
    <w:rsid w:val="007C4CF5"/>
    <w:rsid w:val="007C566F"/>
    <w:rsid w:val="007E26C9"/>
    <w:rsid w:val="007E2FBC"/>
    <w:rsid w:val="008152F2"/>
    <w:rsid w:val="008232C2"/>
    <w:rsid w:val="00830A3A"/>
    <w:rsid w:val="0086647F"/>
    <w:rsid w:val="00881D0A"/>
    <w:rsid w:val="008C012A"/>
    <w:rsid w:val="008C414E"/>
    <w:rsid w:val="008C415C"/>
    <w:rsid w:val="008D6CDF"/>
    <w:rsid w:val="008E1743"/>
    <w:rsid w:val="009050FE"/>
    <w:rsid w:val="00945B33"/>
    <w:rsid w:val="0095002E"/>
    <w:rsid w:val="00953608"/>
    <w:rsid w:val="00973F19"/>
    <w:rsid w:val="00975A37"/>
    <w:rsid w:val="00976029"/>
    <w:rsid w:val="009904FE"/>
    <w:rsid w:val="00993E92"/>
    <w:rsid w:val="009A44D7"/>
    <w:rsid w:val="009B36B7"/>
    <w:rsid w:val="009B58C5"/>
    <w:rsid w:val="009D0E69"/>
    <w:rsid w:val="009D0E6D"/>
    <w:rsid w:val="009D1BEB"/>
    <w:rsid w:val="009E6A3B"/>
    <w:rsid w:val="009F3C78"/>
    <w:rsid w:val="009F4D09"/>
    <w:rsid w:val="009F6049"/>
    <w:rsid w:val="00A02E32"/>
    <w:rsid w:val="00A06A6B"/>
    <w:rsid w:val="00A235B4"/>
    <w:rsid w:val="00A41CD8"/>
    <w:rsid w:val="00A436D6"/>
    <w:rsid w:val="00A45C07"/>
    <w:rsid w:val="00A51257"/>
    <w:rsid w:val="00A546C6"/>
    <w:rsid w:val="00A75C99"/>
    <w:rsid w:val="00A90343"/>
    <w:rsid w:val="00A970E4"/>
    <w:rsid w:val="00A97168"/>
    <w:rsid w:val="00AA081D"/>
    <w:rsid w:val="00AB3D9A"/>
    <w:rsid w:val="00AB4E9D"/>
    <w:rsid w:val="00AC5291"/>
    <w:rsid w:val="00B15F45"/>
    <w:rsid w:val="00B25212"/>
    <w:rsid w:val="00B27C93"/>
    <w:rsid w:val="00B52559"/>
    <w:rsid w:val="00B74EFD"/>
    <w:rsid w:val="00BA0B0D"/>
    <w:rsid w:val="00BA0B22"/>
    <w:rsid w:val="00BB44D1"/>
    <w:rsid w:val="00BE6BB8"/>
    <w:rsid w:val="00BF3129"/>
    <w:rsid w:val="00C3774D"/>
    <w:rsid w:val="00C379A2"/>
    <w:rsid w:val="00CB057F"/>
    <w:rsid w:val="00CE1E52"/>
    <w:rsid w:val="00CF1067"/>
    <w:rsid w:val="00D02C8F"/>
    <w:rsid w:val="00D123B9"/>
    <w:rsid w:val="00D23BD3"/>
    <w:rsid w:val="00D24F89"/>
    <w:rsid w:val="00D279AA"/>
    <w:rsid w:val="00D41761"/>
    <w:rsid w:val="00D548AB"/>
    <w:rsid w:val="00D60FA7"/>
    <w:rsid w:val="00D917FA"/>
    <w:rsid w:val="00DA0E81"/>
    <w:rsid w:val="00DB12E0"/>
    <w:rsid w:val="00DE1C39"/>
    <w:rsid w:val="00E17C31"/>
    <w:rsid w:val="00E22317"/>
    <w:rsid w:val="00E300F3"/>
    <w:rsid w:val="00E57A49"/>
    <w:rsid w:val="00EA10AA"/>
    <w:rsid w:val="00EA7A77"/>
    <w:rsid w:val="00EE7CDC"/>
    <w:rsid w:val="00EF3439"/>
    <w:rsid w:val="00F021B8"/>
    <w:rsid w:val="00F5492B"/>
    <w:rsid w:val="00F57036"/>
    <w:rsid w:val="00F77536"/>
    <w:rsid w:val="00F8178F"/>
    <w:rsid w:val="00F85A21"/>
    <w:rsid w:val="00F90FB7"/>
    <w:rsid w:val="00F94226"/>
    <w:rsid w:val="00F95A94"/>
    <w:rsid w:val="00FA04E3"/>
    <w:rsid w:val="00FB2FDC"/>
    <w:rsid w:val="00FE3771"/>
    <w:rsid w:val="00FF19E9"/>
    <w:rsid w:val="049D31E2"/>
    <w:rsid w:val="094D0E60"/>
    <w:rsid w:val="102210A7"/>
    <w:rsid w:val="140A3E37"/>
    <w:rsid w:val="2F615D0F"/>
    <w:rsid w:val="3FCF5236"/>
    <w:rsid w:val="47E73383"/>
    <w:rsid w:val="55D41698"/>
    <w:rsid w:val="5C7E768C"/>
    <w:rsid w:val="611D60CB"/>
    <w:rsid w:val="7B677FA3"/>
    <w:rsid w:val="7F443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uiPriority w:val="0"/>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uiPriority w:val="0"/>
    <w:pPr>
      <w:adjustRightInd w:val="0"/>
      <w:spacing w:after="0"/>
      <w:ind w:firstLine="420"/>
      <w:jc w:val="left"/>
      <w:textAlignment w:val="baseline"/>
    </w:pPr>
    <w:rPr>
      <w:kern w:val="0"/>
      <w:szCs w:val="20"/>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unhideWhenUsed/>
    <w:uiPriority w:val="99"/>
    <w:rPr>
      <w:color w:val="0000FF"/>
      <w:u w:val="single"/>
    </w:rPr>
  </w:style>
  <w:style w:type="character" w:customStyle="1" w:styleId="11">
    <w:name w:val="页眉 Char"/>
    <w:link w:val="5"/>
    <w:semiHidden/>
    <w:uiPriority w:val="99"/>
    <w:rPr>
      <w:kern w:val="2"/>
      <w:sz w:val="18"/>
      <w:szCs w:val="18"/>
    </w:rPr>
  </w:style>
  <w:style w:type="character" w:customStyle="1" w:styleId="12">
    <w:name w:val="页脚 Char"/>
    <w:link w:val="4"/>
    <w:semiHidden/>
    <w:uiPriority w:val="99"/>
    <w:rPr>
      <w:kern w:val="2"/>
      <w:sz w:val="18"/>
      <w:szCs w:val="18"/>
    </w:rPr>
  </w:style>
  <w:style w:type="paragraph" w:customStyle="1" w:styleId="13">
    <w:name w:val="附录标识"/>
    <w:basedOn w:val="1"/>
    <w:uiPriority w:val="0"/>
    <w:pPr>
      <w:widowControl/>
      <w:shd w:val="clear" w:color="FFFFFF" w:fill="FFFFFF"/>
      <w:tabs>
        <w:tab w:val="left" w:pos="6405"/>
      </w:tabs>
      <w:spacing w:before="100" w:beforeAutospacing="1" w:after="100" w:afterAutospacing="1" w:line="240" w:lineRule="exact"/>
      <w:jc w:val="center"/>
      <w:outlineLvl w:val="0"/>
    </w:pPr>
    <w:rPr>
      <w:rFonts w:ascii="黑体" w:eastAsia="黑体"/>
      <w:kern w:val="0"/>
      <w:szCs w:val="20"/>
    </w:rPr>
  </w:style>
  <w:style w:type="paragraph" w:customStyle="1" w:styleId="14">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www.11128.com</Company>
  <Pages>2</Pages>
  <Words>220</Words>
  <Characters>1255</Characters>
  <Lines>10</Lines>
  <Paragraphs>2</Paragraphs>
  <TotalTime>0</TotalTime>
  <ScaleCrop>false</ScaleCrop>
  <LinksUpToDate>false</LinksUpToDate>
  <CharactersWithSpaces>1473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2021-04-23T01:45:00Z</dcterms:created>
  <dc:creator>hong</dc:creator>
  <cp:lastModifiedBy>君</cp:lastModifiedBy>
  <dcterms:modified xsi:type="dcterms:W3CDTF">2022-05-05T02:44:17Z</dcterms:modified>
  <dc:title>编制说明</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