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8B" w:rsidRPr="0075218B" w:rsidRDefault="0075218B" w:rsidP="00F3610D">
      <w:pPr>
        <w:pStyle w:val="3"/>
        <w:spacing w:before="0" w:after="0" w:line="400" w:lineRule="exact"/>
        <w:jc w:val="center"/>
        <w:rPr>
          <w:rFonts w:ascii="黑体" w:eastAsia="黑体"/>
          <w:b w:val="0"/>
          <w:sz w:val="28"/>
          <w:szCs w:val="28"/>
        </w:rPr>
      </w:pPr>
      <w:bookmarkStart w:id="0" w:name="_Toc125790783"/>
      <w:r w:rsidRPr="0075218B">
        <w:rPr>
          <w:rFonts w:ascii="黑体" w:eastAsia="黑体" w:hint="eastAsia"/>
          <w:b w:val="0"/>
          <w:sz w:val="28"/>
          <w:szCs w:val="28"/>
        </w:rPr>
        <w:t>医用电气设备 第2-18部分：内窥镜设备的基本安全与基本性能专用要求</w:t>
      </w:r>
    </w:p>
    <w:p w:rsidR="00E863C6" w:rsidRPr="0075218B" w:rsidRDefault="00E863C6" w:rsidP="0075218B">
      <w:pPr>
        <w:pStyle w:val="3"/>
        <w:spacing w:before="0" w:after="0" w:line="400" w:lineRule="exact"/>
        <w:jc w:val="center"/>
        <w:rPr>
          <w:rFonts w:ascii="黑体"/>
          <w:b w:val="0"/>
          <w:sz w:val="28"/>
          <w:szCs w:val="28"/>
        </w:rPr>
      </w:pPr>
      <w:r w:rsidRPr="0075218B">
        <w:rPr>
          <w:rFonts w:ascii="黑体" w:hint="eastAsia"/>
          <w:b w:val="0"/>
          <w:sz w:val="28"/>
          <w:szCs w:val="28"/>
        </w:rPr>
        <w:t>编制说明</w:t>
      </w:r>
      <w:bookmarkEnd w:id="0"/>
    </w:p>
    <w:p w:rsidR="00F12B5A" w:rsidRPr="00BA4CFC" w:rsidRDefault="000D26C5" w:rsidP="00F3610D">
      <w:pPr>
        <w:pStyle w:val="a8"/>
        <w:spacing w:beforeLines="0" w:afterLines="0" w:line="400" w:lineRule="exact"/>
        <w:rPr>
          <w:rFonts w:ascii="Times New Roman" w:eastAsia="宋体"/>
          <w:b/>
          <w:szCs w:val="21"/>
        </w:rPr>
      </w:pPr>
      <w:r w:rsidRPr="00BA4CFC">
        <w:rPr>
          <w:rFonts w:ascii="Times New Roman" w:eastAsia="宋体" w:hAnsi="宋体"/>
          <w:b/>
          <w:szCs w:val="21"/>
        </w:rPr>
        <w:t>工作简况</w:t>
      </w:r>
    </w:p>
    <w:p w:rsidR="00DA3F76" w:rsidRPr="00005CB3" w:rsidRDefault="003B51E2" w:rsidP="00F3610D">
      <w:pPr>
        <w:spacing w:line="400" w:lineRule="exact"/>
        <w:ind w:firstLineChars="200" w:firstLine="420"/>
        <w:rPr>
          <w:rFonts w:hAnsi="宋体"/>
          <w:bCs/>
          <w:szCs w:val="21"/>
        </w:rPr>
      </w:pPr>
      <w:r w:rsidRPr="004730EA">
        <w:rPr>
          <w:rFonts w:hAnsi="宋体"/>
          <w:szCs w:val="21"/>
        </w:rPr>
        <w:t>《</w:t>
      </w:r>
      <w:r w:rsidR="00005CB3" w:rsidRPr="00005CB3">
        <w:rPr>
          <w:rFonts w:hAnsi="宋体" w:hint="eastAsia"/>
          <w:bCs/>
          <w:szCs w:val="21"/>
        </w:rPr>
        <w:t>医用电气设备</w:t>
      </w:r>
      <w:r w:rsidR="00005CB3" w:rsidRPr="00005CB3">
        <w:rPr>
          <w:rFonts w:hAnsi="宋体" w:hint="eastAsia"/>
          <w:bCs/>
          <w:szCs w:val="21"/>
        </w:rPr>
        <w:t>-</w:t>
      </w:r>
      <w:r w:rsidR="00005CB3" w:rsidRPr="00005CB3">
        <w:rPr>
          <w:rFonts w:hAnsi="宋体" w:hint="eastAsia"/>
          <w:bCs/>
          <w:szCs w:val="21"/>
        </w:rPr>
        <w:t>第</w:t>
      </w:r>
      <w:r w:rsidR="00005CB3" w:rsidRPr="00005CB3">
        <w:rPr>
          <w:rFonts w:hAnsi="宋体" w:hint="eastAsia"/>
          <w:bCs/>
          <w:szCs w:val="21"/>
        </w:rPr>
        <w:t>2</w:t>
      </w:r>
      <w:r w:rsidR="00005CB3" w:rsidRPr="00005CB3">
        <w:rPr>
          <w:rFonts w:hAnsi="宋体" w:hint="eastAsia"/>
          <w:bCs/>
          <w:szCs w:val="21"/>
        </w:rPr>
        <w:t>部分：内窥镜设备基本安全与基本性能专用要求</w:t>
      </w:r>
      <w:r w:rsidRPr="004730EA">
        <w:rPr>
          <w:rFonts w:hAnsi="宋体"/>
          <w:bCs/>
          <w:szCs w:val="21"/>
        </w:rPr>
        <w:t>》</w:t>
      </w:r>
      <w:r w:rsidR="00005CB3">
        <w:rPr>
          <w:rFonts w:hAnsi="宋体" w:hint="eastAsia"/>
          <w:bCs/>
          <w:szCs w:val="21"/>
        </w:rPr>
        <w:t>强制性</w:t>
      </w:r>
      <w:r w:rsidRPr="004730EA">
        <w:rPr>
          <w:rFonts w:hAnsi="宋体"/>
          <w:bCs/>
          <w:szCs w:val="21"/>
        </w:rPr>
        <w:t>标准项目是</w:t>
      </w:r>
      <w:r w:rsidR="00A90763" w:rsidRPr="00A90763">
        <w:rPr>
          <w:rFonts w:hAnsi="宋体" w:hint="eastAsia"/>
          <w:bCs/>
          <w:szCs w:val="21"/>
        </w:rPr>
        <w:t>国家标准化管理委员会</w:t>
      </w:r>
      <w:r w:rsidR="00A90763">
        <w:rPr>
          <w:rFonts w:hAnsi="宋体" w:hint="eastAsia"/>
          <w:bCs/>
          <w:szCs w:val="21"/>
        </w:rPr>
        <w:t>《关于下达</w:t>
      </w:r>
      <w:r w:rsidR="00A90763">
        <w:rPr>
          <w:rFonts w:hAnsi="宋体" w:hint="eastAsia"/>
          <w:bCs/>
          <w:szCs w:val="21"/>
        </w:rPr>
        <w:t>&lt;</w:t>
      </w:r>
      <w:r w:rsidR="00A90763" w:rsidRPr="00A90763">
        <w:rPr>
          <w:rFonts w:hAnsi="宋体" w:hint="eastAsia"/>
          <w:bCs/>
          <w:szCs w:val="21"/>
        </w:rPr>
        <w:t>竞赛类</w:t>
      </w:r>
      <w:r w:rsidR="00A90763">
        <w:rPr>
          <w:rFonts w:hAnsi="宋体" w:hint="eastAsia"/>
          <w:bCs/>
          <w:szCs w:val="21"/>
        </w:rPr>
        <w:t>卡丁车通用技术条件</w:t>
      </w:r>
      <w:r w:rsidR="00A90763">
        <w:rPr>
          <w:rFonts w:hAnsi="宋体" w:hint="eastAsia"/>
          <w:bCs/>
          <w:szCs w:val="21"/>
        </w:rPr>
        <w:t>&gt;</w:t>
      </w:r>
      <w:r w:rsidR="00A90763" w:rsidRPr="00A90763">
        <w:rPr>
          <w:rFonts w:hAnsi="宋体" w:hint="eastAsia"/>
          <w:bCs/>
          <w:szCs w:val="21"/>
        </w:rPr>
        <w:t>等</w:t>
      </w:r>
      <w:r w:rsidR="00A90763" w:rsidRPr="00A90763">
        <w:rPr>
          <w:rFonts w:hAnsi="宋体" w:hint="eastAsia"/>
          <w:bCs/>
          <w:szCs w:val="21"/>
        </w:rPr>
        <w:t>35</w:t>
      </w:r>
      <w:r w:rsidR="00A90763" w:rsidRPr="00A90763">
        <w:rPr>
          <w:rFonts w:hAnsi="宋体" w:hint="eastAsia"/>
          <w:bCs/>
          <w:szCs w:val="21"/>
        </w:rPr>
        <w:t>项强制性国家标准制修订计划的通知</w:t>
      </w:r>
      <w:r w:rsidR="00A90763">
        <w:rPr>
          <w:rFonts w:hAnsi="宋体" w:hint="eastAsia"/>
          <w:bCs/>
          <w:szCs w:val="21"/>
        </w:rPr>
        <w:t>》</w:t>
      </w:r>
      <w:r w:rsidR="0097366B" w:rsidRPr="0097366B">
        <w:rPr>
          <w:rFonts w:hAnsi="宋体" w:hint="eastAsia"/>
          <w:bCs/>
          <w:szCs w:val="21"/>
        </w:rPr>
        <w:t>（</w:t>
      </w:r>
      <w:r w:rsidR="00A90763" w:rsidRPr="00A90763">
        <w:rPr>
          <w:rFonts w:hAnsi="宋体" w:hint="eastAsia"/>
          <w:bCs/>
          <w:szCs w:val="21"/>
        </w:rPr>
        <w:t>国标委发〔</w:t>
      </w:r>
      <w:r w:rsidR="00A90763" w:rsidRPr="00A90763">
        <w:rPr>
          <w:rFonts w:hAnsi="宋体" w:hint="eastAsia"/>
          <w:bCs/>
          <w:szCs w:val="21"/>
        </w:rPr>
        <w:t>2018</w:t>
      </w:r>
      <w:r w:rsidR="00A90763" w:rsidRPr="00A90763">
        <w:rPr>
          <w:rFonts w:hAnsi="宋体" w:hint="eastAsia"/>
          <w:bCs/>
          <w:szCs w:val="21"/>
        </w:rPr>
        <w:t>〕</w:t>
      </w:r>
      <w:r w:rsidR="00A90763" w:rsidRPr="00A90763">
        <w:rPr>
          <w:rFonts w:hAnsi="宋体" w:hint="eastAsia"/>
          <w:bCs/>
          <w:szCs w:val="21"/>
        </w:rPr>
        <w:t>73</w:t>
      </w:r>
      <w:r w:rsidR="00A90763" w:rsidRPr="00A90763">
        <w:rPr>
          <w:rFonts w:hAnsi="宋体" w:hint="eastAsia"/>
          <w:bCs/>
          <w:szCs w:val="21"/>
        </w:rPr>
        <w:t>号</w:t>
      </w:r>
      <w:r w:rsidR="00C06CB9" w:rsidRPr="0097366B">
        <w:rPr>
          <w:rFonts w:hAnsi="宋体" w:hint="eastAsia"/>
          <w:bCs/>
          <w:szCs w:val="21"/>
        </w:rPr>
        <w:t>）</w:t>
      </w:r>
      <w:r w:rsidRPr="0097366B">
        <w:rPr>
          <w:rFonts w:hAnsi="宋体"/>
          <w:bCs/>
          <w:szCs w:val="21"/>
        </w:rPr>
        <w:t>批准的一个项目，项目编号为</w:t>
      </w:r>
      <w:r w:rsidR="00A90763" w:rsidRPr="00A90763">
        <w:rPr>
          <w:szCs w:val="21"/>
        </w:rPr>
        <w:t>20183244-Q-464</w:t>
      </w:r>
      <w:r w:rsidRPr="0097366B">
        <w:rPr>
          <w:rFonts w:hAnsi="宋体"/>
          <w:bCs/>
          <w:szCs w:val="21"/>
        </w:rPr>
        <w:t>，由全国医用光学和仪器标准化分技术委员会归口，</w:t>
      </w:r>
      <w:r w:rsidR="00C06CB9" w:rsidRPr="0097366B">
        <w:rPr>
          <w:rFonts w:hAnsi="宋体" w:hint="eastAsia"/>
          <w:szCs w:val="21"/>
        </w:rPr>
        <w:t>浙江省</w:t>
      </w:r>
      <w:r w:rsidR="00C06CB9" w:rsidRPr="0097366B">
        <w:rPr>
          <w:rFonts w:hAnsi="宋体"/>
          <w:szCs w:val="21"/>
        </w:rPr>
        <w:t>医疗器械检验</w:t>
      </w:r>
      <w:r w:rsidR="00C06CB9" w:rsidRPr="0097366B">
        <w:rPr>
          <w:rFonts w:hAnsi="宋体" w:hint="eastAsia"/>
          <w:szCs w:val="21"/>
        </w:rPr>
        <w:t>研究院</w:t>
      </w:r>
      <w:r w:rsidR="00DA3F76" w:rsidRPr="0097366B">
        <w:rPr>
          <w:rFonts w:hAnsi="宋体"/>
          <w:szCs w:val="21"/>
        </w:rPr>
        <w:t>负责起草。</w:t>
      </w:r>
    </w:p>
    <w:p w:rsidR="000276F8" w:rsidRPr="00491D62" w:rsidRDefault="0097366B" w:rsidP="00F3610D">
      <w:pPr>
        <w:spacing w:line="400" w:lineRule="exact"/>
        <w:ind w:firstLineChars="200" w:firstLine="420"/>
        <w:rPr>
          <w:rFonts w:hAnsi="宋体"/>
          <w:szCs w:val="21"/>
        </w:rPr>
      </w:pPr>
      <w:r w:rsidRPr="00491D62">
        <w:rPr>
          <w:rFonts w:hAnsi="宋体"/>
          <w:szCs w:val="21"/>
        </w:rPr>
        <w:t>标准起草</w:t>
      </w:r>
      <w:r w:rsidRPr="00491D62">
        <w:rPr>
          <w:rFonts w:hAnsi="宋体" w:hint="eastAsia"/>
          <w:szCs w:val="21"/>
        </w:rPr>
        <w:t>组</w:t>
      </w:r>
      <w:r w:rsidR="00DA3F76" w:rsidRPr="00491D62">
        <w:rPr>
          <w:rFonts w:hAnsi="宋体"/>
          <w:szCs w:val="21"/>
        </w:rPr>
        <w:t>主要由</w:t>
      </w:r>
      <w:r w:rsidR="00403820" w:rsidRPr="00491D62">
        <w:rPr>
          <w:rFonts w:hAnsi="宋体" w:hint="eastAsia"/>
          <w:szCs w:val="21"/>
        </w:rPr>
        <w:t>何涛</w:t>
      </w:r>
      <w:r w:rsidR="00F277B4" w:rsidRPr="00491D62">
        <w:rPr>
          <w:rFonts w:hAnsi="宋体"/>
          <w:szCs w:val="21"/>
        </w:rPr>
        <w:t>等同志组成，起草小组成立后，</w:t>
      </w:r>
      <w:r w:rsidR="00856286" w:rsidRPr="00491D62">
        <w:rPr>
          <w:rFonts w:hAnsi="宋体" w:hint="eastAsia"/>
          <w:szCs w:val="21"/>
        </w:rPr>
        <w:t>根据</w:t>
      </w:r>
      <w:r w:rsidR="00005CB3" w:rsidRPr="00491D62">
        <w:rPr>
          <w:szCs w:val="21"/>
        </w:rPr>
        <w:t>IEC60601-2-18:2009</w:t>
      </w:r>
      <w:r w:rsidR="00856286" w:rsidRPr="00491D62">
        <w:rPr>
          <w:rFonts w:hint="eastAsia"/>
        </w:rPr>
        <w:t>国际标准对</w:t>
      </w:r>
      <w:r w:rsidR="00005CB3" w:rsidRPr="00491D62">
        <w:t>GB9706.19</w:t>
      </w:r>
      <w:r w:rsidR="00005CB3" w:rsidRPr="00491D62">
        <w:rPr>
          <w:rFonts w:hint="eastAsia"/>
        </w:rPr>
        <w:t>-</w:t>
      </w:r>
      <w:r w:rsidR="00AB5E82" w:rsidRPr="00491D62">
        <w:t>200</w:t>
      </w:r>
      <w:r w:rsidR="00AB5E82" w:rsidRPr="00491D62">
        <w:rPr>
          <w:rFonts w:hint="eastAsia"/>
        </w:rPr>
        <w:t>0</w:t>
      </w:r>
      <w:r w:rsidR="00856286" w:rsidRPr="00491D62">
        <w:rPr>
          <w:rFonts w:hint="eastAsia"/>
        </w:rPr>
        <w:t>进行修订</w:t>
      </w:r>
      <w:r w:rsidR="00DA3F76" w:rsidRPr="00491D62">
        <w:rPr>
          <w:rFonts w:hAnsi="宋体"/>
          <w:szCs w:val="21"/>
        </w:rPr>
        <w:t>准备工作，</w:t>
      </w:r>
      <w:r w:rsidR="000F4617" w:rsidRPr="00491D62">
        <w:rPr>
          <w:rFonts w:hAnsi="宋体" w:hint="eastAsia"/>
          <w:szCs w:val="21"/>
        </w:rPr>
        <w:t>包括</w:t>
      </w:r>
      <w:r w:rsidR="000F4617" w:rsidRPr="00491D62">
        <w:rPr>
          <w:rFonts w:hAnsi="宋体"/>
          <w:szCs w:val="21"/>
        </w:rPr>
        <w:t>调研和资料收集，完成</w:t>
      </w:r>
      <w:r w:rsidR="00DA3F76" w:rsidRPr="00491D62">
        <w:rPr>
          <w:rFonts w:hAnsi="宋体"/>
          <w:szCs w:val="21"/>
        </w:rPr>
        <w:t>标准</w:t>
      </w:r>
      <w:r w:rsidR="0075218B" w:rsidRPr="00491D62">
        <w:rPr>
          <w:rFonts w:hAnsi="宋体" w:hint="eastAsia"/>
          <w:szCs w:val="21"/>
        </w:rPr>
        <w:t>征求意见稿。在标准</w:t>
      </w:r>
      <w:r w:rsidR="0075218B" w:rsidRPr="00491D62">
        <w:rPr>
          <w:rFonts w:hAnsi="宋体"/>
          <w:szCs w:val="21"/>
        </w:rPr>
        <w:t>编制过程中，</w:t>
      </w:r>
      <w:r w:rsidR="0075218B" w:rsidRPr="00491D62">
        <w:rPr>
          <w:rFonts w:hAnsi="宋体" w:hint="eastAsia"/>
          <w:szCs w:val="21"/>
        </w:rPr>
        <w:t>经</w:t>
      </w:r>
      <w:r w:rsidR="0075218B" w:rsidRPr="00491D62">
        <w:rPr>
          <w:rFonts w:hAnsi="宋体"/>
          <w:szCs w:val="21"/>
        </w:rPr>
        <w:t>研究确定将该国家标准项目</w:t>
      </w:r>
      <w:r w:rsidR="0075218B" w:rsidRPr="00491D62">
        <w:rPr>
          <w:rFonts w:hAnsi="宋体" w:hint="eastAsia"/>
          <w:szCs w:val="21"/>
        </w:rPr>
        <w:t>名称更改</w:t>
      </w:r>
      <w:r w:rsidR="0075218B" w:rsidRPr="00491D62">
        <w:rPr>
          <w:rFonts w:hAnsi="宋体"/>
          <w:szCs w:val="21"/>
        </w:rPr>
        <w:t>为“</w:t>
      </w:r>
      <w:r w:rsidR="0075218B" w:rsidRPr="00491D62">
        <w:rPr>
          <w:rFonts w:hAnsi="宋体" w:hint="eastAsia"/>
          <w:szCs w:val="21"/>
        </w:rPr>
        <w:t>医用电气设备</w:t>
      </w:r>
      <w:r w:rsidR="0075218B" w:rsidRPr="00491D62">
        <w:rPr>
          <w:rFonts w:hAnsi="宋体" w:hint="eastAsia"/>
          <w:szCs w:val="21"/>
        </w:rPr>
        <w:t xml:space="preserve"> </w:t>
      </w:r>
      <w:r w:rsidR="0075218B" w:rsidRPr="00491D62">
        <w:rPr>
          <w:rFonts w:hAnsi="宋体" w:hint="eastAsia"/>
          <w:szCs w:val="21"/>
        </w:rPr>
        <w:t>第</w:t>
      </w:r>
      <w:r w:rsidR="0075218B" w:rsidRPr="00491D62">
        <w:rPr>
          <w:rFonts w:hAnsi="宋体" w:hint="eastAsia"/>
          <w:szCs w:val="21"/>
        </w:rPr>
        <w:t>2-18</w:t>
      </w:r>
      <w:r w:rsidR="0075218B" w:rsidRPr="00491D62">
        <w:rPr>
          <w:rFonts w:hAnsi="宋体" w:hint="eastAsia"/>
          <w:szCs w:val="21"/>
        </w:rPr>
        <w:t>部分：内窥镜设备的基本安全与基本性能专用要求</w:t>
      </w:r>
      <w:r w:rsidR="0075218B" w:rsidRPr="00491D62">
        <w:rPr>
          <w:rFonts w:hAnsi="宋体"/>
          <w:szCs w:val="21"/>
        </w:rPr>
        <w:t>”</w:t>
      </w:r>
      <w:r w:rsidR="0075218B" w:rsidRPr="00491D62">
        <w:rPr>
          <w:rFonts w:hAnsi="宋体" w:hint="eastAsia"/>
          <w:szCs w:val="21"/>
        </w:rPr>
        <w:t>。</w:t>
      </w:r>
      <w:r w:rsidR="000F4617" w:rsidRPr="00491D62">
        <w:rPr>
          <w:szCs w:val="21"/>
        </w:rPr>
        <w:t>201</w:t>
      </w:r>
      <w:r w:rsidR="008A5C57" w:rsidRPr="00491D62">
        <w:rPr>
          <w:rFonts w:hint="eastAsia"/>
          <w:szCs w:val="21"/>
        </w:rPr>
        <w:t>9</w:t>
      </w:r>
      <w:r w:rsidR="00DA3F76" w:rsidRPr="00491D62">
        <w:rPr>
          <w:rFonts w:hAnsi="宋体"/>
          <w:szCs w:val="21"/>
        </w:rPr>
        <w:t>年</w:t>
      </w:r>
      <w:r w:rsidR="0075218B" w:rsidRPr="00491D62">
        <w:rPr>
          <w:rFonts w:hint="eastAsia"/>
          <w:szCs w:val="21"/>
        </w:rPr>
        <w:t>9</w:t>
      </w:r>
      <w:r w:rsidR="00DA3F76" w:rsidRPr="00491D62">
        <w:rPr>
          <w:rFonts w:hAnsi="宋体"/>
          <w:szCs w:val="21"/>
        </w:rPr>
        <w:t>月将标准征求意见稿发放给分技委委员和</w:t>
      </w:r>
      <w:r w:rsidR="0075218B" w:rsidRPr="00491D62">
        <w:rPr>
          <w:rFonts w:hAnsi="宋体" w:hint="eastAsia"/>
          <w:szCs w:val="21"/>
        </w:rPr>
        <w:t>有关</w:t>
      </w:r>
      <w:r w:rsidR="0075218B" w:rsidRPr="00491D62">
        <w:rPr>
          <w:rFonts w:hAnsi="宋体"/>
          <w:szCs w:val="21"/>
        </w:rPr>
        <w:t>单位</w:t>
      </w:r>
      <w:r w:rsidR="00DA3F76" w:rsidRPr="00491D62">
        <w:rPr>
          <w:rFonts w:hAnsi="宋体"/>
          <w:szCs w:val="21"/>
        </w:rPr>
        <w:t>，进行广泛的征求意见</w:t>
      </w:r>
      <w:r w:rsidR="00DA3F76" w:rsidRPr="00491D62">
        <w:rPr>
          <w:rFonts w:hAnsi="宋体" w:hint="eastAsia"/>
          <w:szCs w:val="21"/>
        </w:rPr>
        <w:t>。</w:t>
      </w:r>
    </w:p>
    <w:p w:rsidR="000276F8" w:rsidRPr="00BA4CFC" w:rsidRDefault="000276F8" w:rsidP="00F3610D">
      <w:pPr>
        <w:numPr>
          <w:ilvl w:val="0"/>
          <w:numId w:val="6"/>
        </w:numPr>
        <w:spacing w:line="400" w:lineRule="exact"/>
        <w:rPr>
          <w:b/>
          <w:szCs w:val="21"/>
        </w:rPr>
      </w:pPr>
      <w:r w:rsidRPr="00BA4CFC">
        <w:rPr>
          <w:rFonts w:hAnsi="宋体"/>
          <w:b/>
          <w:szCs w:val="21"/>
        </w:rPr>
        <w:t>标准编制原则和确定标准主要内容</w:t>
      </w:r>
      <w:r w:rsidR="00B236D4" w:rsidRPr="00BA4CFC">
        <w:rPr>
          <w:rFonts w:hAnsi="宋体"/>
          <w:b/>
          <w:szCs w:val="21"/>
        </w:rPr>
        <w:t>的论据</w:t>
      </w:r>
    </w:p>
    <w:p w:rsidR="0075218B" w:rsidRPr="0075218B" w:rsidRDefault="005411E1" w:rsidP="0075218B">
      <w:pPr>
        <w:spacing w:line="400" w:lineRule="exact"/>
        <w:ind w:firstLineChars="200" w:firstLine="420"/>
        <w:rPr>
          <w:szCs w:val="21"/>
        </w:rPr>
      </w:pPr>
      <w:r w:rsidRPr="004A6DBB">
        <w:rPr>
          <w:rFonts w:hint="eastAsia"/>
          <w:szCs w:val="21"/>
        </w:rPr>
        <w:t>本部分</w:t>
      </w:r>
      <w:r w:rsidRPr="004A6DBB">
        <w:rPr>
          <w:szCs w:val="21"/>
        </w:rPr>
        <w:t>按照</w:t>
      </w:r>
      <w:r w:rsidRPr="004A6DBB">
        <w:rPr>
          <w:szCs w:val="21"/>
        </w:rPr>
        <w:t>GB/T 1.1-2009</w:t>
      </w:r>
      <w:r w:rsidRPr="004A6DBB">
        <w:rPr>
          <w:szCs w:val="21"/>
        </w:rPr>
        <w:t>《标准化工作导则第</w:t>
      </w:r>
      <w:r w:rsidRPr="004A6DBB">
        <w:rPr>
          <w:szCs w:val="21"/>
        </w:rPr>
        <w:t>1</w:t>
      </w:r>
      <w:r w:rsidRPr="004A6DBB">
        <w:rPr>
          <w:szCs w:val="21"/>
        </w:rPr>
        <w:t>部分：标准的结构和编写》给出的规则起草。</w:t>
      </w:r>
      <w:r w:rsidR="0075218B" w:rsidRPr="0075218B">
        <w:rPr>
          <w:rFonts w:hint="eastAsia"/>
          <w:szCs w:val="21"/>
        </w:rPr>
        <w:t>本部分等同采用国际电工委员会</w:t>
      </w:r>
      <w:r w:rsidR="0075218B" w:rsidRPr="0075218B">
        <w:rPr>
          <w:rFonts w:hint="eastAsia"/>
          <w:szCs w:val="21"/>
        </w:rPr>
        <w:t>IEC60601-2-18</w:t>
      </w:r>
      <w:r w:rsidR="0075218B" w:rsidRPr="0075218B">
        <w:rPr>
          <w:rFonts w:hint="eastAsia"/>
          <w:szCs w:val="21"/>
        </w:rPr>
        <w:t>：</w:t>
      </w:r>
      <w:r w:rsidR="0075218B" w:rsidRPr="0075218B">
        <w:rPr>
          <w:rFonts w:hint="eastAsia"/>
          <w:szCs w:val="21"/>
        </w:rPr>
        <w:t>2009</w:t>
      </w:r>
      <w:r w:rsidR="0075218B" w:rsidRPr="0075218B">
        <w:rPr>
          <w:rFonts w:hint="eastAsia"/>
          <w:szCs w:val="21"/>
        </w:rPr>
        <w:t>《医用电气设备</w:t>
      </w:r>
      <w:r w:rsidR="0075218B" w:rsidRPr="0075218B">
        <w:rPr>
          <w:rFonts w:hint="eastAsia"/>
          <w:szCs w:val="21"/>
        </w:rPr>
        <w:t>-</w:t>
      </w:r>
      <w:r w:rsidR="0075218B" w:rsidRPr="0075218B">
        <w:rPr>
          <w:rFonts w:hint="eastAsia"/>
          <w:szCs w:val="21"/>
        </w:rPr>
        <w:t>第</w:t>
      </w:r>
      <w:r w:rsidR="0075218B" w:rsidRPr="0075218B">
        <w:rPr>
          <w:rFonts w:hint="eastAsia"/>
          <w:szCs w:val="21"/>
        </w:rPr>
        <w:t>2-18</w:t>
      </w:r>
      <w:r w:rsidR="0075218B" w:rsidRPr="0075218B">
        <w:rPr>
          <w:rFonts w:hint="eastAsia"/>
          <w:szCs w:val="21"/>
        </w:rPr>
        <w:t>部分：内窥镜设备基本安全与主要性能的专用要求》（英文版）。</w:t>
      </w:r>
    </w:p>
    <w:p w:rsidR="0075218B" w:rsidRPr="0075218B" w:rsidRDefault="0075218B" w:rsidP="0075218B">
      <w:pPr>
        <w:spacing w:line="400" w:lineRule="exact"/>
        <w:ind w:firstLineChars="200" w:firstLine="420"/>
        <w:rPr>
          <w:szCs w:val="21"/>
        </w:rPr>
      </w:pPr>
      <w:r w:rsidRPr="0075218B">
        <w:rPr>
          <w:rFonts w:hint="eastAsia"/>
          <w:szCs w:val="21"/>
        </w:rPr>
        <w:t>本部分代替了</w:t>
      </w:r>
      <w:r w:rsidRPr="0075218B">
        <w:rPr>
          <w:rFonts w:hint="eastAsia"/>
          <w:szCs w:val="21"/>
        </w:rPr>
        <w:t xml:space="preserve">GB 9706.19-2000 </w:t>
      </w:r>
      <w:r w:rsidRPr="0075218B">
        <w:rPr>
          <w:rFonts w:hint="eastAsia"/>
          <w:szCs w:val="21"/>
        </w:rPr>
        <w:t>《医用电气设备</w:t>
      </w:r>
      <w:r w:rsidRPr="0075218B">
        <w:rPr>
          <w:rFonts w:hint="eastAsia"/>
          <w:szCs w:val="21"/>
        </w:rPr>
        <w:t xml:space="preserve"> </w:t>
      </w:r>
      <w:r w:rsidRPr="0075218B">
        <w:rPr>
          <w:rFonts w:hint="eastAsia"/>
          <w:szCs w:val="21"/>
        </w:rPr>
        <w:t>第</w:t>
      </w:r>
      <w:r w:rsidRPr="0075218B">
        <w:rPr>
          <w:rFonts w:hint="eastAsia"/>
          <w:szCs w:val="21"/>
        </w:rPr>
        <w:t>2</w:t>
      </w:r>
      <w:r w:rsidRPr="0075218B">
        <w:rPr>
          <w:rFonts w:hint="eastAsia"/>
          <w:szCs w:val="21"/>
        </w:rPr>
        <w:t>部分：内窥镜设备安全专用要求》，与</w:t>
      </w:r>
      <w:r w:rsidRPr="0075218B">
        <w:rPr>
          <w:rFonts w:hint="eastAsia"/>
          <w:szCs w:val="21"/>
        </w:rPr>
        <w:t>GB 9706.1</w:t>
      </w:r>
      <w:r w:rsidRPr="0075218B">
        <w:rPr>
          <w:rFonts w:hint="eastAsia"/>
          <w:szCs w:val="21"/>
        </w:rPr>
        <w:t>相比，除编辑性修改外主要技术变化如下：</w:t>
      </w:r>
    </w:p>
    <w:p w:rsidR="0075218B" w:rsidRPr="0075218B" w:rsidRDefault="0075218B" w:rsidP="0075218B">
      <w:pPr>
        <w:spacing w:line="400" w:lineRule="exact"/>
        <w:ind w:firstLineChars="200" w:firstLine="420"/>
        <w:rPr>
          <w:szCs w:val="21"/>
        </w:rPr>
      </w:pPr>
      <w:r w:rsidRPr="0075218B">
        <w:rPr>
          <w:rFonts w:hint="eastAsia"/>
          <w:szCs w:val="21"/>
        </w:rPr>
        <w:t>——按</w:t>
      </w:r>
      <w:r w:rsidRPr="0075218B">
        <w:rPr>
          <w:rFonts w:hint="eastAsia"/>
          <w:szCs w:val="21"/>
        </w:rPr>
        <w:t xml:space="preserve"> IEC 60601-1 </w:t>
      </w:r>
      <w:r w:rsidRPr="0075218B">
        <w:rPr>
          <w:rFonts w:hint="eastAsia"/>
          <w:szCs w:val="21"/>
        </w:rPr>
        <w:t>第</w:t>
      </w:r>
      <w:r w:rsidRPr="0075218B">
        <w:rPr>
          <w:rFonts w:hint="eastAsia"/>
          <w:szCs w:val="21"/>
        </w:rPr>
        <w:t xml:space="preserve"> 3.0 </w:t>
      </w:r>
      <w:r w:rsidRPr="0075218B">
        <w:rPr>
          <w:rFonts w:hint="eastAsia"/>
          <w:szCs w:val="21"/>
        </w:rPr>
        <w:t>版的内容修订原标准，标准编排和结构上发生了变化，由原来的十篇，变为了</w:t>
      </w:r>
      <w:r w:rsidRPr="0075218B">
        <w:rPr>
          <w:rFonts w:hint="eastAsia"/>
          <w:szCs w:val="21"/>
        </w:rPr>
        <w:t>18</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适用范围中“补充”修改为“替换”，增加了“基本性能”，删除了“注：当通用标准对不同的医用电气设备的应用部分一起使用不能给出安全要求，本部分给出了内窥镜使用时特别是互连条件共同遇到的要求。”（见</w:t>
      </w:r>
      <w:r w:rsidRPr="0075218B">
        <w:rPr>
          <w:rFonts w:hint="eastAsia"/>
          <w:szCs w:val="21"/>
        </w:rPr>
        <w:t>201.1.1</w:t>
      </w:r>
      <w:r w:rsidRPr="0075218B">
        <w:rPr>
          <w:rFonts w:hint="eastAsia"/>
          <w:szCs w:val="21"/>
        </w:rPr>
        <w:t>，上一版的</w:t>
      </w:r>
      <w:r w:rsidRPr="0075218B">
        <w:rPr>
          <w:rFonts w:hint="eastAsia"/>
          <w:szCs w:val="21"/>
        </w:rPr>
        <w:t>1.1</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——目的中增加了“基本性能”，增加了“注：该目的包括作为有电源装置的内窥镜设备一部分的内窥镜强光源设备，</w:t>
      </w:r>
      <w:r w:rsidRPr="0075218B">
        <w:rPr>
          <w:rFonts w:hint="eastAsia"/>
          <w:szCs w:val="21"/>
        </w:rPr>
        <w:t xml:space="preserve"> </w:t>
      </w:r>
      <w:r w:rsidRPr="0075218B">
        <w:rPr>
          <w:rFonts w:hint="eastAsia"/>
          <w:szCs w:val="21"/>
        </w:rPr>
        <w:t>因此</w:t>
      </w:r>
      <w:r w:rsidRPr="0075218B">
        <w:rPr>
          <w:rFonts w:hint="eastAsia"/>
          <w:szCs w:val="21"/>
        </w:rPr>
        <w:t>IEC60601-2-57</w:t>
      </w:r>
      <w:r w:rsidRPr="0075218B">
        <w:rPr>
          <w:rFonts w:hint="eastAsia"/>
          <w:szCs w:val="21"/>
        </w:rPr>
        <w:t>标准不适用。”（见</w:t>
      </w:r>
      <w:r w:rsidRPr="0075218B">
        <w:rPr>
          <w:rFonts w:hint="eastAsia"/>
          <w:szCs w:val="21"/>
        </w:rPr>
        <w:t>201.1.2</w:t>
      </w:r>
      <w:r w:rsidRPr="0075218B">
        <w:rPr>
          <w:rFonts w:hint="eastAsia"/>
          <w:szCs w:val="21"/>
        </w:rPr>
        <w:t>，上一版的</w:t>
      </w:r>
      <w:r w:rsidRPr="0075218B">
        <w:rPr>
          <w:rFonts w:hint="eastAsia"/>
          <w:szCs w:val="21"/>
        </w:rPr>
        <w:t>1.2</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——增加了“并列标准”（见</w:t>
      </w:r>
      <w:r w:rsidRPr="0075218B">
        <w:rPr>
          <w:rFonts w:hint="eastAsia"/>
          <w:szCs w:val="21"/>
        </w:rPr>
        <w:t>201.1.3</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——专用标准中“补充”修改为“替换”（见</w:t>
      </w:r>
      <w:r w:rsidRPr="0075218B">
        <w:rPr>
          <w:rFonts w:hint="eastAsia"/>
          <w:szCs w:val="21"/>
        </w:rPr>
        <w:t>201.1.4</w:t>
      </w:r>
      <w:r w:rsidRPr="0075218B">
        <w:rPr>
          <w:rFonts w:hint="eastAsia"/>
          <w:szCs w:val="21"/>
        </w:rPr>
        <w:t>，上一版的</w:t>
      </w:r>
      <w:r w:rsidRPr="0075218B">
        <w:rPr>
          <w:rFonts w:hint="eastAsia"/>
          <w:szCs w:val="21"/>
        </w:rPr>
        <w:t>1.3</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——增加了“规范性引用文件”（见</w:t>
      </w:r>
      <w:r w:rsidRPr="0075218B">
        <w:rPr>
          <w:rFonts w:hint="eastAsia"/>
          <w:szCs w:val="21"/>
        </w:rPr>
        <w:t>201.2</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——术语与定义中增加了“内窥镜应用配置”、“带电内窥镜”、“带电内治疗器械”、“高频”、“接口条件”、“中性电极”、“额定附件电压”，“内窥镜附件”修改为“内治疗器械”（见</w:t>
      </w:r>
      <w:r w:rsidRPr="0075218B">
        <w:rPr>
          <w:rFonts w:hint="eastAsia"/>
          <w:szCs w:val="21"/>
        </w:rPr>
        <w:t>201.3</w:t>
      </w:r>
      <w:r w:rsidRPr="0075218B">
        <w:rPr>
          <w:rFonts w:hint="eastAsia"/>
          <w:szCs w:val="21"/>
        </w:rPr>
        <w:t>，上一版的第</w:t>
      </w:r>
      <w:r w:rsidRPr="0075218B">
        <w:rPr>
          <w:rFonts w:hint="eastAsia"/>
          <w:szCs w:val="21"/>
        </w:rPr>
        <w:t>2</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lastRenderedPageBreak/>
        <w:t>——通用要求中修改了“带电内治疗器械”、“超声诊断设备”、“电源装置”和“补充主要性能要求”，增加了“主要性能”、“与患者接触的</w:t>
      </w:r>
      <w:r w:rsidRPr="0075218B">
        <w:rPr>
          <w:rFonts w:hint="eastAsia"/>
          <w:szCs w:val="21"/>
        </w:rPr>
        <w:t>ME</w:t>
      </w:r>
      <w:r w:rsidRPr="0075218B">
        <w:rPr>
          <w:rFonts w:hint="eastAsia"/>
          <w:szCs w:val="21"/>
        </w:rPr>
        <w:t>设备或</w:t>
      </w:r>
      <w:r w:rsidRPr="0075218B">
        <w:rPr>
          <w:rFonts w:hint="eastAsia"/>
          <w:szCs w:val="21"/>
        </w:rPr>
        <w:t>ME</w:t>
      </w:r>
      <w:r w:rsidRPr="0075218B">
        <w:rPr>
          <w:rFonts w:hint="eastAsia"/>
          <w:szCs w:val="21"/>
        </w:rPr>
        <w:t>系统”和“</w:t>
      </w:r>
      <w:r w:rsidRPr="0075218B">
        <w:rPr>
          <w:rFonts w:hint="eastAsia"/>
          <w:szCs w:val="21"/>
        </w:rPr>
        <w:t>ME</w:t>
      </w:r>
      <w:r w:rsidRPr="0075218B">
        <w:rPr>
          <w:rFonts w:hint="eastAsia"/>
          <w:szCs w:val="21"/>
        </w:rPr>
        <w:t>设备单一故障状态”（见</w:t>
      </w:r>
      <w:r w:rsidRPr="0075218B">
        <w:rPr>
          <w:rFonts w:hint="eastAsia"/>
          <w:szCs w:val="21"/>
        </w:rPr>
        <w:t>201.4</w:t>
      </w:r>
      <w:r w:rsidRPr="0075218B">
        <w:rPr>
          <w:rFonts w:hint="eastAsia"/>
          <w:szCs w:val="21"/>
        </w:rPr>
        <w:t>，上一版的第</w:t>
      </w:r>
      <w:r w:rsidRPr="0075218B">
        <w:rPr>
          <w:rFonts w:hint="eastAsia"/>
          <w:szCs w:val="21"/>
        </w:rPr>
        <w:t>3</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——“试验的通用要求”修改为“</w:t>
      </w:r>
      <w:r w:rsidRPr="0075218B">
        <w:rPr>
          <w:rFonts w:hint="eastAsia"/>
          <w:szCs w:val="21"/>
        </w:rPr>
        <w:t>ME</w:t>
      </w:r>
      <w:r w:rsidRPr="0075218B">
        <w:rPr>
          <w:rFonts w:hint="eastAsia"/>
          <w:szCs w:val="21"/>
        </w:rPr>
        <w:t>设备试验的通用要求”，增加了“型式试验”、“潮湿预处理”（见</w:t>
      </w:r>
      <w:r w:rsidRPr="0075218B">
        <w:rPr>
          <w:rFonts w:hint="eastAsia"/>
          <w:szCs w:val="21"/>
        </w:rPr>
        <w:t>201.5</w:t>
      </w:r>
      <w:r w:rsidRPr="0075218B">
        <w:rPr>
          <w:rFonts w:hint="eastAsia"/>
          <w:szCs w:val="21"/>
        </w:rPr>
        <w:t>，上一版的第</w:t>
      </w:r>
      <w:r w:rsidRPr="0075218B">
        <w:rPr>
          <w:rFonts w:hint="eastAsia"/>
          <w:szCs w:val="21"/>
        </w:rPr>
        <w:t>4</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——“分类”修改为“</w:t>
      </w:r>
      <w:r w:rsidRPr="0075218B">
        <w:rPr>
          <w:rFonts w:hint="eastAsia"/>
          <w:szCs w:val="21"/>
        </w:rPr>
        <w:t>ME</w:t>
      </w:r>
      <w:r w:rsidRPr="0075218B">
        <w:rPr>
          <w:rFonts w:hint="eastAsia"/>
          <w:szCs w:val="21"/>
        </w:rPr>
        <w:t>设备和</w:t>
      </w:r>
      <w:r w:rsidRPr="0075218B">
        <w:rPr>
          <w:rFonts w:hint="eastAsia"/>
          <w:szCs w:val="21"/>
        </w:rPr>
        <w:t>ME</w:t>
      </w:r>
      <w:r w:rsidRPr="0075218B">
        <w:rPr>
          <w:rFonts w:hint="eastAsia"/>
          <w:szCs w:val="21"/>
        </w:rPr>
        <w:t>系统分类”，增加了“防触电保护”（见</w:t>
      </w:r>
      <w:r w:rsidRPr="0075218B">
        <w:rPr>
          <w:rFonts w:hint="eastAsia"/>
          <w:szCs w:val="21"/>
        </w:rPr>
        <w:t>201.6</w:t>
      </w:r>
      <w:r w:rsidRPr="0075218B">
        <w:rPr>
          <w:rFonts w:hint="eastAsia"/>
          <w:szCs w:val="21"/>
        </w:rPr>
        <w:t>，上一版的第</w:t>
      </w:r>
      <w:r w:rsidRPr="0075218B">
        <w:rPr>
          <w:rFonts w:hint="eastAsia"/>
          <w:szCs w:val="21"/>
        </w:rPr>
        <w:t>5</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w:t>
      </w:r>
      <w:r w:rsidRPr="0075218B">
        <w:rPr>
          <w:rFonts w:hint="eastAsia"/>
          <w:szCs w:val="21"/>
        </w:rPr>
        <w:t>——“识别、标记和文件”修改为“</w:t>
      </w:r>
      <w:r w:rsidRPr="0075218B">
        <w:rPr>
          <w:rFonts w:hint="eastAsia"/>
          <w:szCs w:val="21"/>
        </w:rPr>
        <w:t>ME</w:t>
      </w:r>
      <w:r w:rsidRPr="0075218B">
        <w:rPr>
          <w:rFonts w:hint="eastAsia"/>
          <w:szCs w:val="21"/>
        </w:rPr>
        <w:t>设备的标识、标记和随机文件”，修改了“</w:t>
      </w:r>
      <w:r w:rsidRPr="0075218B">
        <w:rPr>
          <w:rFonts w:hint="eastAsia"/>
          <w:szCs w:val="21"/>
        </w:rPr>
        <w:t>ME</w:t>
      </w:r>
      <w:r w:rsidRPr="0075218B">
        <w:rPr>
          <w:rFonts w:hint="eastAsia"/>
          <w:szCs w:val="21"/>
        </w:rPr>
        <w:t>设备或部件的外部标记”、“随机文件”，增加了“控制器标识与说明书”、“符号”（见</w:t>
      </w:r>
      <w:r w:rsidRPr="0075218B">
        <w:rPr>
          <w:rFonts w:hint="eastAsia"/>
          <w:szCs w:val="21"/>
        </w:rPr>
        <w:t>201.7</w:t>
      </w:r>
      <w:r w:rsidRPr="0075218B">
        <w:rPr>
          <w:rFonts w:hint="eastAsia"/>
          <w:szCs w:val="21"/>
        </w:rPr>
        <w:t>，上一版的第</w:t>
      </w:r>
      <w:r w:rsidRPr="0075218B">
        <w:rPr>
          <w:rFonts w:hint="eastAsia"/>
          <w:szCs w:val="21"/>
        </w:rPr>
        <w:t>6</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——新增了“应用部分分类”、“部件的分离”，修改了“绝缘”、“爬电距离和电气间隙”（见</w:t>
      </w:r>
      <w:r w:rsidRPr="0075218B">
        <w:rPr>
          <w:rFonts w:hint="eastAsia"/>
          <w:szCs w:val="21"/>
        </w:rPr>
        <w:t>201.8</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——修改了“与运动部件相关危险”、“飞溅物危险”，新增了“与表面、角落和边缘相关的危险”、“不稳定性危险”、“压力容器与气压和水压部件”、“与支持系统相关的危害”（见</w:t>
      </w:r>
      <w:r w:rsidRPr="0075218B">
        <w:rPr>
          <w:rFonts w:hint="eastAsia"/>
          <w:szCs w:val="21"/>
        </w:rPr>
        <w:t>201.9</w:t>
      </w:r>
      <w:r w:rsidRPr="0075218B">
        <w:rPr>
          <w:rFonts w:hint="eastAsia"/>
          <w:szCs w:val="21"/>
        </w:rPr>
        <w:t>，上一版的第四篇）</w:t>
      </w:r>
    </w:p>
    <w:p w:rsidR="0075218B" w:rsidRPr="0075218B" w:rsidRDefault="0075218B" w:rsidP="0075218B">
      <w:pPr>
        <w:spacing w:line="400" w:lineRule="exact"/>
        <w:ind w:firstLineChars="200" w:firstLine="420"/>
        <w:rPr>
          <w:szCs w:val="21"/>
        </w:rPr>
      </w:pPr>
      <w:r w:rsidRPr="0075218B">
        <w:rPr>
          <w:rFonts w:hint="eastAsia"/>
          <w:szCs w:val="21"/>
        </w:rPr>
        <w:t>——新增“激光和发光二极管（</w:t>
      </w:r>
      <w:r w:rsidRPr="0075218B">
        <w:rPr>
          <w:rFonts w:hint="eastAsia"/>
          <w:szCs w:val="21"/>
        </w:rPr>
        <w:t>LEDs</w:t>
      </w:r>
      <w:r w:rsidRPr="0075218B">
        <w:rPr>
          <w:rFonts w:hint="eastAsia"/>
          <w:szCs w:val="21"/>
        </w:rPr>
        <w:t>）”、“其他可见电磁辐射”、“红外线辐射”、“紫外线辐射”（见</w:t>
      </w:r>
      <w:r w:rsidRPr="0075218B">
        <w:rPr>
          <w:rFonts w:hint="eastAsia"/>
          <w:szCs w:val="21"/>
        </w:rPr>
        <w:t>201.10</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——新增“与激光器互连产生的热危害和其他危害”，修改了“不用于向患者提供热量的应用部分”、“防护装置”、“水或微粒物质侵入</w:t>
      </w:r>
      <w:r w:rsidRPr="0075218B">
        <w:rPr>
          <w:rFonts w:hint="eastAsia"/>
          <w:szCs w:val="21"/>
        </w:rPr>
        <w:t>ME</w:t>
      </w:r>
      <w:r w:rsidRPr="0075218B">
        <w:rPr>
          <w:rFonts w:hint="eastAsia"/>
          <w:szCs w:val="21"/>
        </w:rPr>
        <w:t>设备和</w:t>
      </w:r>
      <w:r w:rsidRPr="0075218B">
        <w:rPr>
          <w:rFonts w:hint="eastAsia"/>
          <w:szCs w:val="21"/>
        </w:rPr>
        <w:t>ME</w:t>
      </w:r>
      <w:r w:rsidRPr="0075218B">
        <w:rPr>
          <w:rFonts w:hint="eastAsia"/>
          <w:szCs w:val="21"/>
        </w:rPr>
        <w:t>系统”、“与高频手术设备互连造成的热危害和其他危害”（见</w:t>
      </w:r>
      <w:r w:rsidRPr="0075218B">
        <w:rPr>
          <w:rFonts w:hint="eastAsia"/>
          <w:szCs w:val="21"/>
        </w:rPr>
        <w:t>201.11</w:t>
      </w:r>
      <w:r w:rsidRPr="0075218B">
        <w:rPr>
          <w:rFonts w:hint="eastAsia"/>
          <w:szCs w:val="21"/>
        </w:rPr>
        <w:t>）</w:t>
      </w:r>
      <w:bookmarkStart w:id="1" w:name="_GoBack"/>
      <w:bookmarkEnd w:id="1"/>
    </w:p>
    <w:p w:rsidR="0075218B" w:rsidRPr="0075218B" w:rsidRDefault="0075218B" w:rsidP="0075218B">
      <w:pPr>
        <w:spacing w:line="400" w:lineRule="exact"/>
        <w:ind w:firstLineChars="200" w:firstLine="420"/>
        <w:rPr>
          <w:szCs w:val="21"/>
        </w:rPr>
      </w:pPr>
      <w:r w:rsidRPr="0075218B">
        <w:rPr>
          <w:rFonts w:hint="eastAsia"/>
          <w:szCs w:val="21"/>
        </w:rPr>
        <w:t>——新增“可用性”、“报警系统”、“危险输出的防护”（见</w:t>
      </w:r>
      <w:r w:rsidRPr="0075218B">
        <w:rPr>
          <w:rFonts w:hint="eastAsia"/>
          <w:szCs w:val="21"/>
        </w:rPr>
        <w:t>201.12</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——新增</w:t>
      </w:r>
      <w:r w:rsidRPr="0075218B">
        <w:rPr>
          <w:rFonts w:hint="eastAsia"/>
          <w:szCs w:val="21"/>
        </w:rPr>
        <w:t xml:space="preserve"> </w:t>
      </w:r>
      <w:r w:rsidRPr="0075218B">
        <w:rPr>
          <w:rFonts w:hint="eastAsia"/>
          <w:szCs w:val="21"/>
        </w:rPr>
        <w:t>“影像观察”（见</w:t>
      </w:r>
      <w:r w:rsidRPr="0075218B">
        <w:rPr>
          <w:rFonts w:hint="eastAsia"/>
          <w:szCs w:val="21"/>
        </w:rPr>
        <w:t>201.13</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——新增“可编程医用电气系统（</w:t>
      </w:r>
      <w:r w:rsidRPr="0075218B">
        <w:rPr>
          <w:rFonts w:hint="eastAsia"/>
          <w:szCs w:val="21"/>
        </w:rPr>
        <w:t>PEMS</w:t>
      </w:r>
      <w:r w:rsidRPr="0075218B">
        <w:rPr>
          <w:rFonts w:hint="eastAsia"/>
          <w:szCs w:val="21"/>
        </w:rPr>
        <w:t>）”（见</w:t>
      </w:r>
      <w:r w:rsidRPr="0075218B">
        <w:rPr>
          <w:rFonts w:hint="eastAsia"/>
          <w:szCs w:val="21"/>
        </w:rPr>
        <w:t>201.14</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——新增“连接器的构造”，修改了“概述”、“鲁搬运试验”（见</w:t>
      </w:r>
      <w:r w:rsidRPr="0075218B">
        <w:rPr>
          <w:rFonts w:hint="eastAsia"/>
          <w:szCs w:val="21"/>
        </w:rPr>
        <w:t>201.15</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——新增“</w:t>
      </w:r>
      <w:r w:rsidRPr="0075218B">
        <w:rPr>
          <w:rFonts w:hint="eastAsia"/>
          <w:szCs w:val="21"/>
        </w:rPr>
        <w:t>ME</w:t>
      </w:r>
      <w:r w:rsidRPr="0075218B">
        <w:rPr>
          <w:rFonts w:hint="eastAsia"/>
          <w:szCs w:val="21"/>
        </w:rPr>
        <w:t>系统”（见</w:t>
      </w:r>
      <w:r w:rsidRPr="0075218B">
        <w:rPr>
          <w:rFonts w:hint="eastAsia"/>
          <w:szCs w:val="21"/>
        </w:rPr>
        <w:t>201.16</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——修改了“</w:t>
      </w:r>
      <w:r w:rsidRPr="0075218B">
        <w:rPr>
          <w:rFonts w:hint="eastAsia"/>
          <w:szCs w:val="21"/>
        </w:rPr>
        <w:t>ME</w:t>
      </w:r>
      <w:r w:rsidRPr="0075218B">
        <w:rPr>
          <w:rFonts w:hint="eastAsia"/>
          <w:szCs w:val="21"/>
        </w:rPr>
        <w:t>设备和</w:t>
      </w:r>
      <w:r w:rsidRPr="0075218B">
        <w:rPr>
          <w:rFonts w:hint="eastAsia"/>
          <w:szCs w:val="21"/>
        </w:rPr>
        <w:t>ME</w:t>
      </w:r>
      <w:r w:rsidRPr="0075218B">
        <w:rPr>
          <w:rFonts w:hint="eastAsia"/>
          <w:szCs w:val="21"/>
        </w:rPr>
        <w:t>系统的电磁兼容性”、“电磁兼容性——要求和测试”（见</w:t>
      </w:r>
      <w:r w:rsidRPr="0075218B">
        <w:rPr>
          <w:rFonts w:hint="eastAsia"/>
          <w:szCs w:val="21"/>
        </w:rPr>
        <w:t>201.17</w:t>
      </w:r>
      <w:r w:rsidRPr="0075218B">
        <w:rPr>
          <w:rFonts w:hint="eastAsia"/>
          <w:szCs w:val="21"/>
        </w:rPr>
        <w:t>，</w:t>
      </w:r>
      <w:r w:rsidRPr="0075218B">
        <w:rPr>
          <w:rFonts w:hint="eastAsia"/>
          <w:szCs w:val="21"/>
        </w:rPr>
        <w:t>202</w:t>
      </w:r>
      <w:r w:rsidRPr="0075218B">
        <w:rPr>
          <w:rFonts w:hint="eastAsia"/>
          <w:szCs w:val="21"/>
        </w:rPr>
        <w:t>，上一版的第</w:t>
      </w:r>
      <w:r w:rsidRPr="0075218B">
        <w:rPr>
          <w:rFonts w:hint="eastAsia"/>
          <w:szCs w:val="21"/>
        </w:rPr>
        <w:t>36</w:t>
      </w:r>
      <w:r w:rsidRPr="0075218B">
        <w:rPr>
          <w:rFonts w:hint="eastAsia"/>
          <w:szCs w:val="21"/>
        </w:rPr>
        <w:t>章）</w:t>
      </w:r>
    </w:p>
    <w:p w:rsidR="0075218B" w:rsidRPr="0075218B" w:rsidRDefault="0075218B" w:rsidP="0075218B">
      <w:pPr>
        <w:spacing w:line="400" w:lineRule="exact"/>
        <w:ind w:firstLineChars="200" w:firstLine="420"/>
        <w:rPr>
          <w:szCs w:val="21"/>
        </w:rPr>
      </w:pPr>
      <w:r w:rsidRPr="0075218B">
        <w:rPr>
          <w:rFonts w:hint="eastAsia"/>
          <w:szCs w:val="21"/>
        </w:rPr>
        <w:t>——增加了附录</w:t>
      </w:r>
      <w:r w:rsidRPr="0075218B">
        <w:rPr>
          <w:rFonts w:hint="eastAsia"/>
          <w:szCs w:val="21"/>
        </w:rPr>
        <w:t>C</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——附录</w:t>
      </w:r>
      <w:r w:rsidRPr="0075218B">
        <w:rPr>
          <w:rFonts w:hint="eastAsia"/>
          <w:szCs w:val="21"/>
        </w:rPr>
        <w:t>D</w:t>
      </w:r>
      <w:r w:rsidRPr="0075218B">
        <w:rPr>
          <w:rFonts w:hint="eastAsia"/>
          <w:szCs w:val="21"/>
        </w:rPr>
        <w:t>中增加了“照明灯型号或参考型号”的标记符号（见上一版的附录</w:t>
      </w:r>
      <w:r w:rsidRPr="0075218B">
        <w:rPr>
          <w:rFonts w:hint="eastAsia"/>
          <w:szCs w:val="21"/>
        </w:rPr>
        <w:t>D</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——增加了附录</w:t>
      </w:r>
      <w:r w:rsidRPr="0075218B">
        <w:rPr>
          <w:rFonts w:hint="eastAsia"/>
          <w:szCs w:val="21"/>
        </w:rPr>
        <w:t>J</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——修改了附录</w:t>
      </w:r>
      <w:r w:rsidRPr="0075218B">
        <w:rPr>
          <w:rFonts w:hint="eastAsia"/>
          <w:szCs w:val="21"/>
        </w:rPr>
        <w:t>AA</w:t>
      </w:r>
      <w:r w:rsidRPr="0075218B">
        <w:rPr>
          <w:rFonts w:hint="eastAsia"/>
          <w:szCs w:val="21"/>
        </w:rPr>
        <w:t>（见上一版的附录</w:t>
      </w:r>
      <w:r w:rsidRPr="0075218B">
        <w:rPr>
          <w:rFonts w:hint="eastAsia"/>
          <w:szCs w:val="21"/>
        </w:rPr>
        <w:t>AA</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——增加了附录</w:t>
      </w:r>
      <w:r w:rsidRPr="0075218B">
        <w:rPr>
          <w:rFonts w:hint="eastAsia"/>
          <w:szCs w:val="21"/>
        </w:rPr>
        <w:t>BB</w:t>
      </w:r>
      <w:r w:rsidRPr="0075218B">
        <w:rPr>
          <w:rFonts w:hint="eastAsia"/>
          <w:szCs w:val="21"/>
        </w:rPr>
        <w:t>；</w:t>
      </w:r>
    </w:p>
    <w:p w:rsidR="0075218B" w:rsidRPr="0075218B" w:rsidRDefault="0075218B" w:rsidP="0075218B">
      <w:pPr>
        <w:spacing w:line="400" w:lineRule="exact"/>
        <w:ind w:firstLineChars="200" w:firstLine="420"/>
        <w:rPr>
          <w:szCs w:val="21"/>
        </w:rPr>
      </w:pPr>
      <w:r w:rsidRPr="0075218B">
        <w:rPr>
          <w:rFonts w:hint="eastAsia"/>
          <w:szCs w:val="21"/>
        </w:rPr>
        <w:t>——</w:t>
      </w:r>
      <w:r w:rsidR="00491D62">
        <w:rPr>
          <w:rFonts w:hint="eastAsia"/>
          <w:szCs w:val="21"/>
        </w:rPr>
        <w:t>删除</w:t>
      </w:r>
      <w:r w:rsidRPr="0075218B">
        <w:rPr>
          <w:rFonts w:hint="eastAsia"/>
          <w:szCs w:val="21"/>
        </w:rPr>
        <w:t>了附录</w:t>
      </w:r>
      <w:r w:rsidRPr="0075218B">
        <w:rPr>
          <w:rFonts w:hint="eastAsia"/>
          <w:szCs w:val="21"/>
        </w:rPr>
        <w:t>L</w:t>
      </w:r>
      <w:r w:rsidRPr="0075218B">
        <w:rPr>
          <w:rFonts w:hint="eastAsia"/>
          <w:szCs w:val="21"/>
        </w:rPr>
        <w:t>；</w:t>
      </w:r>
    </w:p>
    <w:p w:rsidR="008C321D" w:rsidRPr="006E700C" w:rsidRDefault="0075218B" w:rsidP="0075218B">
      <w:pPr>
        <w:spacing w:line="400" w:lineRule="exact"/>
        <w:ind w:firstLineChars="200" w:firstLine="420"/>
        <w:rPr>
          <w:szCs w:val="21"/>
        </w:rPr>
      </w:pPr>
      <w:r w:rsidRPr="0075218B">
        <w:rPr>
          <w:rFonts w:hint="eastAsia"/>
          <w:szCs w:val="21"/>
        </w:rPr>
        <w:t>——增加了“专用标准中使用的定义术语索引”。</w:t>
      </w:r>
    </w:p>
    <w:p w:rsidR="00BA4CFC" w:rsidRDefault="00F86C65" w:rsidP="00F3610D">
      <w:pPr>
        <w:numPr>
          <w:ilvl w:val="0"/>
          <w:numId w:val="6"/>
        </w:numPr>
        <w:spacing w:line="400" w:lineRule="exact"/>
        <w:rPr>
          <w:rFonts w:hAnsi="宋体"/>
          <w:b/>
          <w:szCs w:val="21"/>
        </w:rPr>
      </w:pPr>
      <w:r w:rsidRPr="00F86C65">
        <w:rPr>
          <w:rFonts w:hAnsi="宋体" w:hint="eastAsia"/>
          <w:b/>
          <w:szCs w:val="21"/>
        </w:rPr>
        <w:lastRenderedPageBreak/>
        <w:t>主要试验验证分析、综述报告</w:t>
      </w:r>
    </w:p>
    <w:p w:rsidR="001A72AA" w:rsidRPr="003D48E9" w:rsidRDefault="001A72AA" w:rsidP="00F3610D">
      <w:pPr>
        <w:spacing w:line="400" w:lineRule="exact"/>
        <w:ind w:firstLineChars="200" w:firstLine="420"/>
        <w:rPr>
          <w:szCs w:val="21"/>
        </w:rPr>
      </w:pPr>
      <w:r w:rsidRPr="003D48E9">
        <w:rPr>
          <w:rFonts w:hAnsi="宋体"/>
          <w:szCs w:val="21"/>
        </w:rPr>
        <w:t>（</w:t>
      </w:r>
      <w:r w:rsidRPr="003D48E9">
        <w:rPr>
          <w:szCs w:val="21"/>
        </w:rPr>
        <w:t>1</w:t>
      </w:r>
      <w:r w:rsidRPr="003D48E9">
        <w:rPr>
          <w:rFonts w:hAnsi="宋体"/>
          <w:szCs w:val="21"/>
        </w:rPr>
        <w:t>）验证情况概述</w:t>
      </w:r>
    </w:p>
    <w:p w:rsidR="0075218B" w:rsidRDefault="0066741A" w:rsidP="00F3610D">
      <w:pPr>
        <w:spacing w:line="400" w:lineRule="exact"/>
        <w:ind w:firstLineChars="200" w:firstLine="420"/>
        <w:rPr>
          <w:rFonts w:hAnsi="宋体"/>
          <w:szCs w:val="21"/>
        </w:rPr>
      </w:pPr>
      <w:r w:rsidRPr="0097366B">
        <w:rPr>
          <w:rFonts w:hAnsi="宋体" w:hint="eastAsia"/>
          <w:szCs w:val="21"/>
        </w:rPr>
        <w:t>需要进行验证的内容主要为：</w:t>
      </w:r>
    </w:p>
    <w:p w:rsidR="0075218B" w:rsidRDefault="0075218B" w:rsidP="00F3610D">
      <w:pPr>
        <w:spacing w:line="400" w:lineRule="exact"/>
        <w:ind w:firstLineChars="200" w:firstLine="420"/>
        <w:rPr>
          <w:rFonts w:hAnsi="宋体"/>
          <w:szCs w:val="21"/>
        </w:rPr>
      </w:pPr>
    </w:p>
    <w:p w:rsidR="0066741A" w:rsidRPr="0097366B" w:rsidRDefault="0066741A" w:rsidP="00F3610D">
      <w:pPr>
        <w:spacing w:line="400" w:lineRule="exact"/>
        <w:ind w:firstLineChars="200" w:firstLine="420"/>
        <w:rPr>
          <w:rFonts w:hAnsi="宋体"/>
          <w:szCs w:val="21"/>
        </w:rPr>
      </w:pPr>
    </w:p>
    <w:p w:rsidR="001A72AA" w:rsidRDefault="001A72AA" w:rsidP="00F3610D">
      <w:pPr>
        <w:spacing w:line="400" w:lineRule="exact"/>
        <w:ind w:firstLineChars="200" w:firstLine="420"/>
        <w:rPr>
          <w:rFonts w:hAnsi="宋体"/>
          <w:szCs w:val="21"/>
        </w:rPr>
      </w:pPr>
      <w:r w:rsidRPr="00311B1D">
        <w:rPr>
          <w:rFonts w:hAnsi="宋体"/>
          <w:szCs w:val="21"/>
        </w:rPr>
        <w:t>对目前厂家的产品</w:t>
      </w:r>
      <w:r w:rsidRPr="003D48E9">
        <w:rPr>
          <w:rFonts w:hAnsi="宋体"/>
          <w:szCs w:val="21"/>
        </w:rPr>
        <w:t>水平和试验方法的可行性进</w:t>
      </w:r>
      <w:r w:rsidR="00311B1D">
        <w:rPr>
          <w:rFonts w:hAnsi="宋体"/>
          <w:szCs w:val="21"/>
        </w:rPr>
        <w:t>行了验证，结果显示目前产品的技术水平和检验机构的检测能力均能</w:t>
      </w:r>
      <w:r w:rsidR="00311B1D">
        <w:rPr>
          <w:rFonts w:hAnsi="宋体" w:hint="eastAsia"/>
          <w:szCs w:val="21"/>
        </w:rPr>
        <w:t>实现</w:t>
      </w:r>
      <w:r w:rsidRPr="003D48E9">
        <w:rPr>
          <w:rFonts w:hAnsi="宋体"/>
          <w:szCs w:val="21"/>
        </w:rPr>
        <w:t>标准的要求。</w:t>
      </w:r>
    </w:p>
    <w:p w:rsidR="001A72AA" w:rsidRPr="003D48E9" w:rsidRDefault="001A72AA" w:rsidP="00F3610D">
      <w:pPr>
        <w:spacing w:line="400" w:lineRule="exact"/>
        <w:ind w:firstLineChars="200" w:firstLine="420"/>
        <w:rPr>
          <w:szCs w:val="21"/>
        </w:rPr>
      </w:pPr>
      <w:r w:rsidRPr="003D48E9">
        <w:rPr>
          <w:rFonts w:hAnsi="宋体"/>
          <w:szCs w:val="21"/>
        </w:rPr>
        <w:t>（</w:t>
      </w:r>
      <w:r w:rsidRPr="003D48E9">
        <w:rPr>
          <w:szCs w:val="21"/>
        </w:rPr>
        <w:t>2</w:t>
      </w:r>
      <w:r w:rsidRPr="003D48E9">
        <w:rPr>
          <w:rFonts w:hAnsi="宋体"/>
          <w:szCs w:val="21"/>
        </w:rPr>
        <w:t>）验证分析和结论</w:t>
      </w:r>
    </w:p>
    <w:p w:rsidR="008C0176" w:rsidRPr="008C0176" w:rsidRDefault="001A72AA" w:rsidP="00F3610D">
      <w:pPr>
        <w:spacing w:line="400" w:lineRule="exact"/>
        <w:ind w:firstLineChars="200" w:firstLine="420"/>
        <w:rPr>
          <w:rFonts w:hAnsi="宋体"/>
          <w:szCs w:val="21"/>
        </w:rPr>
      </w:pPr>
      <w:r w:rsidRPr="003D48E9">
        <w:rPr>
          <w:rFonts w:hAnsi="宋体"/>
          <w:szCs w:val="21"/>
        </w:rPr>
        <w:t>从验证结果可以看出，产品的技术水平能够达到标准的规定，标准中各项技术指标规定合理，满足中等偏上的原则；试验方法具有可操作性。</w:t>
      </w:r>
    </w:p>
    <w:p w:rsidR="00F86C65" w:rsidRPr="009E6B8E" w:rsidRDefault="00F86C65" w:rsidP="00F3610D">
      <w:pPr>
        <w:numPr>
          <w:ilvl w:val="0"/>
          <w:numId w:val="6"/>
        </w:numPr>
        <w:spacing w:line="400" w:lineRule="exact"/>
        <w:rPr>
          <w:rFonts w:hAnsi="宋体"/>
          <w:b/>
          <w:szCs w:val="21"/>
        </w:rPr>
      </w:pPr>
      <w:r w:rsidRPr="009E6B8E">
        <w:rPr>
          <w:rFonts w:hAnsi="宋体"/>
          <w:b/>
          <w:szCs w:val="21"/>
        </w:rPr>
        <w:t>与国际、国外同类标准水平的对比情况</w:t>
      </w:r>
    </w:p>
    <w:p w:rsidR="0066741A" w:rsidRPr="0003071B" w:rsidRDefault="00AB5E82" w:rsidP="00F3610D">
      <w:pPr>
        <w:spacing w:line="400" w:lineRule="exact"/>
        <w:ind w:firstLineChars="200" w:firstLine="420"/>
        <w:rPr>
          <w:rFonts w:hAnsi="宋体"/>
          <w:szCs w:val="21"/>
        </w:rPr>
      </w:pPr>
      <w:r w:rsidRPr="0003071B">
        <w:rPr>
          <w:rFonts w:hAnsi="宋体" w:hint="eastAsia"/>
          <w:szCs w:val="21"/>
        </w:rPr>
        <w:t>本标准等同采用国际标准</w:t>
      </w:r>
      <w:r w:rsidRPr="0003071B">
        <w:rPr>
          <w:rFonts w:hAnsi="宋体" w:hint="eastAsia"/>
          <w:szCs w:val="21"/>
        </w:rPr>
        <w:t>IEC</w:t>
      </w:r>
      <w:r w:rsidRPr="0003071B">
        <w:rPr>
          <w:rFonts w:hint="eastAsia"/>
          <w:szCs w:val="21"/>
        </w:rPr>
        <w:t xml:space="preserve"> </w:t>
      </w:r>
      <w:r w:rsidRPr="0003071B">
        <w:rPr>
          <w:szCs w:val="21"/>
        </w:rPr>
        <w:t>60601-2-18:2009</w:t>
      </w:r>
      <w:r w:rsidR="0003071B" w:rsidRPr="0003071B">
        <w:rPr>
          <w:rFonts w:hint="eastAsia"/>
          <w:szCs w:val="21"/>
        </w:rPr>
        <w:t>。</w:t>
      </w:r>
    </w:p>
    <w:p w:rsidR="00F86C65" w:rsidRPr="00646034" w:rsidRDefault="00921232" w:rsidP="00F3610D">
      <w:pPr>
        <w:numPr>
          <w:ilvl w:val="0"/>
          <w:numId w:val="6"/>
        </w:numPr>
        <w:spacing w:line="400" w:lineRule="exact"/>
        <w:rPr>
          <w:rFonts w:hAnsi="宋体"/>
          <w:b/>
          <w:szCs w:val="21"/>
        </w:rPr>
      </w:pPr>
      <w:r w:rsidRPr="00646034">
        <w:rPr>
          <w:rFonts w:hAnsi="宋体"/>
          <w:b/>
          <w:szCs w:val="21"/>
        </w:rPr>
        <w:t>与有关的现行法律、法规和强制性国家标准的关系</w:t>
      </w:r>
    </w:p>
    <w:p w:rsidR="00921232" w:rsidRPr="00646034" w:rsidRDefault="005411E1" w:rsidP="00F3610D">
      <w:pPr>
        <w:pStyle w:val="af3"/>
        <w:spacing w:line="400" w:lineRule="exact"/>
        <w:ind w:firstLineChars="195" w:firstLine="409"/>
      </w:pPr>
      <w:r>
        <w:rPr>
          <w:rFonts w:hint="eastAsia"/>
        </w:rPr>
        <w:t>本部分</w:t>
      </w:r>
      <w:r w:rsidR="00B723C8">
        <w:rPr>
          <w:rFonts w:hint="eastAsia"/>
        </w:rPr>
        <w:t>与有关的现行法律、法规和强制性国家标准不存在冲突。</w:t>
      </w:r>
    </w:p>
    <w:p w:rsidR="00921232" w:rsidRPr="00646034" w:rsidRDefault="00C444EB" w:rsidP="00F3610D">
      <w:pPr>
        <w:numPr>
          <w:ilvl w:val="0"/>
          <w:numId w:val="6"/>
        </w:numPr>
        <w:spacing w:line="400" w:lineRule="exact"/>
        <w:rPr>
          <w:rFonts w:hAnsi="宋体"/>
          <w:b/>
          <w:szCs w:val="21"/>
        </w:rPr>
      </w:pPr>
      <w:r w:rsidRPr="00646034">
        <w:rPr>
          <w:rFonts w:hAnsi="宋体"/>
          <w:b/>
          <w:szCs w:val="21"/>
        </w:rPr>
        <w:t>重大分歧意见的处理经过和依据</w:t>
      </w:r>
    </w:p>
    <w:p w:rsidR="00C444EB" w:rsidRPr="00646034" w:rsidRDefault="00C444EB" w:rsidP="00F3610D">
      <w:pPr>
        <w:spacing w:line="400" w:lineRule="exact"/>
        <w:ind w:firstLineChars="202" w:firstLine="424"/>
        <w:rPr>
          <w:rFonts w:hAnsi="宋体"/>
          <w:szCs w:val="21"/>
        </w:rPr>
      </w:pPr>
      <w:r w:rsidRPr="00646034">
        <w:rPr>
          <w:rFonts w:hAnsi="宋体" w:hint="eastAsia"/>
          <w:szCs w:val="21"/>
        </w:rPr>
        <w:t>无重大分歧</w:t>
      </w:r>
      <w:r w:rsidR="00BE436D">
        <w:rPr>
          <w:rFonts w:hAnsi="宋体" w:hint="eastAsia"/>
          <w:szCs w:val="21"/>
        </w:rPr>
        <w:t>意见</w:t>
      </w:r>
      <w:r w:rsidRPr="00646034">
        <w:rPr>
          <w:rFonts w:hAnsi="宋体" w:hint="eastAsia"/>
          <w:szCs w:val="21"/>
        </w:rPr>
        <w:t>。</w:t>
      </w:r>
    </w:p>
    <w:p w:rsidR="00C444EB" w:rsidRPr="00C444EB" w:rsidRDefault="00C444EB" w:rsidP="00F3610D">
      <w:pPr>
        <w:numPr>
          <w:ilvl w:val="0"/>
          <w:numId w:val="6"/>
        </w:numPr>
        <w:spacing w:line="400" w:lineRule="exact"/>
        <w:rPr>
          <w:rFonts w:hAnsi="宋体"/>
          <w:b/>
          <w:szCs w:val="21"/>
        </w:rPr>
      </w:pPr>
      <w:r w:rsidRPr="00C444EB">
        <w:rPr>
          <w:rFonts w:hAnsi="宋体"/>
          <w:b/>
          <w:szCs w:val="21"/>
        </w:rPr>
        <w:t>标准作为强制性标准或推荐性标准的建议</w:t>
      </w:r>
    </w:p>
    <w:p w:rsidR="00C444EB" w:rsidRPr="006E700C" w:rsidRDefault="0003071B" w:rsidP="00F3610D">
      <w:pPr>
        <w:spacing w:line="400" w:lineRule="exact"/>
        <w:ind w:firstLineChars="201" w:firstLine="422"/>
        <w:rPr>
          <w:rFonts w:hAnsi="宋体"/>
          <w:szCs w:val="21"/>
        </w:rPr>
      </w:pPr>
      <w:r w:rsidRPr="006E700C">
        <w:rPr>
          <w:rFonts w:hAnsi="宋体" w:hint="eastAsia"/>
          <w:szCs w:val="21"/>
        </w:rPr>
        <w:t>建议作为强制</w:t>
      </w:r>
      <w:r w:rsidR="0097366B" w:rsidRPr="006E700C">
        <w:rPr>
          <w:rFonts w:hAnsi="宋体" w:hint="eastAsia"/>
          <w:szCs w:val="21"/>
        </w:rPr>
        <w:t>性标准发布</w:t>
      </w:r>
      <w:r w:rsidRPr="006E700C">
        <w:rPr>
          <w:rFonts w:hAnsi="宋体" w:hint="eastAsia"/>
          <w:szCs w:val="21"/>
        </w:rPr>
        <w:t>，理由如下：与本标准配套使用的标准</w:t>
      </w:r>
      <w:r w:rsidRPr="006E700C">
        <w:rPr>
          <w:rFonts w:hAnsi="宋体"/>
          <w:szCs w:val="21"/>
        </w:rPr>
        <w:t>GB9706.1</w:t>
      </w:r>
      <w:r w:rsidRPr="006E700C">
        <w:rPr>
          <w:rFonts w:hAnsi="宋体" w:hint="eastAsia"/>
          <w:szCs w:val="21"/>
        </w:rPr>
        <w:t>-20**</w:t>
      </w:r>
      <w:r w:rsidRPr="006E700C">
        <w:rPr>
          <w:rFonts w:hAnsi="宋体" w:hint="eastAsia"/>
          <w:szCs w:val="21"/>
        </w:rPr>
        <w:t>为强制性标准，同样建议本标准作为强制性标准发布。</w:t>
      </w:r>
    </w:p>
    <w:p w:rsidR="00921232" w:rsidRPr="002811EF" w:rsidRDefault="002811EF" w:rsidP="00F3610D">
      <w:pPr>
        <w:numPr>
          <w:ilvl w:val="0"/>
          <w:numId w:val="6"/>
        </w:numPr>
        <w:spacing w:line="400" w:lineRule="exact"/>
        <w:rPr>
          <w:rFonts w:hAnsi="宋体"/>
          <w:b/>
          <w:szCs w:val="21"/>
        </w:rPr>
      </w:pPr>
      <w:r w:rsidRPr="002811EF">
        <w:rPr>
          <w:rFonts w:hAnsi="宋体"/>
          <w:b/>
          <w:szCs w:val="21"/>
        </w:rPr>
        <w:t>贯彻标准的要求和措施建议</w:t>
      </w:r>
    </w:p>
    <w:p w:rsidR="0075218B" w:rsidRDefault="001311DB" w:rsidP="00F3610D">
      <w:pPr>
        <w:spacing w:line="400" w:lineRule="exact"/>
        <w:ind w:firstLineChars="202" w:firstLine="424"/>
        <w:rPr>
          <w:rFonts w:hAnsi="宋体"/>
          <w:szCs w:val="21"/>
        </w:rPr>
      </w:pPr>
      <w:r w:rsidRPr="003D48E9">
        <w:rPr>
          <w:rFonts w:hAnsi="宋体"/>
          <w:szCs w:val="21"/>
        </w:rPr>
        <w:t>为便于生产企业理解和贯彻标准，</w:t>
      </w:r>
      <w:r>
        <w:rPr>
          <w:rFonts w:hAnsi="宋体" w:hint="eastAsia"/>
          <w:szCs w:val="21"/>
        </w:rPr>
        <w:t>建议</w:t>
      </w:r>
      <w:r w:rsidR="005411E1">
        <w:rPr>
          <w:rFonts w:hAnsi="宋体"/>
          <w:szCs w:val="21"/>
        </w:rPr>
        <w:t>本部分</w:t>
      </w:r>
      <w:r w:rsidRPr="004730EA">
        <w:rPr>
          <w:rFonts w:hAnsi="宋体"/>
          <w:szCs w:val="21"/>
        </w:rPr>
        <w:t>从发布之日起，可给予一年过渡期，一年后正式实施</w:t>
      </w:r>
      <w:r>
        <w:rPr>
          <w:rFonts w:hAnsi="宋体" w:hint="eastAsia"/>
          <w:szCs w:val="21"/>
        </w:rPr>
        <w:t>。</w:t>
      </w:r>
    </w:p>
    <w:p w:rsidR="002811EF" w:rsidRDefault="00AA471E" w:rsidP="00F3610D">
      <w:pPr>
        <w:spacing w:line="400" w:lineRule="exact"/>
        <w:ind w:firstLineChars="202" w:firstLine="424"/>
        <w:rPr>
          <w:rFonts w:hAnsi="宋体"/>
          <w:szCs w:val="21"/>
        </w:rPr>
      </w:pPr>
      <w:r w:rsidRPr="00AA471E">
        <w:rPr>
          <w:rFonts w:hAnsi="宋体" w:hint="eastAsia"/>
          <w:szCs w:val="21"/>
        </w:rPr>
        <w:t>宣贯对象主要是医疗器械行政监管、审评、制造、检测、临床机构等相关标准使用方。</w:t>
      </w:r>
    </w:p>
    <w:p w:rsidR="002811EF" w:rsidRPr="001655F1" w:rsidRDefault="001655F1" w:rsidP="00F3610D">
      <w:pPr>
        <w:numPr>
          <w:ilvl w:val="0"/>
          <w:numId w:val="6"/>
        </w:numPr>
        <w:spacing w:line="400" w:lineRule="exact"/>
        <w:rPr>
          <w:rFonts w:hAnsi="宋体"/>
          <w:b/>
          <w:szCs w:val="21"/>
        </w:rPr>
      </w:pPr>
      <w:r w:rsidRPr="001655F1">
        <w:rPr>
          <w:rFonts w:hAnsi="宋体"/>
          <w:b/>
          <w:szCs w:val="21"/>
        </w:rPr>
        <w:t>废止现行有关标准的建议</w:t>
      </w:r>
    </w:p>
    <w:p w:rsidR="00EF5002" w:rsidRDefault="005411E1" w:rsidP="00F3610D">
      <w:pPr>
        <w:spacing w:line="400" w:lineRule="exact"/>
        <w:ind w:firstLineChars="202" w:firstLine="424"/>
        <w:rPr>
          <w:color w:val="000000"/>
        </w:rPr>
      </w:pPr>
      <w:r>
        <w:rPr>
          <w:rFonts w:hint="eastAsia"/>
          <w:color w:val="000000"/>
        </w:rPr>
        <w:t>本部分</w:t>
      </w:r>
      <w:r w:rsidR="001655F1" w:rsidRPr="00394560">
        <w:rPr>
          <w:rFonts w:hint="eastAsia"/>
          <w:color w:val="000000"/>
        </w:rPr>
        <w:t>自实施之日起，代替</w:t>
      </w:r>
      <w:r w:rsidR="00403820" w:rsidRPr="00005CB3">
        <w:t>GB9706.19</w:t>
      </w:r>
      <w:r w:rsidR="00403820">
        <w:rPr>
          <w:rFonts w:hint="eastAsia"/>
        </w:rPr>
        <w:t>-</w:t>
      </w:r>
      <w:r w:rsidR="00AB5E82">
        <w:t>200</w:t>
      </w:r>
      <w:r w:rsidR="00AB5E82">
        <w:rPr>
          <w:rFonts w:hint="eastAsia"/>
        </w:rPr>
        <w:t>0</w:t>
      </w:r>
      <w:r w:rsidR="001655F1" w:rsidRPr="00394560">
        <w:rPr>
          <w:rFonts w:hint="eastAsia"/>
          <w:color w:val="000000"/>
        </w:rPr>
        <w:t>。</w:t>
      </w:r>
    </w:p>
    <w:p w:rsidR="001655F1" w:rsidRPr="001655F1" w:rsidRDefault="001655F1" w:rsidP="00F3610D">
      <w:pPr>
        <w:numPr>
          <w:ilvl w:val="0"/>
          <w:numId w:val="6"/>
        </w:numPr>
        <w:spacing w:line="400" w:lineRule="exact"/>
        <w:rPr>
          <w:rFonts w:hAnsi="宋体"/>
          <w:b/>
          <w:szCs w:val="21"/>
        </w:rPr>
      </w:pPr>
      <w:r w:rsidRPr="001655F1">
        <w:rPr>
          <w:rFonts w:hAnsi="宋体"/>
          <w:b/>
          <w:szCs w:val="21"/>
        </w:rPr>
        <w:t>其他应予说明的事项</w:t>
      </w:r>
    </w:p>
    <w:p w:rsidR="001655F1" w:rsidRDefault="001655F1" w:rsidP="00F3610D">
      <w:pPr>
        <w:spacing w:line="400" w:lineRule="exact"/>
        <w:ind w:left="360"/>
        <w:rPr>
          <w:rFonts w:hAnsi="宋体"/>
          <w:szCs w:val="21"/>
        </w:rPr>
      </w:pPr>
      <w:r w:rsidRPr="001655F1">
        <w:rPr>
          <w:rFonts w:hAnsi="宋体" w:hint="eastAsia"/>
          <w:szCs w:val="21"/>
        </w:rPr>
        <w:t>无。</w:t>
      </w:r>
    </w:p>
    <w:p w:rsidR="00403820" w:rsidRPr="001655F1" w:rsidRDefault="00403820" w:rsidP="00F3610D">
      <w:pPr>
        <w:spacing w:line="400" w:lineRule="exact"/>
        <w:ind w:left="360"/>
        <w:rPr>
          <w:rFonts w:hAnsi="宋体"/>
          <w:szCs w:val="21"/>
        </w:rPr>
      </w:pPr>
    </w:p>
    <w:p w:rsidR="00123526" w:rsidRDefault="00A04FE0" w:rsidP="00F3610D">
      <w:pPr>
        <w:spacing w:line="400" w:lineRule="exact"/>
        <w:jc w:val="right"/>
        <w:rPr>
          <w:rFonts w:hAnsi="宋体"/>
          <w:szCs w:val="21"/>
        </w:rPr>
      </w:pPr>
      <w:r w:rsidRPr="00BA4CFC">
        <w:rPr>
          <w:rFonts w:hAnsi="宋体" w:hint="eastAsia"/>
          <w:szCs w:val="21"/>
        </w:rPr>
        <w:t>《</w:t>
      </w:r>
      <w:r w:rsidR="00403820" w:rsidRPr="00403820">
        <w:rPr>
          <w:rFonts w:hAnsi="宋体" w:hint="eastAsia"/>
          <w:bCs/>
          <w:szCs w:val="21"/>
        </w:rPr>
        <w:t>医用电气设备</w:t>
      </w:r>
      <w:r w:rsidR="00403820" w:rsidRPr="00403820">
        <w:rPr>
          <w:rFonts w:hAnsi="宋体" w:hint="eastAsia"/>
          <w:bCs/>
          <w:szCs w:val="21"/>
        </w:rPr>
        <w:t>-</w:t>
      </w:r>
      <w:r w:rsidR="00403820" w:rsidRPr="00403820">
        <w:rPr>
          <w:rFonts w:hAnsi="宋体" w:hint="eastAsia"/>
          <w:bCs/>
          <w:szCs w:val="21"/>
        </w:rPr>
        <w:t>第</w:t>
      </w:r>
      <w:r w:rsidR="00403820" w:rsidRPr="00403820">
        <w:rPr>
          <w:rFonts w:hAnsi="宋体" w:hint="eastAsia"/>
          <w:bCs/>
          <w:szCs w:val="21"/>
        </w:rPr>
        <w:t>2</w:t>
      </w:r>
      <w:r w:rsidR="00403820" w:rsidRPr="00403820">
        <w:rPr>
          <w:rFonts w:hAnsi="宋体" w:hint="eastAsia"/>
          <w:bCs/>
          <w:szCs w:val="21"/>
        </w:rPr>
        <w:t>部分：内窥镜设备基本安全与基本性能专用要求</w:t>
      </w:r>
      <w:r w:rsidRPr="00BA4CFC">
        <w:rPr>
          <w:rFonts w:hAnsi="宋体" w:hint="eastAsia"/>
          <w:szCs w:val="21"/>
        </w:rPr>
        <w:t>》</w:t>
      </w:r>
      <w:r w:rsidR="00403820">
        <w:rPr>
          <w:rFonts w:hAnsi="宋体" w:hint="eastAsia"/>
          <w:szCs w:val="21"/>
        </w:rPr>
        <w:t>国家</w:t>
      </w:r>
      <w:r w:rsidR="00123526" w:rsidRPr="004730EA">
        <w:rPr>
          <w:rFonts w:hAnsi="宋体"/>
          <w:szCs w:val="21"/>
        </w:rPr>
        <w:t>标准起草小组</w:t>
      </w:r>
    </w:p>
    <w:p w:rsidR="00F539DD" w:rsidRPr="004730EA" w:rsidRDefault="00123526" w:rsidP="00F3610D">
      <w:pPr>
        <w:spacing w:line="400" w:lineRule="exact"/>
        <w:ind w:firstLineChars="2900" w:firstLine="6090"/>
        <w:jc w:val="right"/>
      </w:pPr>
      <w:r w:rsidRPr="004730EA">
        <w:rPr>
          <w:szCs w:val="21"/>
        </w:rPr>
        <w:t>20</w:t>
      </w:r>
      <w:r w:rsidR="00A04FE0">
        <w:rPr>
          <w:szCs w:val="21"/>
        </w:rPr>
        <w:t>1</w:t>
      </w:r>
      <w:r w:rsidR="0012788E">
        <w:rPr>
          <w:rFonts w:hint="eastAsia"/>
          <w:szCs w:val="21"/>
        </w:rPr>
        <w:t>9</w:t>
      </w:r>
      <w:r w:rsidR="0012788E">
        <w:rPr>
          <w:rFonts w:hint="eastAsia"/>
          <w:szCs w:val="21"/>
        </w:rPr>
        <w:t>年</w:t>
      </w:r>
      <w:r w:rsidR="00FA0628">
        <w:rPr>
          <w:rFonts w:hint="eastAsia"/>
          <w:szCs w:val="21"/>
        </w:rPr>
        <w:t>6</w:t>
      </w:r>
      <w:r w:rsidR="0012788E">
        <w:rPr>
          <w:rFonts w:hint="eastAsia"/>
          <w:szCs w:val="21"/>
        </w:rPr>
        <w:t>月</w:t>
      </w:r>
    </w:p>
    <w:sectPr w:rsidR="00F539DD" w:rsidRPr="004730EA" w:rsidSect="004D0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5F" w:rsidRDefault="0064195F" w:rsidP="00B70677">
      <w:r>
        <w:separator/>
      </w:r>
    </w:p>
  </w:endnote>
  <w:endnote w:type="continuationSeparator" w:id="0">
    <w:p w:rsidR="0064195F" w:rsidRDefault="0064195F" w:rsidP="00B7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5F" w:rsidRDefault="0064195F" w:rsidP="00B70677">
      <w:r>
        <w:separator/>
      </w:r>
    </w:p>
  </w:footnote>
  <w:footnote w:type="continuationSeparator" w:id="0">
    <w:p w:rsidR="0064195F" w:rsidRDefault="0064195F" w:rsidP="00B70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B4F"/>
    <w:multiLevelType w:val="hybridMultilevel"/>
    <w:tmpl w:val="E752B8D0"/>
    <w:lvl w:ilvl="0" w:tplc="70FE524E">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9905CA"/>
    <w:multiLevelType w:val="hybridMultilevel"/>
    <w:tmpl w:val="B122E8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5DE1381"/>
    <w:multiLevelType w:val="hybridMultilevel"/>
    <w:tmpl w:val="03FE6120"/>
    <w:lvl w:ilvl="0" w:tplc="07C2EF8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C6E55F3"/>
    <w:multiLevelType w:val="hybridMultilevel"/>
    <w:tmpl w:val="D14E22C4"/>
    <w:lvl w:ilvl="0" w:tplc="0E88FDF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FE77C85"/>
    <w:multiLevelType w:val="hybridMultilevel"/>
    <w:tmpl w:val="CAE68158"/>
    <w:lvl w:ilvl="0" w:tplc="0E646EBE">
      <w:numFmt w:val="bullet"/>
      <w:lvlText w:val="—"/>
      <w:lvlJc w:val="left"/>
      <w:pPr>
        <w:ind w:left="852" w:hanging="432"/>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84E4812"/>
    <w:multiLevelType w:val="hybridMultilevel"/>
    <w:tmpl w:val="3DFC4DA8"/>
    <w:lvl w:ilvl="0" w:tplc="2B8E4C80">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92354C"/>
    <w:multiLevelType w:val="hybridMultilevel"/>
    <w:tmpl w:val="BAA26498"/>
    <w:lvl w:ilvl="0" w:tplc="70FE524E">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1E12129"/>
    <w:multiLevelType w:val="hybridMultilevel"/>
    <w:tmpl w:val="CB168C00"/>
    <w:lvl w:ilvl="0" w:tplc="70FE524E">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E9509D"/>
    <w:multiLevelType w:val="hybridMultilevel"/>
    <w:tmpl w:val="9B6AD3B8"/>
    <w:lvl w:ilvl="0" w:tplc="3EEEA648">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496E4D7B"/>
    <w:multiLevelType w:val="hybridMultilevel"/>
    <w:tmpl w:val="F4D8ACC4"/>
    <w:lvl w:ilvl="0" w:tplc="23C0052E">
      <w:start w:val="1"/>
      <w:numFmt w:val="none"/>
      <w:pStyle w:val="a"/>
      <w:lvlText w:val="%1注"/>
      <w:lvlJc w:val="left"/>
      <w:pPr>
        <w:tabs>
          <w:tab w:val="num" w:pos="900"/>
        </w:tabs>
        <w:ind w:left="900" w:hanging="50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EA10BE4"/>
    <w:multiLevelType w:val="hybridMultilevel"/>
    <w:tmpl w:val="B5FCF188"/>
    <w:lvl w:ilvl="0" w:tplc="E904C890">
      <w:start w:val="1"/>
      <w:numFmt w:val="decimal"/>
      <w:lvlText w:val="%1）"/>
      <w:lvlJc w:val="left"/>
      <w:pPr>
        <w:tabs>
          <w:tab w:val="num" w:pos="1155"/>
        </w:tabs>
        <w:ind w:left="1155" w:hanging="735"/>
      </w:pPr>
      <w:rPr>
        <w:rFonts w:hint="default"/>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57D3FBC"/>
    <w:multiLevelType w:val="multilevel"/>
    <w:tmpl w:val="6F881D34"/>
    <w:lvl w:ilvl="0">
      <w:start w:val="1"/>
      <w:numFmt w:val="upperLetter"/>
      <w:pStyle w:val="a0"/>
      <w:suff w:val="nothing"/>
      <w:lvlText w:val="附　录　%1"/>
      <w:lvlJc w:val="left"/>
      <w:pPr>
        <w:ind w:left="4095" w:firstLine="0"/>
      </w:pPr>
      <w:rPr>
        <w:rFonts w:ascii="黑体" w:eastAsia="黑体" w:hAnsi="Times New Roman" w:hint="eastAsia"/>
        <w:b w:val="0"/>
        <w:i w:val="0"/>
        <w:sz w:val="21"/>
        <w:lang w:val="en-US"/>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6CEA2025"/>
    <w:multiLevelType w:val="multilevel"/>
    <w:tmpl w:val="387C4EA6"/>
    <w:lvl w:ilvl="0">
      <w:start w:val="1"/>
      <w:numFmt w:val="none"/>
      <w:pStyle w:val="a7"/>
      <w:suff w:val="nothing"/>
      <w:lvlText w:val="%1"/>
      <w:lvlJc w:val="left"/>
      <w:pPr>
        <w:ind w:left="0" w:firstLine="0"/>
      </w:pPr>
      <w:rPr>
        <w:rFonts w:ascii="Times New Roman" w:hAnsi="Times New Roman" w:hint="default"/>
        <w:b/>
        <w:i w:val="0"/>
        <w:sz w:val="21"/>
      </w:rPr>
    </w:lvl>
    <w:lvl w:ilvl="1">
      <w:start w:val="1"/>
      <w:numFmt w:val="decimal"/>
      <w:pStyle w:val="a8"/>
      <w:suff w:val="nothing"/>
      <w:lvlText w:val="%1%2　"/>
      <w:lvlJc w:val="left"/>
      <w:pPr>
        <w:ind w:left="0" w:firstLine="0"/>
      </w:pPr>
      <w:rPr>
        <w:rFonts w:ascii="黑体" w:eastAsia="黑体" w:hAnsi="Times New Roman" w:hint="eastAsia"/>
        <w:b/>
        <w:i w:val="0"/>
        <w:sz w:val="21"/>
      </w:rPr>
    </w:lvl>
    <w:lvl w:ilvl="2">
      <w:start w:val="1"/>
      <w:numFmt w:val="decimal"/>
      <w:pStyle w:val="a9"/>
      <w:suff w:val="nothing"/>
      <w:lvlText w:val="%1%2.%3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6DBF04F4"/>
    <w:multiLevelType w:val="hybridMultilevel"/>
    <w:tmpl w:val="F9BC5F7A"/>
    <w:lvl w:ilvl="0" w:tplc="59FA5E12">
      <w:start w:val="1"/>
      <w:numFmt w:val="none"/>
      <w:pStyle w:val="ae"/>
      <w:lvlText w:val="%1注："/>
      <w:lvlJc w:val="left"/>
      <w:pPr>
        <w:tabs>
          <w:tab w:val="num" w:pos="1140"/>
        </w:tabs>
        <w:ind w:left="840" w:hanging="420"/>
      </w:pPr>
      <w:rPr>
        <w:rFonts w:ascii="宋体" w:eastAsia="宋体" w:hAnsi="Times New Roman" w:hint="eastAsia"/>
        <w:b w:val="0"/>
        <w:i w:val="0"/>
        <w:sz w:val="18"/>
      </w:rPr>
    </w:lvl>
    <w:lvl w:ilvl="1" w:tplc="67906082">
      <w:start w:val="1"/>
      <w:numFmt w:val="lowerLetter"/>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418C1D4C">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11"/>
  </w:num>
  <w:num w:numId="3">
    <w:abstractNumId w:val="9"/>
  </w:num>
  <w:num w:numId="4">
    <w:abstractNumId w:val="13"/>
  </w:num>
  <w:num w:numId="5">
    <w:abstractNumId w:val="8"/>
  </w:num>
  <w:num w:numId="6">
    <w:abstractNumId w:val="2"/>
  </w:num>
  <w:num w:numId="7">
    <w:abstractNumId w:val="1"/>
  </w:num>
  <w:num w:numId="8">
    <w:abstractNumId w:val="5"/>
  </w:num>
  <w:num w:numId="9">
    <w:abstractNumId w:val="7"/>
  </w:num>
  <w:num w:numId="10">
    <w:abstractNumId w:val="6"/>
  </w:num>
  <w:num w:numId="11">
    <w:abstractNumId w:val="0"/>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481D"/>
    <w:rsid w:val="00000CE7"/>
    <w:rsid w:val="00005CB3"/>
    <w:rsid w:val="00015688"/>
    <w:rsid w:val="00023FFF"/>
    <w:rsid w:val="00024151"/>
    <w:rsid w:val="000276F8"/>
    <w:rsid w:val="0003071B"/>
    <w:rsid w:val="00050E27"/>
    <w:rsid w:val="000510D8"/>
    <w:rsid w:val="000544D7"/>
    <w:rsid w:val="00055DF6"/>
    <w:rsid w:val="00062CD1"/>
    <w:rsid w:val="00062E02"/>
    <w:rsid w:val="00077184"/>
    <w:rsid w:val="00077662"/>
    <w:rsid w:val="00080748"/>
    <w:rsid w:val="00083837"/>
    <w:rsid w:val="00086AE9"/>
    <w:rsid w:val="00087902"/>
    <w:rsid w:val="00091B64"/>
    <w:rsid w:val="000A1742"/>
    <w:rsid w:val="000A3868"/>
    <w:rsid w:val="000C0CBE"/>
    <w:rsid w:val="000C3F48"/>
    <w:rsid w:val="000C6FCD"/>
    <w:rsid w:val="000D26C5"/>
    <w:rsid w:val="000D7973"/>
    <w:rsid w:val="000E3FE7"/>
    <w:rsid w:val="000E5529"/>
    <w:rsid w:val="000F4617"/>
    <w:rsid w:val="000F6B42"/>
    <w:rsid w:val="001032C6"/>
    <w:rsid w:val="00104411"/>
    <w:rsid w:val="00104EE7"/>
    <w:rsid w:val="00114AA6"/>
    <w:rsid w:val="00123526"/>
    <w:rsid w:val="001239DB"/>
    <w:rsid w:val="0012788E"/>
    <w:rsid w:val="001311DB"/>
    <w:rsid w:val="00131230"/>
    <w:rsid w:val="00136CC0"/>
    <w:rsid w:val="00143660"/>
    <w:rsid w:val="001545D5"/>
    <w:rsid w:val="00154F23"/>
    <w:rsid w:val="001560E1"/>
    <w:rsid w:val="00156830"/>
    <w:rsid w:val="001605AA"/>
    <w:rsid w:val="00163BEE"/>
    <w:rsid w:val="00165143"/>
    <w:rsid w:val="001655F1"/>
    <w:rsid w:val="00166461"/>
    <w:rsid w:val="00182658"/>
    <w:rsid w:val="00183F44"/>
    <w:rsid w:val="00194AB6"/>
    <w:rsid w:val="001A1222"/>
    <w:rsid w:val="001A56C2"/>
    <w:rsid w:val="001A72AA"/>
    <w:rsid w:val="001B19A8"/>
    <w:rsid w:val="001B63BA"/>
    <w:rsid w:val="001C6B67"/>
    <w:rsid w:val="001D7221"/>
    <w:rsid w:val="001F357E"/>
    <w:rsid w:val="001F529B"/>
    <w:rsid w:val="0020508B"/>
    <w:rsid w:val="00221847"/>
    <w:rsid w:val="00221AC3"/>
    <w:rsid w:val="00221FA6"/>
    <w:rsid w:val="002254AE"/>
    <w:rsid w:val="00232FC3"/>
    <w:rsid w:val="00236BBA"/>
    <w:rsid w:val="0024246A"/>
    <w:rsid w:val="002433BD"/>
    <w:rsid w:val="00246033"/>
    <w:rsid w:val="0025150A"/>
    <w:rsid w:val="00254D1C"/>
    <w:rsid w:val="00261693"/>
    <w:rsid w:val="0026361A"/>
    <w:rsid w:val="00275E38"/>
    <w:rsid w:val="00277F85"/>
    <w:rsid w:val="002811EF"/>
    <w:rsid w:val="00282102"/>
    <w:rsid w:val="00284268"/>
    <w:rsid w:val="002874BB"/>
    <w:rsid w:val="0029086D"/>
    <w:rsid w:val="00290C8D"/>
    <w:rsid w:val="00292BA6"/>
    <w:rsid w:val="00295E11"/>
    <w:rsid w:val="00296724"/>
    <w:rsid w:val="002A1340"/>
    <w:rsid w:val="002A32C6"/>
    <w:rsid w:val="002A3E78"/>
    <w:rsid w:val="002B4933"/>
    <w:rsid w:val="002B5502"/>
    <w:rsid w:val="002B5EAA"/>
    <w:rsid w:val="002C0488"/>
    <w:rsid w:val="002C0861"/>
    <w:rsid w:val="002C2331"/>
    <w:rsid w:val="002C7962"/>
    <w:rsid w:val="002E4DF2"/>
    <w:rsid w:val="002F1802"/>
    <w:rsid w:val="002F3653"/>
    <w:rsid w:val="002F608F"/>
    <w:rsid w:val="002F6E46"/>
    <w:rsid w:val="002F7C8A"/>
    <w:rsid w:val="003014F2"/>
    <w:rsid w:val="00307564"/>
    <w:rsid w:val="00311B1D"/>
    <w:rsid w:val="00313438"/>
    <w:rsid w:val="00314248"/>
    <w:rsid w:val="003179B9"/>
    <w:rsid w:val="003230B6"/>
    <w:rsid w:val="00324C9D"/>
    <w:rsid w:val="003301C4"/>
    <w:rsid w:val="00337AF9"/>
    <w:rsid w:val="00342006"/>
    <w:rsid w:val="00342945"/>
    <w:rsid w:val="00343976"/>
    <w:rsid w:val="00345ACE"/>
    <w:rsid w:val="00354222"/>
    <w:rsid w:val="00354F45"/>
    <w:rsid w:val="00363004"/>
    <w:rsid w:val="0037280C"/>
    <w:rsid w:val="00377C1F"/>
    <w:rsid w:val="00383D7E"/>
    <w:rsid w:val="00384A0B"/>
    <w:rsid w:val="00387135"/>
    <w:rsid w:val="00393536"/>
    <w:rsid w:val="00394560"/>
    <w:rsid w:val="0039589E"/>
    <w:rsid w:val="003A1DED"/>
    <w:rsid w:val="003B1AB9"/>
    <w:rsid w:val="003B1C31"/>
    <w:rsid w:val="003B362F"/>
    <w:rsid w:val="003B51E2"/>
    <w:rsid w:val="003C25EA"/>
    <w:rsid w:val="003C6A2D"/>
    <w:rsid w:val="003D3AB5"/>
    <w:rsid w:val="003D48E9"/>
    <w:rsid w:val="003D6015"/>
    <w:rsid w:val="003D6873"/>
    <w:rsid w:val="003E6907"/>
    <w:rsid w:val="003F1C22"/>
    <w:rsid w:val="003F742F"/>
    <w:rsid w:val="00403820"/>
    <w:rsid w:val="004064E0"/>
    <w:rsid w:val="00416BC1"/>
    <w:rsid w:val="0043182F"/>
    <w:rsid w:val="00432F78"/>
    <w:rsid w:val="00435E65"/>
    <w:rsid w:val="00436377"/>
    <w:rsid w:val="00437BD0"/>
    <w:rsid w:val="00446D56"/>
    <w:rsid w:val="004556EC"/>
    <w:rsid w:val="004620E2"/>
    <w:rsid w:val="004730EA"/>
    <w:rsid w:val="00476F3A"/>
    <w:rsid w:val="00485869"/>
    <w:rsid w:val="004907BD"/>
    <w:rsid w:val="00491D62"/>
    <w:rsid w:val="00493D34"/>
    <w:rsid w:val="00497879"/>
    <w:rsid w:val="004A63A9"/>
    <w:rsid w:val="004A6DBB"/>
    <w:rsid w:val="004B53E1"/>
    <w:rsid w:val="004C3473"/>
    <w:rsid w:val="004C37C7"/>
    <w:rsid w:val="004C431B"/>
    <w:rsid w:val="004C6283"/>
    <w:rsid w:val="004C6BB9"/>
    <w:rsid w:val="004D0C5E"/>
    <w:rsid w:val="004D2470"/>
    <w:rsid w:val="004D4D82"/>
    <w:rsid w:val="004D5EE9"/>
    <w:rsid w:val="004D7173"/>
    <w:rsid w:val="004E2D78"/>
    <w:rsid w:val="004E4C8D"/>
    <w:rsid w:val="0051561C"/>
    <w:rsid w:val="005204FB"/>
    <w:rsid w:val="005205DD"/>
    <w:rsid w:val="00526AA9"/>
    <w:rsid w:val="00540700"/>
    <w:rsid w:val="005411E1"/>
    <w:rsid w:val="00574114"/>
    <w:rsid w:val="00583304"/>
    <w:rsid w:val="005845D4"/>
    <w:rsid w:val="0058481D"/>
    <w:rsid w:val="00584EBE"/>
    <w:rsid w:val="005856CF"/>
    <w:rsid w:val="00585C0B"/>
    <w:rsid w:val="00586273"/>
    <w:rsid w:val="005936C7"/>
    <w:rsid w:val="005A0906"/>
    <w:rsid w:val="005A75E7"/>
    <w:rsid w:val="005A7AD0"/>
    <w:rsid w:val="005B391C"/>
    <w:rsid w:val="005C0A08"/>
    <w:rsid w:val="005C0E71"/>
    <w:rsid w:val="005C5C14"/>
    <w:rsid w:val="005D00AC"/>
    <w:rsid w:val="005D2A8C"/>
    <w:rsid w:val="005D3707"/>
    <w:rsid w:val="005D7196"/>
    <w:rsid w:val="005E3B21"/>
    <w:rsid w:val="005E4828"/>
    <w:rsid w:val="005E7590"/>
    <w:rsid w:val="005F2883"/>
    <w:rsid w:val="00620042"/>
    <w:rsid w:val="0064195F"/>
    <w:rsid w:val="00642915"/>
    <w:rsid w:val="006454A3"/>
    <w:rsid w:val="00646034"/>
    <w:rsid w:val="006524CB"/>
    <w:rsid w:val="00665938"/>
    <w:rsid w:val="0066741A"/>
    <w:rsid w:val="0067228A"/>
    <w:rsid w:val="00683F16"/>
    <w:rsid w:val="00695C31"/>
    <w:rsid w:val="00696B9D"/>
    <w:rsid w:val="006A41B6"/>
    <w:rsid w:val="006C11C3"/>
    <w:rsid w:val="006C4078"/>
    <w:rsid w:val="006C44E4"/>
    <w:rsid w:val="006C5E21"/>
    <w:rsid w:val="006D2543"/>
    <w:rsid w:val="006E06BF"/>
    <w:rsid w:val="006E0FAA"/>
    <w:rsid w:val="006E0FC2"/>
    <w:rsid w:val="006E44A3"/>
    <w:rsid w:val="006E56A5"/>
    <w:rsid w:val="006E700C"/>
    <w:rsid w:val="006E774E"/>
    <w:rsid w:val="006F2B1A"/>
    <w:rsid w:val="006F4F74"/>
    <w:rsid w:val="006F73D9"/>
    <w:rsid w:val="00713CDC"/>
    <w:rsid w:val="007204C1"/>
    <w:rsid w:val="00722CB3"/>
    <w:rsid w:val="00724584"/>
    <w:rsid w:val="00727066"/>
    <w:rsid w:val="00736A3E"/>
    <w:rsid w:val="00736F89"/>
    <w:rsid w:val="0074335D"/>
    <w:rsid w:val="007462BE"/>
    <w:rsid w:val="00747F2D"/>
    <w:rsid w:val="007516FE"/>
    <w:rsid w:val="0075218B"/>
    <w:rsid w:val="00752CD2"/>
    <w:rsid w:val="00757165"/>
    <w:rsid w:val="00775F1D"/>
    <w:rsid w:val="00777097"/>
    <w:rsid w:val="00777B69"/>
    <w:rsid w:val="00777D2C"/>
    <w:rsid w:val="00781861"/>
    <w:rsid w:val="007939C3"/>
    <w:rsid w:val="007A29E1"/>
    <w:rsid w:val="007A4504"/>
    <w:rsid w:val="007B69ED"/>
    <w:rsid w:val="007B73FD"/>
    <w:rsid w:val="007C4F7F"/>
    <w:rsid w:val="007C6E3C"/>
    <w:rsid w:val="007C706D"/>
    <w:rsid w:val="007D03BE"/>
    <w:rsid w:val="007D17D7"/>
    <w:rsid w:val="007D5D5F"/>
    <w:rsid w:val="007D66A6"/>
    <w:rsid w:val="007E127E"/>
    <w:rsid w:val="007E3745"/>
    <w:rsid w:val="007E6F25"/>
    <w:rsid w:val="007F44AA"/>
    <w:rsid w:val="007F6BDB"/>
    <w:rsid w:val="00805695"/>
    <w:rsid w:val="00806458"/>
    <w:rsid w:val="0080677B"/>
    <w:rsid w:val="00807F95"/>
    <w:rsid w:val="008146C5"/>
    <w:rsid w:val="008170CA"/>
    <w:rsid w:val="008214DB"/>
    <w:rsid w:val="00824175"/>
    <w:rsid w:val="008337F1"/>
    <w:rsid w:val="00837D25"/>
    <w:rsid w:val="008535C0"/>
    <w:rsid w:val="00856286"/>
    <w:rsid w:val="008726DF"/>
    <w:rsid w:val="00876C4F"/>
    <w:rsid w:val="00880E10"/>
    <w:rsid w:val="00881174"/>
    <w:rsid w:val="00882044"/>
    <w:rsid w:val="00894527"/>
    <w:rsid w:val="008A5C57"/>
    <w:rsid w:val="008B134A"/>
    <w:rsid w:val="008B2852"/>
    <w:rsid w:val="008C0176"/>
    <w:rsid w:val="008C321D"/>
    <w:rsid w:val="008C5B22"/>
    <w:rsid w:val="008D4DB5"/>
    <w:rsid w:val="008E3B57"/>
    <w:rsid w:val="008E5E5C"/>
    <w:rsid w:val="008E5EE3"/>
    <w:rsid w:val="008F72BB"/>
    <w:rsid w:val="00905C5C"/>
    <w:rsid w:val="00912CE5"/>
    <w:rsid w:val="00913F75"/>
    <w:rsid w:val="00920623"/>
    <w:rsid w:val="00921232"/>
    <w:rsid w:val="009218E5"/>
    <w:rsid w:val="00921B57"/>
    <w:rsid w:val="00925B33"/>
    <w:rsid w:val="009308CB"/>
    <w:rsid w:val="00952A10"/>
    <w:rsid w:val="0096319C"/>
    <w:rsid w:val="0096609D"/>
    <w:rsid w:val="00966D6B"/>
    <w:rsid w:val="0097366B"/>
    <w:rsid w:val="00976AA7"/>
    <w:rsid w:val="0098060A"/>
    <w:rsid w:val="00980B61"/>
    <w:rsid w:val="009A13A2"/>
    <w:rsid w:val="009A44C6"/>
    <w:rsid w:val="009B0675"/>
    <w:rsid w:val="009B1442"/>
    <w:rsid w:val="009B68D7"/>
    <w:rsid w:val="009B74F3"/>
    <w:rsid w:val="009C57B5"/>
    <w:rsid w:val="009D21CC"/>
    <w:rsid w:val="009D4AA4"/>
    <w:rsid w:val="009D52EA"/>
    <w:rsid w:val="009D581C"/>
    <w:rsid w:val="009E0DCD"/>
    <w:rsid w:val="009E6B8E"/>
    <w:rsid w:val="009F67DD"/>
    <w:rsid w:val="00A01132"/>
    <w:rsid w:val="00A041CC"/>
    <w:rsid w:val="00A04FE0"/>
    <w:rsid w:val="00A11CB5"/>
    <w:rsid w:val="00A138EC"/>
    <w:rsid w:val="00A15DE7"/>
    <w:rsid w:val="00A218A1"/>
    <w:rsid w:val="00A365CE"/>
    <w:rsid w:val="00A40950"/>
    <w:rsid w:val="00A50366"/>
    <w:rsid w:val="00A54066"/>
    <w:rsid w:val="00A6400D"/>
    <w:rsid w:val="00A67A99"/>
    <w:rsid w:val="00A70A40"/>
    <w:rsid w:val="00A7211C"/>
    <w:rsid w:val="00A7422D"/>
    <w:rsid w:val="00A772A7"/>
    <w:rsid w:val="00A90763"/>
    <w:rsid w:val="00A96D27"/>
    <w:rsid w:val="00A96D61"/>
    <w:rsid w:val="00AA2DF0"/>
    <w:rsid w:val="00AA471E"/>
    <w:rsid w:val="00AA5A8D"/>
    <w:rsid w:val="00AA7A14"/>
    <w:rsid w:val="00AB0D42"/>
    <w:rsid w:val="00AB5E82"/>
    <w:rsid w:val="00AB737F"/>
    <w:rsid w:val="00AC2507"/>
    <w:rsid w:val="00AC39F5"/>
    <w:rsid w:val="00AD14AC"/>
    <w:rsid w:val="00AF3F2D"/>
    <w:rsid w:val="00AF7053"/>
    <w:rsid w:val="00B006A4"/>
    <w:rsid w:val="00B11A94"/>
    <w:rsid w:val="00B140B0"/>
    <w:rsid w:val="00B2311E"/>
    <w:rsid w:val="00B236D4"/>
    <w:rsid w:val="00B32563"/>
    <w:rsid w:val="00B40C5A"/>
    <w:rsid w:val="00B432B4"/>
    <w:rsid w:val="00B439B4"/>
    <w:rsid w:val="00B43B60"/>
    <w:rsid w:val="00B4661F"/>
    <w:rsid w:val="00B50E42"/>
    <w:rsid w:val="00B50F6E"/>
    <w:rsid w:val="00B52707"/>
    <w:rsid w:val="00B64608"/>
    <w:rsid w:val="00B64D5B"/>
    <w:rsid w:val="00B6637E"/>
    <w:rsid w:val="00B70677"/>
    <w:rsid w:val="00B723C8"/>
    <w:rsid w:val="00B73A30"/>
    <w:rsid w:val="00B76DCD"/>
    <w:rsid w:val="00B821E6"/>
    <w:rsid w:val="00B92159"/>
    <w:rsid w:val="00B95E0C"/>
    <w:rsid w:val="00B96566"/>
    <w:rsid w:val="00BA0404"/>
    <w:rsid w:val="00BA0529"/>
    <w:rsid w:val="00BA4CFC"/>
    <w:rsid w:val="00BA7FED"/>
    <w:rsid w:val="00BB53E6"/>
    <w:rsid w:val="00BB793A"/>
    <w:rsid w:val="00BC02B3"/>
    <w:rsid w:val="00BC1E04"/>
    <w:rsid w:val="00BC366B"/>
    <w:rsid w:val="00BC5A9F"/>
    <w:rsid w:val="00BD2C44"/>
    <w:rsid w:val="00BE00A2"/>
    <w:rsid w:val="00BE03FD"/>
    <w:rsid w:val="00BE436D"/>
    <w:rsid w:val="00BF31AE"/>
    <w:rsid w:val="00C01BB2"/>
    <w:rsid w:val="00C06CB9"/>
    <w:rsid w:val="00C1635C"/>
    <w:rsid w:val="00C24AF9"/>
    <w:rsid w:val="00C26099"/>
    <w:rsid w:val="00C33C64"/>
    <w:rsid w:val="00C34F41"/>
    <w:rsid w:val="00C444EB"/>
    <w:rsid w:val="00C627AD"/>
    <w:rsid w:val="00C90D21"/>
    <w:rsid w:val="00C90D6A"/>
    <w:rsid w:val="00C91B5D"/>
    <w:rsid w:val="00C96C8D"/>
    <w:rsid w:val="00CB1F59"/>
    <w:rsid w:val="00CB570D"/>
    <w:rsid w:val="00CB5FA5"/>
    <w:rsid w:val="00CB77F4"/>
    <w:rsid w:val="00CC4C1C"/>
    <w:rsid w:val="00CC4F94"/>
    <w:rsid w:val="00CD14FC"/>
    <w:rsid w:val="00CD76FB"/>
    <w:rsid w:val="00CE6BC4"/>
    <w:rsid w:val="00CE7418"/>
    <w:rsid w:val="00CF075D"/>
    <w:rsid w:val="00D01AF5"/>
    <w:rsid w:val="00D01F0B"/>
    <w:rsid w:val="00D039FE"/>
    <w:rsid w:val="00D064E9"/>
    <w:rsid w:val="00D137D1"/>
    <w:rsid w:val="00D14923"/>
    <w:rsid w:val="00D14CA6"/>
    <w:rsid w:val="00D15283"/>
    <w:rsid w:val="00D17167"/>
    <w:rsid w:val="00D221B7"/>
    <w:rsid w:val="00D23290"/>
    <w:rsid w:val="00D3184D"/>
    <w:rsid w:val="00D31C80"/>
    <w:rsid w:val="00D35211"/>
    <w:rsid w:val="00D3623E"/>
    <w:rsid w:val="00D37F75"/>
    <w:rsid w:val="00D4171C"/>
    <w:rsid w:val="00D43BF0"/>
    <w:rsid w:val="00D54197"/>
    <w:rsid w:val="00D57AB6"/>
    <w:rsid w:val="00D73910"/>
    <w:rsid w:val="00D800C1"/>
    <w:rsid w:val="00D9215A"/>
    <w:rsid w:val="00D96312"/>
    <w:rsid w:val="00DA3774"/>
    <w:rsid w:val="00DA3D00"/>
    <w:rsid w:val="00DA3F76"/>
    <w:rsid w:val="00DB4479"/>
    <w:rsid w:val="00DB7A6F"/>
    <w:rsid w:val="00DC24DF"/>
    <w:rsid w:val="00DC34FD"/>
    <w:rsid w:val="00DC5866"/>
    <w:rsid w:val="00DD3391"/>
    <w:rsid w:val="00DE4C50"/>
    <w:rsid w:val="00DE665E"/>
    <w:rsid w:val="00DE6937"/>
    <w:rsid w:val="00DE77B8"/>
    <w:rsid w:val="00DF7995"/>
    <w:rsid w:val="00DF7B98"/>
    <w:rsid w:val="00E0055D"/>
    <w:rsid w:val="00E105CD"/>
    <w:rsid w:val="00E21C87"/>
    <w:rsid w:val="00E23DFD"/>
    <w:rsid w:val="00E30A7F"/>
    <w:rsid w:val="00E31D41"/>
    <w:rsid w:val="00E402BA"/>
    <w:rsid w:val="00E41287"/>
    <w:rsid w:val="00E421E2"/>
    <w:rsid w:val="00E51A1D"/>
    <w:rsid w:val="00E720F9"/>
    <w:rsid w:val="00E84EC8"/>
    <w:rsid w:val="00E863C6"/>
    <w:rsid w:val="00E90DC8"/>
    <w:rsid w:val="00E931AE"/>
    <w:rsid w:val="00E935B9"/>
    <w:rsid w:val="00E96799"/>
    <w:rsid w:val="00EB2982"/>
    <w:rsid w:val="00EB6222"/>
    <w:rsid w:val="00EC199C"/>
    <w:rsid w:val="00EC5672"/>
    <w:rsid w:val="00ED6971"/>
    <w:rsid w:val="00ED7F70"/>
    <w:rsid w:val="00EE2B8A"/>
    <w:rsid w:val="00EE74D1"/>
    <w:rsid w:val="00EF2417"/>
    <w:rsid w:val="00EF5002"/>
    <w:rsid w:val="00EF5C3C"/>
    <w:rsid w:val="00EF7D51"/>
    <w:rsid w:val="00F12B5A"/>
    <w:rsid w:val="00F21BF0"/>
    <w:rsid w:val="00F21FDD"/>
    <w:rsid w:val="00F25FEF"/>
    <w:rsid w:val="00F277B4"/>
    <w:rsid w:val="00F3610D"/>
    <w:rsid w:val="00F417B8"/>
    <w:rsid w:val="00F427FB"/>
    <w:rsid w:val="00F45EE5"/>
    <w:rsid w:val="00F539DD"/>
    <w:rsid w:val="00F54968"/>
    <w:rsid w:val="00F67B93"/>
    <w:rsid w:val="00F75DB6"/>
    <w:rsid w:val="00F76DC3"/>
    <w:rsid w:val="00F8112C"/>
    <w:rsid w:val="00F86C65"/>
    <w:rsid w:val="00F87B06"/>
    <w:rsid w:val="00FA0628"/>
    <w:rsid w:val="00FA1000"/>
    <w:rsid w:val="00FB3F6E"/>
    <w:rsid w:val="00FB5C97"/>
    <w:rsid w:val="00FC1262"/>
    <w:rsid w:val="00FC3A9A"/>
    <w:rsid w:val="00FC3EFC"/>
    <w:rsid w:val="00FD770A"/>
    <w:rsid w:val="00FE538C"/>
    <w:rsid w:val="00FE6D86"/>
    <w:rsid w:val="00FF3823"/>
    <w:rsid w:val="00FF3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EF73E9-D9CF-45D3-9614-F389AE17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E863C6"/>
    <w:pPr>
      <w:widowControl w:val="0"/>
      <w:jc w:val="both"/>
    </w:pPr>
    <w:rPr>
      <w:kern w:val="2"/>
      <w:sz w:val="21"/>
      <w:szCs w:val="24"/>
    </w:rPr>
  </w:style>
  <w:style w:type="paragraph" w:styleId="2">
    <w:name w:val="heading 2"/>
    <w:basedOn w:val="af"/>
    <w:next w:val="af"/>
    <w:qFormat/>
    <w:rsid w:val="00E863C6"/>
    <w:pPr>
      <w:keepNext/>
      <w:keepLines/>
      <w:spacing w:before="260" w:after="260" w:line="416" w:lineRule="auto"/>
      <w:outlineLvl w:val="1"/>
    </w:pPr>
    <w:rPr>
      <w:rFonts w:ascii="Arial" w:eastAsia="黑体" w:hAnsi="Arial"/>
      <w:b/>
      <w:bCs/>
      <w:sz w:val="32"/>
      <w:szCs w:val="32"/>
    </w:rPr>
  </w:style>
  <w:style w:type="paragraph" w:styleId="3">
    <w:name w:val="heading 3"/>
    <w:basedOn w:val="af"/>
    <w:next w:val="af"/>
    <w:qFormat/>
    <w:rsid w:val="00E863C6"/>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customStyle="1" w:styleId="a7">
    <w:name w:val="前言、引言标题"/>
    <w:next w:val="af"/>
    <w:rsid w:val="00E863C6"/>
    <w:pPr>
      <w:numPr>
        <w:numId w:val="1"/>
      </w:numPr>
      <w:shd w:val="clear" w:color="FFFFFF" w:fill="FFFFFF"/>
      <w:spacing w:before="640" w:after="560"/>
      <w:jc w:val="center"/>
      <w:outlineLvl w:val="0"/>
    </w:pPr>
    <w:rPr>
      <w:rFonts w:ascii="黑体" w:eastAsia="黑体"/>
      <w:sz w:val="32"/>
    </w:rPr>
  </w:style>
  <w:style w:type="paragraph" w:customStyle="1" w:styleId="af3">
    <w:name w:val="段"/>
    <w:link w:val="Char"/>
    <w:rsid w:val="00E863C6"/>
    <w:pPr>
      <w:autoSpaceDE w:val="0"/>
      <w:autoSpaceDN w:val="0"/>
      <w:ind w:firstLineChars="200" w:firstLine="200"/>
      <w:jc w:val="both"/>
    </w:pPr>
    <w:rPr>
      <w:rFonts w:ascii="宋体"/>
      <w:noProof/>
      <w:sz w:val="21"/>
    </w:rPr>
  </w:style>
  <w:style w:type="paragraph" w:customStyle="1" w:styleId="a8">
    <w:name w:val="章标题"/>
    <w:next w:val="af3"/>
    <w:rsid w:val="00E863C6"/>
    <w:pPr>
      <w:numPr>
        <w:ilvl w:val="1"/>
        <w:numId w:val="1"/>
      </w:numPr>
      <w:spacing w:beforeLines="50" w:afterLines="50"/>
      <w:jc w:val="both"/>
      <w:outlineLvl w:val="1"/>
    </w:pPr>
    <w:rPr>
      <w:rFonts w:ascii="黑体" w:eastAsia="黑体"/>
      <w:sz w:val="21"/>
    </w:rPr>
  </w:style>
  <w:style w:type="paragraph" w:customStyle="1" w:styleId="a9">
    <w:name w:val="一级条标题"/>
    <w:basedOn w:val="a8"/>
    <w:next w:val="af3"/>
    <w:rsid w:val="00E863C6"/>
    <w:pPr>
      <w:numPr>
        <w:ilvl w:val="2"/>
      </w:numPr>
      <w:spacing w:beforeLines="0" w:afterLines="0"/>
      <w:outlineLvl w:val="2"/>
    </w:pPr>
  </w:style>
  <w:style w:type="paragraph" w:customStyle="1" w:styleId="aa">
    <w:name w:val="二级条标题"/>
    <w:basedOn w:val="a9"/>
    <w:next w:val="af3"/>
    <w:rsid w:val="00E863C6"/>
    <w:pPr>
      <w:numPr>
        <w:ilvl w:val="3"/>
      </w:numPr>
      <w:outlineLvl w:val="3"/>
    </w:pPr>
  </w:style>
  <w:style w:type="paragraph" w:customStyle="1" w:styleId="a0">
    <w:name w:val="附录标识"/>
    <w:basedOn w:val="a7"/>
    <w:rsid w:val="00E863C6"/>
    <w:pPr>
      <w:numPr>
        <w:numId w:val="2"/>
      </w:numPr>
      <w:tabs>
        <w:tab w:val="left" w:pos="6405"/>
      </w:tabs>
      <w:spacing w:after="200"/>
    </w:pPr>
    <w:rPr>
      <w:sz w:val="21"/>
    </w:rPr>
  </w:style>
  <w:style w:type="paragraph" w:customStyle="1" w:styleId="a1">
    <w:name w:val="附录章标题"/>
    <w:next w:val="af3"/>
    <w:rsid w:val="00E863C6"/>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2">
    <w:name w:val="附录一级条标题"/>
    <w:basedOn w:val="a1"/>
    <w:next w:val="af3"/>
    <w:rsid w:val="00E863C6"/>
    <w:pPr>
      <w:numPr>
        <w:ilvl w:val="2"/>
      </w:numPr>
      <w:autoSpaceDN w:val="0"/>
      <w:spacing w:beforeLines="0" w:afterLines="0"/>
      <w:outlineLvl w:val="2"/>
    </w:pPr>
  </w:style>
  <w:style w:type="paragraph" w:customStyle="1" w:styleId="a3">
    <w:name w:val="附录二级条标题"/>
    <w:basedOn w:val="a2"/>
    <w:next w:val="af3"/>
    <w:rsid w:val="00E863C6"/>
    <w:pPr>
      <w:numPr>
        <w:ilvl w:val="3"/>
      </w:numPr>
      <w:outlineLvl w:val="3"/>
    </w:pPr>
  </w:style>
  <w:style w:type="paragraph" w:customStyle="1" w:styleId="a4">
    <w:name w:val="附录三级条标题"/>
    <w:basedOn w:val="a3"/>
    <w:next w:val="af3"/>
    <w:rsid w:val="00E863C6"/>
    <w:pPr>
      <w:numPr>
        <w:ilvl w:val="4"/>
      </w:numPr>
      <w:outlineLvl w:val="4"/>
    </w:pPr>
  </w:style>
  <w:style w:type="paragraph" w:customStyle="1" w:styleId="a5">
    <w:name w:val="附录四级条标题"/>
    <w:basedOn w:val="a4"/>
    <w:next w:val="af3"/>
    <w:rsid w:val="00E863C6"/>
    <w:pPr>
      <w:numPr>
        <w:ilvl w:val="5"/>
      </w:numPr>
      <w:outlineLvl w:val="5"/>
    </w:pPr>
  </w:style>
  <w:style w:type="paragraph" w:customStyle="1" w:styleId="a6">
    <w:name w:val="附录五级条标题"/>
    <w:basedOn w:val="a5"/>
    <w:next w:val="af3"/>
    <w:rsid w:val="00E863C6"/>
    <w:pPr>
      <w:numPr>
        <w:ilvl w:val="6"/>
      </w:numPr>
      <w:outlineLvl w:val="6"/>
    </w:pPr>
  </w:style>
  <w:style w:type="paragraph" w:customStyle="1" w:styleId="ab">
    <w:name w:val="三级条标题"/>
    <w:basedOn w:val="aa"/>
    <w:next w:val="af3"/>
    <w:rsid w:val="00E863C6"/>
    <w:pPr>
      <w:numPr>
        <w:ilvl w:val="4"/>
      </w:numPr>
      <w:outlineLvl w:val="4"/>
    </w:pPr>
  </w:style>
  <w:style w:type="paragraph" w:customStyle="1" w:styleId="ac">
    <w:name w:val="四级条标题"/>
    <w:basedOn w:val="ab"/>
    <w:next w:val="af3"/>
    <w:rsid w:val="00E863C6"/>
    <w:pPr>
      <w:numPr>
        <w:ilvl w:val="5"/>
      </w:numPr>
      <w:outlineLvl w:val="5"/>
    </w:pPr>
  </w:style>
  <w:style w:type="paragraph" w:customStyle="1" w:styleId="ad">
    <w:name w:val="五级条标题"/>
    <w:basedOn w:val="ac"/>
    <w:next w:val="af3"/>
    <w:rsid w:val="00E863C6"/>
    <w:pPr>
      <w:numPr>
        <w:ilvl w:val="6"/>
      </w:numPr>
      <w:outlineLvl w:val="6"/>
    </w:pPr>
  </w:style>
  <w:style w:type="table" w:styleId="af4">
    <w:name w:val="Table Grid"/>
    <w:basedOn w:val="af1"/>
    <w:rsid w:val="00E863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一级条标题 Char Char"/>
    <w:basedOn w:val="a8"/>
    <w:next w:val="af3"/>
    <w:link w:val="CharCharChar"/>
    <w:rsid w:val="00E863C6"/>
    <w:pPr>
      <w:widowControl w:val="0"/>
      <w:numPr>
        <w:ilvl w:val="0"/>
        <w:numId w:val="0"/>
      </w:numPr>
      <w:adjustRightInd w:val="0"/>
      <w:spacing w:beforeLines="0" w:afterLines="0" w:line="360" w:lineRule="atLeast"/>
      <w:textAlignment w:val="baseline"/>
      <w:outlineLvl w:val="2"/>
    </w:pPr>
    <w:rPr>
      <w:kern w:val="2"/>
      <w:szCs w:val="24"/>
    </w:rPr>
  </w:style>
  <w:style w:type="character" w:customStyle="1" w:styleId="CharCharChar">
    <w:name w:val="一级条标题 Char Char Char"/>
    <w:link w:val="CharChar"/>
    <w:rsid w:val="00E863C6"/>
    <w:rPr>
      <w:rFonts w:ascii="黑体" w:eastAsia="黑体"/>
      <w:kern w:val="2"/>
      <w:sz w:val="21"/>
      <w:szCs w:val="24"/>
      <w:lang w:val="en-US" w:eastAsia="zh-CN" w:bidi="ar-SA"/>
    </w:rPr>
  </w:style>
  <w:style w:type="paragraph" w:styleId="af5">
    <w:name w:val="Body Text Indent"/>
    <w:basedOn w:val="af"/>
    <w:rsid w:val="003B51E2"/>
    <w:pPr>
      <w:spacing w:line="360" w:lineRule="auto"/>
      <w:ind w:firstLineChars="200" w:firstLine="420"/>
    </w:pPr>
  </w:style>
  <w:style w:type="paragraph" w:customStyle="1" w:styleId="ae">
    <w:name w:val="注："/>
    <w:next w:val="af3"/>
    <w:rsid w:val="00D14923"/>
    <w:pPr>
      <w:widowControl w:val="0"/>
      <w:numPr>
        <w:numId w:val="4"/>
      </w:numPr>
      <w:tabs>
        <w:tab w:val="clear" w:pos="1140"/>
      </w:tabs>
      <w:autoSpaceDE w:val="0"/>
      <w:autoSpaceDN w:val="0"/>
      <w:jc w:val="both"/>
    </w:pPr>
    <w:rPr>
      <w:rFonts w:ascii="宋体"/>
      <w:sz w:val="18"/>
    </w:rPr>
  </w:style>
  <w:style w:type="paragraph" w:customStyle="1" w:styleId="a">
    <w:name w:val="注×："/>
    <w:rsid w:val="00D14923"/>
    <w:pPr>
      <w:widowControl w:val="0"/>
      <w:numPr>
        <w:numId w:val="3"/>
      </w:numPr>
      <w:tabs>
        <w:tab w:val="clear" w:pos="900"/>
        <w:tab w:val="left" w:pos="630"/>
      </w:tabs>
      <w:autoSpaceDE w:val="0"/>
      <w:autoSpaceDN w:val="0"/>
      <w:jc w:val="both"/>
    </w:pPr>
    <w:rPr>
      <w:rFonts w:ascii="宋体"/>
      <w:sz w:val="18"/>
    </w:rPr>
  </w:style>
  <w:style w:type="character" w:customStyle="1" w:styleId="Char">
    <w:name w:val="段 Char"/>
    <w:link w:val="af3"/>
    <w:rsid w:val="00D14923"/>
    <w:rPr>
      <w:rFonts w:ascii="宋体"/>
      <w:noProof/>
      <w:sz w:val="21"/>
      <w:lang w:val="en-US" w:eastAsia="zh-CN" w:bidi="ar-SA"/>
    </w:rPr>
  </w:style>
  <w:style w:type="paragraph" w:styleId="af6">
    <w:name w:val="header"/>
    <w:basedOn w:val="af"/>
    <w:link w:val="Char0"/>
    <w:rsid w:val="00B7067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f6"/>
    <w:rsid w:val="00B70677"/>
    <w:rPr>
      <w:kern w:val="2"/>
      <w:sz w:val="18"/>
      <w:szCs w:val="18"/>
    </w:rPr>
  </w:style>
  <w:style w:type="paragraph" w:styleId="af7">
    <w:name w:val="footer"/>
    <w:basedOn w:val="af"/>
    <w:link w:val="Char1"/>
    <w:rsid w:val="00B70677"/>
    <w:pPr>
      <w:tabs>
        <w:tab w:val="center" w:pos="4153"/>
        <w:tab w:val="right" w:pos="8306"/>
      </w:tabs>
      <w:snapToGrid w:val="0"/>
      <w:jc w:val="left"/>
    </w:pPr>
    <w:rPr>
      <w:sz w:val="18"/>
      <w:szCs w:val="18"/>
    </w:rPr>
  </w:style>
  <w:style w:type="character" w:customStyle="1" w:styleId="Char1">
    <w:name w:val="页脚 Char"/>
    <w:link w:val="af7"/>
    <w:rsid w:val="00B70677"/>
    <w:rPr>
      <w:kern w:val="2"/>
      <w:sz w:val="18"/>
      <w:szCs w:val="18"/>
    </w:rPr>
  </w:style>
  <w:style w:type="paragraph" w:styleId="af8">
    <w:name w:val="Plain Text"/>
    <w:basedOn w:val="af"/>
    <w:link w:val="Char2"/>
    <w:rsid w:val="009D581C"/>
    <w:rPr>
      <w:rFonts w:ascii="宋体" w:hAnsi="Courier New"/>
      <w:sz w:val="17"/>
      <w:szCs w:val="20"/>
    </w:rPr>
  </w:style>
  <w:style w:type="character" w:customStyle="1" w:styleId="Char2">
    <w:name w:val="纯文本 Char"/>
    <w:basedOn w:val="af0"/>
    <w:link w:val="af8"/>
    <w:rsid w:val="009D581C"/>
    <w:rPr>
      <w:rFonts w:ascii="宋体" w:hAnsi="Courier New"/>
      <w:kern w:val="2"/>
      <w:sz w:val="17"/>
    </w:rPr>
  </w:style>
  <w:style w:type="character" w:styleId="HTML">
    <w:name w:val="HTML Variable"/>
    <w:basedOn w:val="af0"/>
    <w:rsid w:val="009D581C"/>
    <w:rPr>
      <w:i/>
      <w:iCs/>
    </w:rPr>
  </w:style>
  <w:style w:type="paragraph" w:styleId="af9">
    <w:name w:val="Balloon Text"/>
    <w:basedOn w:val="af"/>
    <w:link w:val="Char3"/>
    <w:semiHidden/>
    <w:unhideWhenUsed/>
    <w:rsid w:val="002874BB"/>
    <w:rPr>
      <w:rFonts w:ascii="宋体"/>
      <w:sz w:val="18"/>
      <w:szCs w:val="18"/>
    </w:rPr>
  </w:style>
  <w:style w:type="character" w:customStyle="1" w:styleId="Char3">
    <w:name w:val="批注框文本 Char"/>
    <w:basedOn w:val="af0"/>
    <w:link w:val="af9"/>
    <w:semiHidden/>
    <w:rsid w:val="002874BB"/>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7349">
      <w:bodyDiv w:val="1"/>
      <w:marLeft w:val="0"/>
      <w:marRight w:val="0"/>
      <w:marTop w:val="0"/>
      <w:marBottom w:val="0"/>
      <w:divBdr>
        <w:top w:val="none" w:sz="0" w:space="0" w:color="auto"/>
        <w:left w:val="none" w:sz="0" w:space="0" w:color="auto"/>
        <w:bottom w:val="none" w:sz="0" w:space="0" w:color="auto"/>
        <w:right w:val="none" w:sz="0" w:space="0" w:color="auto"/>
      </w:divBdr>
    </w:div>
    <w:div w:id="9584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392</Words>
  <Characters>2240</Characters>
  <Application>Microsoft Office Word</Application>
  <DocSecurity>0</DocSecurity>
  <Lines>18</Lines>
  <Paragraphs>5</Paragraphs>
  <ScaleCrop>false</ScaleCrop>
  <Company>Microsoft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眼内植入物 囊袋张力环</dc:title>
  <dc:creator>fengqin</dc:creator>
  <cp:lastModifiedBy>Microsoft 帐户</cp:lastModifiedBy>
  <cp:revision>24</cp:revision>
  <cp:lastPrinted>2019-06-28T05:36:00Z</cp:lastPrinted>
  <dcterms:created xsi:type="dcterms:W3CDTF">2019-06-28T09:36:00Z</dcterms:created>
  <dcterms:modified xsi:type="dcterms:W3CDTF">2019-09-11T01:12:00Z</dcterms:modified>
</cp:coreProperties>
</file>