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0A8FA" w14:textId="476EB532" w:rsidR="000E6149" w:rsidRDefault="000E6149" w:rsidP="000E6149">
      <w:pPr>
        <w:keepNext/>
        <w:keepLines/>
        <w:spacing w:line="300" w:lineRule="auto"/>
        <w:outlineLvl w:val="0"/>
        <w:rPr>
          <w:rFonts w:eastAsia="方正小标宋简体"/>
          <w:iCs/>
          <w:kern w:val="0"/>
          <w:sz w:val="24"/>
        </w:rPr>
      </w:pPr>
      <w:bookmarkStart w:id="0" w:name="_Toc436647222"/>
      <w:bookmarkStart w:id="1" w:name="_Toc436648566"/>
      <w:bookmarkStart w:id="2" w:name="_Toc91681949"/>
      <w:bookmarkStart w:id="3" w:name="_Toc410385819"/>
      <w:bookmarkStart w:id="4" w:name="_GoBack"/>
      <w:bookmarkEnd w:id="4"/>
      <w:r>
        <w:rPr>
          <w:rFonts w:eastAsia="方正小标宋简体" w:hint="eastAsia"/>
          <w:iCs/>
          <w:kern w:val="0"/>
          <w:sz w:val="24"/>
        </w:rPr>
        <w:t>附件</w:t>
      </w:r>
      <w:r>
        <w:rPr>
          <w:rFonts w:eastAsia="方正小标宋简体"/>
          <w:iCs/>
          <w:kern w:val="0"/>
          <w:sz w:val="24"/>
        </w:rPr>
        <w:t xml:space="preserve"> </w:t>
      </w:r>
      <w:bookmarkEnd w:id="0"/>
      <w:bookmarkEnd w:id="1"/>
      <w:bookmarkEnd w:id="2"/>
      <w:bookmarkEnd w:id="3"/>
      <w:r w:rsidR="00EF1DB7">
        <w:rPr>
          <w:rFonts w:eastAsia="方正小标宋简体" w:hint="eastAsia"/>
          <w:iCs/>
          <w:kern w:val="0"/>
          <w:sz w:val="24"/>
        </w:rPr>
        <w:t>12</w:t>
      </w:r>
    </w:p>
    <w:p w14:paraId="687F2E8C" w14:textId="112AA14A" w:rsidR="006D4836" w:rsidRDefault="006D4836" w:rsidP="006D4836">
      <w:pPr>
        <w:spacing w:beforeLines="50" w:before="156" w:afterLines="50" w:after="156" w:line="300" w:lineRule="auto"/>
        <w:jc w:val="center"/>
        <w:rPr>
          <w:rFonts w:eastAsia="黑体"/>
          <w:sz w:val="32"/>
        </w:rPr>
      </w:pPr>
      <w:r>
        <w:rPr>
          <w:rFonts w:eastAsia="黑体"/>
          <w:sz w:val="32"/>
        </w:rPr>
        <w:t>两代生殖发育毒性试验</w:t>
      </w:r>
      <w:r w:rsidR="00EB7F8C">
        <w:rPr>
          <w:rFonts w:eastAsia="黑体" w:hint="eastAsia"/>
          <w:sz w:val="32"/>
        </w:rPr>
        <w:t>方法</w:t>
      </w:r>
    </w:p>
    <w:p w14:paraId="7229A5BF" w14:textId="77777777" w:rsidR="006D4836" w:rsidRPr="00D76AFE" w:rsidRDefault="006D4836" w:rsidP="006D4836">
      <w:pPr>
        <w:widowControl w:val="0"/>
        <w:snapToGrid w:val="0"/>
        <w:spacing w:beforeLines="50" w:before="156" w:afterLines="50" w:after="156" w:line="300" w:lineRule="auto"/>
        <w:jc w:val="center"/>
        <w:rPr>
          <w:rFonts w:eastAsiaTheme="minorEastAsia"/>
          <w:szCs w:val="21"/>
        </w:rPr>
      </w:pPr>
      <w:r w:rsidRPr="00D76AFE">
        <w:rPr>
          <w:rFonts w:eastAsiaTheme="minorEastAsia"/>
          <w:szCs w:val="21"/>
        </w:rPr>
        <w:t>Two-Generation Reproductive Toxicity Study</w:t>
      </w:r>
    </w:p>
    <w:p w14:paraId="42C88F04"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t>范围</w:t>
      </w:r>
    </w:p>
    <w:p w14:paraId="23236565"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本规范规定了两代生殖发育毒性试验基本原则，试验方法和技术要求。</w:t>
      </w:r>
    </w:p>
    <w:p w14:paraId="1FF59E79" w14:textId="5C514619" w:rsidR="006D4836" w:rsidRPr="00B54A3C" w:rsidRDefault="006D4836" w:rsidP="006D4836">
      <w:pPr>
        <w:spacing w:line="300" w:lineRule="auto"/>
        <w:ind w:firstLineChars="200" w:firstLine="420"/>
        <w:jc w:val="both"/>
        <w:rPr>
          <w:color w:val="000000" w:themeColor="text1"/>
        </w:rPr>
      </w:pPr>
      <w:r w:rsidRPr="00B54A3C">
        <w:rPr>
          <w:color w:val="000000" w:themeColor="text1"/>
        </w:rPr>
        <w:t>本规范用于检测化妆品</w:t>
      </w:r>
      <w:r w:rsidR="004C54FB">
        <w:rPr>
          <w:rFonts w:hint="eastAsia"/>
          <w:color w:val="000000" w:themeColor="text1"/>
          <w:szCs w:val="21"/>
        </w:rPr>
        <w:t>原料</w:t>
      </w:r>
      <w:r w:rsidRPr="00B54A3C">
        <w:rPr>
          <w:color w:val="000000" w:themeColor="text1"/>
        </w:rPr>
        <w:t>的生殖发育毒性。</w:t>
      </w:r>
    </w:p>
    <w:p w14:paraId="2CCD4613"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t>试验目的</w:t>
      </w:r>
    </w:p>
    <w:p w14:paraId="5A0610A1" w14:textId="77777777" w:rsidR="006D4836" w:rsidRPr="00B54A3C" w:rsidRDefault="006D4836" w:rsidP="006D4836">
      <w:pPr>
        <w:spacing w:line="300" w:lineRule="auto"/>
        <w:ind w:firstLineChars="200" w:firstLine="420"/>
        <w:jc w:val="both"/>
        <w:rPr>
          <w:color w:val="000000" w:themeColor="text1"/>
        </w:rPr>
      </w:pPr>
      <w:bookmarkStart w:id="5" w:name="_Hlk135338603"/>
      <w:r w:rsidRPr="00B54A3C">
        <w:rPr>
          <w:color w:val="000000" w:themeColor="text1"/>
        </w:rPr>
        <w:t>提供关于受试物产前、产后暴露对雌性、雄性动物生殖功能、生育力及子代发育影响的确切信息。</w:t>
      </w:r>
      <w:bookmarkEnd w:id="5"/>
    </w:p>
    <w:p w14:paraId="35B8E680"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t>定义</w:t>
      </w:r>
    </w:p>
    <w:p w14:paraId="116F9990" w14:textId="6FC40DD5" w:rsidR="006D4836" w:rsidRPr="00B54A3C" w:rsidRDefault="006D4836" w:rsidP="006D4836">
      <w:pPr>
        <w:pStyle w:val="a4"/>
        <w:widowControl w:val="0"/>
        <w:numPr>
          <w:ilvl w:val="1"/>
          <w:numId w:val="2"/>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生殖毒性</w:t>
      </w:r>
      <w:r w:rsidR="001751A3">
        <w:rPr>
          <w:rFonts w:hint="eastAsia"/>
          <w:color w:val="000000" w:themeColor="text1"/>
          <w:szCs w:val="21"/>
        </w:rPr>
        <w:t xml:space="preserve"> </w:t>
      </w:r>
      <w:r w:rsidR="004E482E">
        <w:rPr>
          <w:rFonts w:hint="eastAsia"/>
          <w:color w:val="000000" w:themeColor="text1"/>
          <w:szCs w:val="21"/>
        </w:rPr>
        <w:t>Reproduction</w:t>
      </w:r>
      <w:r w:rsidR="004E482E">
        <w:rPr>
          <w:color w:val="000000" w:themeColor="text1"/>
          <w:szCs w:val="21"/>
        </w:rPr>
        <w:t xml:space="preserve"> </w:t>
      </w:r>
      <w:r w:rsidR="004E482E">
        <w:rPr>
          <w:rFonts w:hint="eastAsia"/>
          <w:color w:val="000000" w:themeColor="text1"/>
          <w:szCs w:val="21"/>
        </w:rPr>
        <w:t>toxicity</w:t>
      </w:r>
    </w:p>
    <w:p w14:paraId="0162F3B8"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对后代产生有害作用，并损伤雄性和雌性的生殖功能和生殖能力。</w:t>
      </w:r>
    </w:p>
    <w:p w14:paraId="4C2C9B7B" w14:textId="177AE34A" w:rsidR="006D4836" w:rsidRPr="00B54A3C" w:rsidRDefault="006D4836" w:rsidP="006D4836">
      <w:pPr>
        <w:pStyle w:val="a4"/>
        <w:widowControl w:val="0"/>
        <w:numPr>
          <w:ilvl w:val="1"/>
          <w:numId w:val="2"/>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发育毒性</w:t>
      </w:r>
      <w:r w:rsidR="001751A3">
        <w:rPr>
          <w:rFonts w:hint="eastAsia"/>
          <w:color w:val="000000" w:themeColor="text1"/>
          <w:szCs w:val="21"/>
        </w:rPr>
        <w:t xml:space="preserve"> </w:t>
      </w:r>
      <w:r w:rsidR="004E482E">
        <w:rPr>
          <w:rFonts w:hint="eastAsia"/>
          <w:color w:val="000000" w:themeColor="text1"/>
          <w:szCs w:val="21"/>
        </w:rPr>
        <w:t>Developmental</w:t>
      </w:r>
      <w:r w:rsidR="004E482E">
        <w:rPr>
          <w:color w:val="000000" w:themeColor="text1"/>
          <w:szCs w:val="21"/>
        </w:rPr>
        <w:t xml:space="preserve"> </w:t>
      </w:r>
      <w:r w:rsidR="004E482E">
        <w:rPr>
          <w:rFonts w:hint="eastAsia"/>
          <w:color w:val="000000" w:themeColor="text1"/>
          <w:szCs w:val="21"/>
        </w:rPr>
        <w:t>toxicity</w:t>
      </w:r>
    </w:p>
    <w:p w14:paraId="66559C04"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生殖毒性的表现，具体表现为后代在产前、围产期、产后发生的结构和功能紊乱。</w:t>
      </w:r>
    </w:p>
    <w:p w14:paraId="7D4F450D" w14:textId="487673E7" w:rsidR="006D4836" w:rsidRPr="00B54A3C" w:rsidRDefault="006D4836" w:rsidP="006D4836">
      <w:pPr>
        <w:pStyle w:val="a4"/>
        <w:widowControl w:val="0"/>
        <w:numPr>
          <w:ilvl w:val="1"/>
          <w:numId w:val="2"/>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母体毒性</w:t>
      </w:r>
      <w:r w:rsidR="001751A3">
        <w:rPr>
          <w:rFonts w:hint="eastAsia"/>
          <w:color w:val="000000" w:themeColor="text1"/>
          <w:szCs w:val="21"/>
        </w:rPr>
        <w:t xml:space="preserve"> </w:t>
      </w:r>
      <w:r w:rsidR="004E482E" w:rsidRPr="00A825B5">
        <w:rPr>
          <w:color w:val="000000" w:themeColor="text1"/>
          <w:szCs w:val="21"/>
        </w:rPr>
        <w:t>Maternal toxicity</w:t>
      </w:r>
    </w:p>
    <w:p w14:paraId="651910BC"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受试物引起亲代雌性妊娠动物直接或间接的健康损害效应，表现为增重减少、功能异常、毒性反应、甚至死亡。</w:t>
      </w:r>
    </w:p>
    <w:p w14:paraId="0DA3F6CF" w14:textId="0E26E911" w:rsidR="006D4836" w:rsidRPr="00B54A3C" w:rsidRDefault="006D4836" w:rsidP="006D4836">
      <w:pPr>
        <w:pStyle w:val="a4"/>
        <w:widowControl w:val="0"/>
        <w:numPr>
          <w:ilvl w:val="1"/>
          <w:numId w:val="2"/>
        </w:numPr>
        <w:tabs>
          <w:tab w:val="clear" w:pos="284"/>
          <w:tab w:val="left" w:pos="567"/>
        </w:tabs>
        <w:spacing w:beforeLines="50" w:before="156" w:afterLines="50" w:after="156" w:line="300" w:lineRule="auto"/>
        <w:ind w:left="0" w:firstLineChars="0" w:firstLine="0"/>
        <w:jc w:val="both"/>
        <w:rPr>
          <w:color w:val="000000" w:themeColor="text1"/>
        </w:rPr>
      </w:pPr>
      <w:r w:rsidRPr="00B54A3C">
        <w:rPr>
          <w:rFonts w:hint="eastAsia"/>
          <w:color w:val="000000" w:themeColor="text1"/>
        </w:rPr>
        <w:t>未观察到有害作用剂量</w:t>
      </w:r>
      <w:r w:rsidR="001751A3">
        <w:rPr>
          <w:rFonts w:hint="eastAsia"/>
          <w:color w:val="000000" w:themeColor="text1"/>
        </w:rPr>
        <w:t xml:space="preserve"> </w:t>
      </w:r>
      <w:r w:rsidRPr="00B54A3C">
        <w:rPr>
          <w:color w:val="000000" w:themeColor="text1"/>
        </w:rPr>
        <w:t>NOAEL</w:t>
      </w:r>
    </w:p>
    <w:p w14:paraId="66401600"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通过动物试验，以现有的技术手段和检测指标未观察到任何与受试</w:t>
      </w:r>
      <w:proofErr w:type="gramStart"/>
      <w:r w:rsidRPr="00B54A3C">
        <w:rPr>
          <w:color w:val="000000" w:themeColor="text1"/>
        </w:rPr>
        <w:t>物相关</w:t>
      </w:r>
      <w:proofErr w:type="gramEnd"/>
      <w:r w:rsidRPr="00B54A3C">
        <w:rPr>
          <w:color w:val="000000" w:themeColor="text1"/>
        </w:rPr>
        <w:t>的毒性作用的最大剂量。</w:t>
      </w:r>
    </w:p>
    <w:p w14:paraId="4398DDAF" w14:textId="7206F9AD" w:rsidR="006D4836" w:rsidRPr="00B54A3C" w:rsidRDefault="006D4836" w:rsidP="006D4836">
      <w:pPr>
        <w:pStyle w:val="a4"/>
        <w:widowControl w:val="0"/>
        <w:numPr>
          <w:ilvl w:val="1"/>
          <w:numId w:val="2"/>
        </w:numPr>
        <w:tabs>
          <w:tab w:val="clear" w:pos="284"/>
          <w:tab w:val="left" w:pos="567"/>
        </w:tabs>
        <w:spacing w:beforeLines="50" w:before="156" w:afterLines="50" w:after="156" w:line="300" w:lineRule="auto"/>
        <w:ind w:left="0" w:firstLineChars="0" w:firstLine="0"/>
        <w:jc w:val="both"/>
        <w:rPr>
          <w:color w:val="000000" w:themeColor="text1"/>
        </w:rPr>
      </w:pPr>
      <w:r w:rsidRPr="00B54A3C">
        <w:rPr>
          <w:rFonts w:hint="eastAsia"/>
          <w:color w:val="000000" w:themeColor="text1"/>
        </w:rPr>
        <w:t>观察到有害作用的最低剂量</w:t>
      </w:r>
      <w:r w:rsidR="001751A3">
        <w:rPr>
          <w:rFonts w:hint="eastAsia"/>
          <w:color w:val="000000" w:themeColor="text1"/>
        </w:rPr>
        <w:t xml:space="preserve"> </w:t>
      </w:r>
      <w:r w:rsidRPr="00B54A3C">
        <w:rPr>
          <w:color w:val="000000" w:themeColor="text1"/>
        </w:rPr>
        <w:t>LOAEL</w:t>
      </w:r>
    </w:p>
    <w:p w14:paraId="5A7D5AB0"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在规定的条件下，受试物引起实验动物组织形态、功能、生长发育等有害效应的最小作用剂量。</w:t>
      </w:r>
    </w:p>
    <w:p w14:paraId="160D0328"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t>试验的基本原则</w:t>
      </w:r>
    </w:p>
    <w:p w14:paraId="0C3EDA9E" w14:textId="77777777" w:rsidR="006D4836" w:rsidRPr="00B54A3C" w:rsidRDefault="006D4836" w:rsidP="006D4836">
      <w:pPr>
        <w:spacing w:line="300" w:lineRule="auto"/>
        <w:ind w:firstLineChars="200" w:firstLine="420"/>
        <w:jc w:val="both"/>
        <w:rPr>
          <w:color w:val="000000" w:themeColor="text1"/>
        </w:rPr>
      </w:pPr>
      <w:bookmarkStart w:id="6" w:name="_Hlk135335238"/>
      <w:r w:rsidRPr="00B54A3C">
        <w:rPr>
          <w:color w:val="000000" w:themeColor="text1"/>
        </w:rPr>
        <w:t>通过对实验动物以受试物暴露，考察其对雄性和雌性动物生殖功能、生育力及生殖系统形态的影响。若该暴露（直接或间接）持续至子代，则还可以继续考察受试物对子代发育，甚至子代生殖功能和生育力的影响。</w:t>
      </w:r>
    </w:p>
    <w:bookmarkEnd w:id="6"/>
    <w:p w14:paraId="6255A501"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lastRenderedPageBreak/>
        <w:t>受试物配制</w:t>
      </w:r>
    </w:p>
    <w:p w14:paraId="0AA80DC1" w14:textId="77777777" w:rsidR="006D4836" w:rsidRPr="00B54A3C" w:rsidRDefault="00546352" w:rsidP="006D4836">
      <w:pPr>
        <w:spacing w:line="300" w:lineRule="auto"/>
        <w:ind w:firstLineChars="200" w:firstLine="420"/>
        <w:jc w:val="both"/>
        <w:rPr>
          <w:color w:val="000000" w:themeColor="text1"/>
        </w:rPr>
      </w:pPr>
      <w:r>
        <w:rPr>
          <w:rFonts w:ascii="宋体" w:hAnsi="宋体"/>
          <w:color w:val="000000" w:themeColor="text1"/>
          <w:szCs w:val="21"/>
        </w:rPr>
        <w:t>化妆品</w:t>
      </w:r>
      <w:r w:rsidR="006D4836" w:rsidRPr="00B54A3C">
        <w:rPr>
          <w:rFonts w:ascii="宋体" w:hAnsi="宋体" w:hint="eastAsia"/>
          <w:color w:val="000000" w:themeColor="text1"/>
          <w:szCs w:val="21"/>
        </w:rPr>
        <w:t>生殖发育毒性试验</w:t>
      </w:r>
      <w:r w:rsidR="006D4836" w:rsidRPr="00B54A3C">
        <w:rPr>
          <w:rFonts w:ascii="宋体" w:hAnsi="宋体"/>
          <w:color w:val="000000" w:themeColor="text1"/>
          <w:szCs w:val="21"/>
        </w:rPr>
        <w:t>一般采用经口</w:t>
      </w:r>
      <w:r w:rsidR="006D4836" w:rsidRPr="00B54A3C">
        <w:rPr>
          <w:rFonts w:ascii="宋体" w:hAnsi="宋体" w:hint="eastAsia"/>
          <w:color w:val="000000" w:themeColor="text1"/>
          <w:szCs w:val="21"/>
        </w:rPr>
        <w:t>途径</w:t>
      </w:r>
      <w:r w:rsidR="006D4836" w:rsidRPr="00B54A3C">
        <w:rPr>
          <w:rFonts w:ascii="宋体" w:hAnsi="宋体"/>
          <w:color w:val="000000" w:themeColor="text1"/>
          <w:szCs w:val="21"/>
        </w:rPr>
        <w:t>给予受试物，</w:t>
      </w:r>
      <w:r w:rsidR="006D4836" w:rsidRPr="00B54A3C">
        <w:rPr>
          <w:rFonts w:ascii="宋体" w:hAnsi="宋体" w:hint="eastAsia"/>
          <w:color w:val="000000" w:themeColor="text1"/>
          <w:szCs w:val="21"/>
        </w:rPr>
        <w:t>但基于人的可能暴露途径或受试物的特性而选择经皮或吸入也是合适的。</w:t>
      </w:r>
      <w:r w:rsidR="006D4836" w:rsidRPr="00B54A3C">
        <w:rPr>
          <w:rFonts w:ascii="宋体" w:hAnsi="宋体"/>
          <w:color w:val="000000" w:themeColor="text1"/>
          <w:szCs w:val="21"/>
        </w:rPr>
        <w:t>溶媒对照应采用</w:t>
      </w:r>
      <w:r w:rsidR="006D4836" w:rsidRPr="00B54A3C">
        <w:rPr>
          <w:rFonts w:ascii="宋体" w:hAnsi="宋体" w:hint="eastAsia"/>
          <w:color w:val="000000" w:themeColor="text1"/>
          <w:szCs w:val="21"/>
        </w:rPr>
        <w:t>与之</w:t>
      </w:r>
      <w:r w:rsidR="006D4836" w:rsidRPr="00B54A3C">
        <w:rPr>
          <w:rFonts w:ascii="宋体" w:hAnsi="宋体"/>
          <w:color w:val="000000" w:themeColor="text1"/>
          <w:szCs w:val="21"/>
        </w:rPr>
        <w:t>相同的给予途径。若设置阳性对照，其处理方式可以不同于受试物处理组。</w:t>
      </w:r>
    </w:p>
    <w:p w14:paraId="6C245849" w14:textId="77777777" w:rsidR="006D4836" w:rsidRPr="00B54A3C" w:rsidRDefault="006D4836" w:rsidP="006D4836">
      <w:pPr>
        <w:spacing w:line="300" w:lineRule="auto"/>
        <w:ind w:firstLineChars="200" w:firstLine="420"/>
        <w:jc w:val="both"/>
        <w:rPr>
          <w:color w:val="000000" w:themeColor="text1"/>
        </w:rPr>
      </w:pPr>
      <w:bookmarkStart w:id="7" w:name="_Hlk135333967"/>
      <w:r w:rsidRPr="00B54A3C">
        <w:rPr>
          <w:color w:val="000000" w:themeColor="text1"/>
        </w:rPr>
        <w:t>一般情况下首选水作为溶媒，可以是水溶液也可以是混悬液，其次可以选择玉米油作为溶媒配制成乳浊液，也可以将其与水混合配制成油溶液。使用水以外的其它溶媒，应阐明其毒性并保证所配制溶液的稳定性。</w:t>
      </w:r>
    </w:p>
    <w:bookmarkEnd w:id="7"/>
    <w:p w14:paraId="495BEB0B"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其它应纳入考虑的因素包括：溶媒是否影响受试物化学特征继而改变受试物毒性；溶媒是否影响受试物的吸收、代谢、分布和蓄积；溶媒是否影响动物食物和饮水摄入继而影响营养状况；溶媒本身是否有潜在毒性。</w:t>
      </w:r>
    </w:p>
    <w:p w14:paraId="6654EF05"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经口灌胃时，以大鼠为例，水溶性液体的灌胃体</w:t>
      </w:r>
      <w:proofErr w:type="gramStart"/>
      <w:r w:rsidRPr="00B54A3C">
        <w:rPr>
          <w:rFonts w:hint="eastAsia"/>
          <w:color w:val="000000" w:themeColor="text1"/>
        </w:rPr>
        <w:t>积一般</w:t>
      </w:r>
      <w:proofErr w:type="gramEnd"/>
      <w:r w:rsidRPr="00B54A3C">
        <w:rPr>
          <w:rFonts w:hint="eastAsia"/>
          <w:color w:val="000000" w:themeColor="text1"/>
        </w:rPr>
        <w:t>不超过</w:t>
      </w:r>
      <w:r w:rsidRPr="00B54A3C">
        <w:rPr>
          <w:color w:val="000000" w:themeColor="text1"/>
        </w:rPr>
        <w:t>10 mL/kg</w:t>
      </w:r>
      <w:r w:rsidRPr="00B54A3C">
        <w:rPr>
          <w:rFonts w:hint="eastAsia"/>
          <w:color w:val="000000" w:themeColor="text1"/>
        </w:rPr>
        <w:t>体重，最大不超过</w:t>
      </w:r>
      <w:r w:rsidRPr="00B54A3C">
        <w:rPr>
          <w:color w:val="000000" w:themeColor="text1"/>
        </w:rPr>
        <w:t>20 mL/kg</w:t>
      </w:r>
      <w:r w:rsidRPr="00B54A3C">
        <w:rPr>
          <w:rFonts w:hint="eastAsia"/>
          <w:color w:val="000000" w:themeColor="text1"/>
        </w:rPr>
        <w:t>体重；油溶性液体的灌胃体积不超过</w:t>
      </w:r>
      <w:r w:rsidRPr="00B54A3C">
        <w:rPr>
          <w:color w:val="000000" w:themeColor="text1"/>
        </w:rPr>
        <w:t>4 mL/kg</w:t>
      </w:r>
      <w:r w:rsidRPr="00B54A3C">
        <w:rPr>
          <w:rFonts w:hint="eastAsia"/>
          <w:color w:val="000000" w:themeColor="text1"/>
        </w:rPr>
        <w:t>体重。</w:t>
      </w:r>
    </w:p>
    <w:p w14:paraId="63626D7A"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经饲料或饮水给予时，应充分考虑溶媒添加量和动物热量的摄入。若使用溶媒，那么对照组应按</w:t>
      </w:r>
      <w:proofErr w:type="gramStart"/>
      <w:r w:rsidRPr="00B54A3C">
        <w:rPr>
          <w:color w:val="000000" w:themeColor="text1"/>
        </w:rPr>
        <w:t>受试物组的</w:t>
      </w:r>
      <w:proofErr w:type="gramEnd"/>
      <w:r w:rsidRPr="00B54A3C">
        <w:rPr>
          <w:color w:val="000000" w:themeColor="text1"/>
        </w:rPr>
        <w:t>最高使用量添加；</w:t>
      </w:r>
      <w:r w:rsidRPr="00B54A3C">
        <w:rPr>
          <w:rFonts w:hint="eastAsia"/>
          <w:color w:val="000000" w:themeColor="text1"/>
        </w:rPr>
        <w:t>若不使用溶媒，且受试物会造成摄食量或食物利用率的降低，那么可以通过将其</w:t>
      </w:r>
      <w:proofErr w:type="gramStart"/>
      <w:r w:rsidRPr="00B54A3C">
        <w:rPr>
          <w:rFonts w:hint="eastAsia"/>
          <w:color w:val="000000" w:themeColor="text1"/>
        </w:rPr>
        <w:t>饲喂未</w:t>
      </w:r>
      <w:proofErr w:type="gramEnd"/>
      <w:r w:rsidRPr="00B54A3C">
        <w:rPr>
          <w:rFonts w:hint="eastAsia"/>
          <w:color w:val="000000" w:themeColor="text1"/>
        </w:rPr>
        <w:t>交配动物作为配对对照组，但是，如有资料表明食物消耗的降低并不影响生殖相关参数，可以不设置配对对照。</w:t>
      </w:r>
    </w:p>
    <w:p w14:paraId="520ED948" w14:textId="77777777" w:rsidR="006D4836" w:rsidRPr="00D22106" w:rsidRDefault="006D4836" w:rsidP="006D4836">
      <w:pPr>
        <w:spacing w:line="300" w:lineRule="auto"/>
        <w:ind w:firstLineChars="200" w:firstLine="420"/>
        <w:jc w:val="both"/>
        <w:rPr>
          <w:color w:val="000000" w:themeColor="text1"/>
        </w:rPr>
      </w:pPr>
      <w:r w:rsidRPr="00ED5EE6">
        <w:rPr>
          <w:rFonts w:hint="eastAsia"/>
          <w:color w:val="000000" w:themeColor="text1"/>
          <w:szCs w:val="21"/>
        </w:rPr>
        <w:t>若无特殊理由建议通过口服给药。经</w:t>
      </w:r>
      <w:proofErr w:type="gramStart"/>
      <w:r w:rsidRPr="00ED5EE6">
        <w:rPr>
          <w:color w:val="000000" w:themeColor="text1"/>
          <w:szCs w:val="21"/>
        </w:rPr>
        <w:t>皮给予</w:t>
      </w:r>
      <w:proofErr w:type="gramEnd"/>
      <w:r w:rsidRPr="00ED5EE6">
        <w:rPr>
          <w:color w:val="000000" w:themeColor="text1"/>
          <w:szCs w:val="21"/>
        </w:rPr>
        <w:t>受试物时，应考虑受试物浓度对皮肤的刺激性。若在既定剂量下的浓度产生较为严重的皮肤刺激性，应将浓度适当降低。当然，这种降低可能也伴随剂量的降低。如果因浓度过高，在早期就出现皮肤严重受损的情况下，应终止试验并选择合适的浓度重新开始。受试物皮肤暴露面积应达到动物全身皮肤的</w:t>
      </w:r>
      <w:r w:rsidRPr="00ED5EE6">
        <w:rPr>
          <w:color w:val="000000" w:themeColor="text1"/>
          <w:szCs w:val="21"/>
        </w:rPr>
        <w:t>10%</w:t>
      </w:r>
      <w:r w:rsidRPr="00ED5EE6">
        <w:rPr>
          <w:color w:val="000000" w:themeColor="text1"/>
          <w:szCs w:val="21"/>
        </w:rPr>
        <w:t>，毒性过高的受试物也可以小于</w:t>
      </w:r>
      <w:r w:rsidRPr="00ED5EE6">
        <w:rPr>
          <w:color w:val="000000" w:themeColor="text1"/>
          <w:szCs w:val="21"/>
        </w:rPr>
        <w:t>10%</w:t>
      </w:r>
      <w:r w:rsidRPr="00ED5EE6">
        <w:rPr>
          <w:color w:val="000000" w:themeColor="text1"/>
          <w:szCs w:val="21"/>
        </w:rPr>
        <w:t>。可以采用纱布和无刺激性胶带将受试物固定在皮肤表面，需要保证每天</w:t>
      </w:r>
      <w:r w:rsidRPr="00ED5EE6">
        <w:rPr>
          <w:color w:val="000000" w:themeColor="text1"/>
          <w:szCs w:val="21"/>
        </w:rPr>
        <w:t>6</w:t>
      </w:r>
      <w:r w:rsidRPr="00ED5EE6">
        <w:rPr>
          <w:color w:val="000000" w:themeColor="text1"/>
          <w:szCs w:val="21"/>
        </w:rPr>
        <w:t>小时的接触时长，同时也可以采用非保定方式（如</w:t>
      </w:r>
      <w:proofErr w:type="gramStart"/>
      <w:r w:rsidRPr="00ED5EE6">
        <w:rPr>
          <w:rFonts w:hint="eastAsia"/>
          <w:color w:val="000000" w:themeColor="text1"/>
          <w:szCs w:val="21"/>
        </w:rPr>
        <w:t>防抓咬保护</w:t>
      </w:r>
      <w:proofErr w:type="gramEnd"/>
      <w:r w:rsidRPr="00ED5EE6">
        <w:rPr>
          <w:rFonts w:hint="eastAsia"/>
          <w:color w:val="000000" w:themeColor="text1"/>
          <w:szCs w:val="21"/>
        </w:rPr>
        <w:t>脖套）防止动物摄入受试物或弄掉封闭胶带。</w:t>
      </w:r>
    </w:p>
    <w:p w14:paraId="1EB27194" w14:textId="4B7419DF" w:rsidR="006D4836" w:rsidRPr="00B54A3C" w:rsidRDefault="006D4836" w:rsidP="006D4836">
      <w:pPr>
        <w:spacing w:line="300" w:lineRule="auto"/>
        <w:ind w:firstLineChars="200" w:firstLine="420"/>
        <w:jc w:val="both"/>
        <w:rPr>
          <w:color w:val="000000" w:themeColor="text1"/>
        </w:rPr>
      </w:pPr>
      <w:r w:rsidRPr="00B54A3C">
        <w:rPr>
          <w:color w:val="000000" w:themeColor="text1"/>
        </w:rPr>
        <w:t>经吸入给予受试物时，一般采用气体、蒸汽、气溶胶或以上混合形态进行受试物暴露。吸入受试物所采用的暴露物态应根据其理化性质、拟定浓度和</w:t>
      </w:r>
      <w:r w:rsidRPr="00B54A3C">
        <w:rPr>
          <w:color w:val="000000" w:themeColor="text1"/>
        </w:rPr>
        <w:t>/</w:t>
      </w:r>
      <w:r w:rsidRPr="00B54A3C">
        <w:rPr>
          <w:color w:val="000000" w:themeColor="text1"/>
        </w:rPr>
        <w:t>或其实际应用时的物态加以确定。不论采用头鼻暴露还是全身暴露，</w:t>
      </w:r>
      <w:r w:rsidR="00D552CD">
        <w:rPr>
          <w:rFonts w:hint="eastAsia"/>
          <w:color w:val="000000" w:themeColor="text1"/>
          <w:kern w:val="0"/>
        </w:rPr>
        <w:t>染毒柜内氧气浓度含量不低于</w:t>
      </w:r>
      <w:r w:rsidR="00D552CD">
        <w:rPr>
          <w:color w:val="000000" w:themeColor="text1"/>
          <w:kern w:val="0"/>
        </w:rPr>
        <w:t>19%</w:t>
      </w:r>
      <w:r w:rsidR="00D552CD">
        <w:rPr>
          <w:rFonts w:hint="eastAsia"/>
          <w:color w:val="000000" w:themeColor="text1"/>
          <w:kern w:val="0"/>
        </w:rPr>
        <w:t>，二氧化碳含量低于</w:t>
      </w:r>
      <w:r w:rsidR="00D552CD">
        <w:rPr>
          <w:color w:val="000000" w:themeColor="text1"/>
          <w:kern w:val="0"/>
        </w:rPr>
        <w:t>1%</w:t>
      </w:r>
      <w:r w:rsidR="00D552CD">
        <w:rPr>
          <w:rFonts w:hint="eastAsia"/>
          <w:color w:val="000000" w:themeColor="text1"/>
          <w:kern w:val="0"/>
        </w:rPr>
        <w:t>，同时确保受试物浓度稳定。</w:t>
      </w:r>
    </w:p>
    <w:p w14:paraId="3EBC0D1D"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t>实验动物和饲养环境</w:t>
      </w:r>
    </w:p>
    <w:p w14:paraId="4F4FDCEA" w14:textId="77777777" w:rsidR="006D4836" w:rsidRPr="00B54A3C" w:rsidRDefault="006D4836" w:rsidP="006D4836">
      <w:pPr>
        <w:pStyle w:val="a4"/>
        <w:widowControl w:val="0"/>
        <w:numPr>
          <w:ilvl w:val="1"/>
          <w:numId w:val="3"/>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实验动物选择</w:t>
      </w:r>
    </w:p>
    <w:p w14:paraId="45DACC82" w14:textId="32F94583" w:rsidR="006D4836" w:rsidRPr="00B54A3C" w:rsidRDefault="006D4836" w:rsidP="006D4836">
      <w:pPr>
        <w:spacing w:line="300" w:lineRule="auto"/>
        <w:ind w:firstLineChars="200" w:firstLine="420"/>
        <w:jc w:val="both"/>
        <w:rPr>
          <w:color w:val="000000" w:themeColor="text1"/>
        </w:rPr>
      </w:pPr>
      <w:r w:rsidRPr="00B54A3C">
        <w:rPr>
          <w:color w:val="000000" w:themeColor="text1"/>
        </w:rPr>
        <w:t>首选种属为大鼠，若选择其它种属动物应有合理理由，同时应避免选择生育力低且具有明显发育缺陷的动物种属。所选动物应健康且未经历任何试验，其中雌性动物应为未经产或未孕动物。</w:t>
      </w:r>
      <w:r w:rsidR="00C120A5" w:rsidRPr="00C120A5">
        <w:rPr>
          <w:rFonts w:hint="eastAsia"/>
          <w:color w:val="000000" w:themeColor="text1"/>
        </w:rPr>
        <w:t>试验开始时动物体重的差异应不超过平均体重的±</w:t>
      </w:r>
      <w:r w:rsidR="00C120A5" w:rsidRPr="00C120A5">
        <w:rPr>
          <w:rFonts w:hint="eastAsia"/>
          <w:color w:val="000000" w:themeColor="text1"/>
        </w:rPr>
        <w:t>20%</w:t>
      </w:r>
      <w:r w:rsidRPr="00B54A3C">
        <w:rPr>
          <w:color w:val="000000" w:themeColor="text1"/>
        </w:rPr>
        <w:t>，若有必要还应基于发情周期筛选动物，将发情周期正常的雌性纳入试验。</w:t>
      </w:r>
    </w:p>
    <w:p w14:paraId="75E46659" w14:textId="77777777" w:rsidR="006D4836" w:rsidRPr="00B54A3C" w:rsidRDefault="006D4836" w:rsidP="006D4836">
      <w:pPr>
        <w:pStyle w:val="a4"/>
        <w:widowControl w:val="0"/>
        <w:numPr>
          <w:ilvl w:val="1"/>
          <w:numId w:val="3"/>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lastRenderedPageBreak/>
        <w:t>动物数量</w:t>
      </w:r>
    </w:p>
    <w:p w14:paraId="56375D57"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应保证每组至少有</w:t>
      </w:r>
      <w:r w:rsidRPr="00B54A3C">
        <w:rPr>
          <w:color w:val="000000" w:themeColor="text1"/>
        </w:rPr>
        <w:t>20</w:t>
      </w:r>
      <w:r w:rsidRPr="00B54A3C">
        <w:rPr>
          <w:color w:val="000000" w:themeColor="text1"/>
        </w:rPr>
        <w:t>只怀孕雌性动物，在极端情况下，未能产生足够的怀孕动物时，不表明研究数据无效，需个案分析。雄性动物数量推荐与雌性动物保持一致。</w:t>
      </w:r>
    </w:p>
    <w:p w14:paraId="2504B9EF" w14:textId="77777777" w:rsidR="006D4836" w:rsidRPr="00B54A3C" w:rsidRDefault="006D4836" w:rsidP="006D4836">
      <w:pPr>
        <w:pStyle w:val="a4"/>
        <w:widowControl w:val="0"/>
        <w:numPr>
          <w:ilvl w:val="1"/>
          <w:numId w:val="3"/>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动物的准备和饲养</w:t>
      </w:r>
    </w:p>
    <w:p w14:paraId="415DCBCF" w14:textId="6D23DC92" w:rsidR="006D4836" w:rsidRPr="00B54A3C" w:rsidRDefault="006D4836" w:rsidP="006D4836">
      <w:pPr>
        <w:spacing w:line="300" w:lineRule="auto"/>
        <w:ind w:firstLineChars="200" w:firstLine="420"/>
        <w:jc w:val="both"/>
        <w:rPr>
          <w:color w:val="000000" w:themeColor="text1"/>
        </w:rPr>
      </w:pPr>
      <w:r w:rsidRPr="00B54A3C">
        <w:rPr>
          <w:color w:val="000000" w:themeColor="text1"/>
        </w:rPr>
        <w:t>动物抵达实验设施后，应有不少于</w:t>
      </w:r>
      <w:r w:rsidRPr="00B54A3C">
        <w:rPr>
          <w:color w:val="000000" w:themeColor="text1"/>
        </w:rPr>
        <w:t>5</w:t>
      </w:r>
      <w:r w:rsidRPr="00B54A3C">
        <w:rPr>
          <w:color w:val="000000" w:themeColor="text1"/>
        </w:rPr>
        <w:t>天的环境适应期。</w:t>
      </w:r>
      <w:r w:rsidR="00320DFD" w:rsidRPr="00320DFD">
        <w:rPr>
          <w:rFonts w:hint="eastAsia"/>
          <w:color w:val="000000" w:themeColor="text1"/>
        </w:rPr>
        <w:t>实验动物及实验动物房应符合国家相应规定。选用标准配合饲料，饮水不限制。</w:t>
      </w:r>
      <w:r w:rsidRPr="00B54A3C">
        <w:rPr>
          <w:color w:val="000000" w:themeColor="text1"/>
        </w:rPr>
        <w:t>但应注意饮食</w:t>
      </w:r>
      <w:r w:rsidRPr="00B54A3C">
        <w:rPr>
          <w:rFonts w:hint="eastAsia"/>
          <w:color w:val="000000" w:themeColor="text1"/>
        </w:rPr>
        <w:t>和垫料</w:t>
      </w:r>
      <w:r w:rsidRPr="00B54A3C">
        <w:rPr>
          <w:color w:val="000000" w:themeColor="text1"/>
        </w:rPr>
        <w:t>中植物雌激素的含量，避免影响某些生殖终点。所用批次饲料留样并适当保存</w:t>
      </w:r>
      <w:proofErr w:type="gramStart"/>
      <w:r w:rsidRPr="00B54A3C">
        <w:rPr>
          <w:color w:val="000000" w:themeColor="text1"/>
        </w:rPr>
        <w:t>至报告</w:t>
      </w:r>
      <w:proofErr w:type="gramEnd"/>
      <w:r w:rsidRPr="00B54A3C">
        <w:rPr>
          <w:color w:val="000000" w:themeColor="text1"/>
        </w:rPr>
        <w:t>完成，以便在某些情况下进行回溯分析。</w:t>
      </w:r>
    </w:p>
    <w:p w14:paraId="466090B3"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动物交配前可以多只动物饲养于</w:t>
      </w:r>
      <w:proofErr w:type="gramStart"/>
      <w:r w:rsidRPr="00B54A3C">
        <w:rPr>
          <w:color w:val="000000" w:themeColor="text1"/>
        </w:rPr>
        <w:t>一</w:t>
      </w:r>
      <w:proofErr w:type="gramEnd"/>
      <w:r w:rsidRPr="00B54A3C">
        <w:rPr>
          <w:color w:val="000000" w:themeColor="text1"/>
        </w:rPr>
        <w:t>笼，雌性动物交配成功后（检查到阴</w:t>
      </w:r>
      <w:proofErr w:type="gramStart"/>
      <w:r w:rsidRPr="00B54A3C">
        <w:rPr>
          <w:color w:val="000000" w:themeColor="text1"/>
        </w:rPr>
        <w:t>栓</w:t>
      </w:r>
      <w:proofErr w:type="gramEnd"/>
      <w:r w:rsidRPr="00B54A3C">
        <w:rPr>
          <w:color w:val="000000" w:themeColor="text1"/>
        </w:rPr>
        <w:t>或阴道涂片阳性）</w:t>
      </w:r>
      <w:proofErr w:type="gramStart"/>
      <w:r w:rsidRPr="00B54A3C">
        <w:rPr>
          <w:color w:val="000000" w:themeColor="text1"/>
        </w:rPr>
        <w:t>应单笼</w:t>
      </w:r>
      <w:proofErr w:type="gramEnd"/>
      <w:r w:rsidRPr="00B54A3C">
        <w:rPr>
          <w:color w:val="000000" w:themeColor="text1"/>
        </w:rPr>
        <w:t>饲养于含垫料的笼具内，其所产</w:t>
      </w:r>
      <w:r w:rsidRPr="00B54A3C">
        <w:rPr>
          <w:color w:val="000000" w:themeColor="text1"/>
        </w:rPr>
        <w:t>F1</w:t>
      </w:r>
      <w:r w:rsidRPr="00B54A3C">
        <w:rPr>
          <w:color w:val="000000" w:themeColor="text1"/>
        </w:rPr>
        <w:t>代同笼饲养至离乳。离乳后的</w:t>
      </w:r>
      <w:r w:rsidRPr="00B54A3C">
        <w:rPr>
          <w:color w:val="000000" w:themeColor="text1"/>
        </w:rPr>
        <w:t>F1</w:t>
      </w:r>
      <w:r w:rsidRPr="00B54A3C">
        <w:rPr>
          <w:color w:val="000000" w:themeColor="text1"/>
        </w:rPr>
        <w:t>代应按组别、性别分笼饲养，如有合理理由亦可单笼饲养。</w:t>
      </w:r>
    </w:p>
    <w:p w14:paraId="019C0E54"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t>暴露途径的选择</w:t>
      </w:r>
    </w:p>
    <w:p w14:paraId="5ADE6430"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推荐采用经口方式（包括饲料、饮水和灌胃），除非其它暴露途径（经皮或吸入）更为合适。</w:t>
      </w:r>
    </w:p>
    <w:p w14:paraId="20B65DB5"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t>剂量和分组</w:t>
      </w:r>
    </w:p>
    <w:p w14:paraId="0F35A6A6" w14:textId="77777777" w:rsidR="006D4836" w:rsidRPr="00B54A3C" w:rsidRDefault="006D4836" w:rsidP="006D4836">
      <w:pPr>
        <w:pStyle w:val="a4"/>
        <w:widowControl w:val="0"/>
        <w:numPr>
          <w:ilvl w:val="1"/>
          <w:numId w:val="4"/>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常规剂量设计</w:t>
      </w:r>
    </w:p>
    <w:p w14:paraId="0F6FEF3F" w14:textId="77777777" w:rsidR="005B494B" w:rsidRDefault="005B494B" w:rsidP="005B494B">
      <w:pPr>
        <w:spacing w:line="300" w:lineRule="auto"/>
        <w:ind w:firstLineChars="200" w:firstLine="420"/>
        <w:jc w:val="both"/>
        <w:rPr>
          <w:color w:val="000000" w:themeColor="text1"/>
          <w:szCs w:val="21"/>
        </w:rPr>
      </w:pPr>
      <w:r>
        <w:rPr>
          <w:rFonts w:hint="eastAsia"/>
          <w:color w:val="000000" w:themeColor="text1"/>
          <w:szCs w:val="21"/>
        </w:rPr>
        <w:t>通常情况下，设置</w:t>
      </w:r>
      <w:r>
        <w:rPr>
          <w:color w:val="000000" w:themeColor="text1"/>
          <w:szCs w:val="21"/>
        </w:rPr>
        <w:t>3</w:t>
      </w:r>
      <w:r>
        <w:rPr>
          <w:rFonts w:hint="eastAsia"/>
          <w:color w:val="000000" w:themeColor="text1"/>
          <w:szCs w:val="21"/>
        </w:rPr>
        <w:t>个剂量组和</w:t>
      </w:r>
      <w:r>
        <w:rPr>
          <w:color w:val="000000" w:themeColor="text1"/>
          <w:szCs w:val="21"/>
        </w:rPr>
        <w:t>1</w:t>
      </w:r>
      <w:r>
        <w:rPr>
          <w:rFonts w:hint="eastAsia"/>
          <w:color w:val="000000" w:themeColor="text1"/>
          <w:szCs w:val="21"/>
        </w:rPr>
        <w:t>个溶媒对照组。剂量水平的选择应参考已有毒理资料，如非妊娠动物的</w:t>
      </w:r>
      <w:r>
        <w:rPr>
          <w:color w:val="000000" w:themeColor="text1"/>
          <w:szCs w:val="21"/>
        </w:rPr>
        <w:t>TK</w:t>
      </w:r>
      <w:r>
        <w:rPr>
          <w:rFonts w:hint="eastAsia"/>
          <w:color w:val="000000" w:themeColor="text1"/>
          <w:szCs w:val="21"/>
        </w:rPr>
        <w:t>数据，受试物的血乳屏障透过率，人体暴露估计等。在有</w:t>
      </w:r>
      <w:r>
        <w:rPr>
          <w:color w:val="000000" w:themeColor="text1"/>
          <w:szCs w:val="21"/>
        </w:rPr>
        <w:t>TK</w:t>
      </w:r>
      <w:r>
        <w:rPr>
          <w:rFonts w:hint="eastAsia"/>
          <w:color w:val="000000" w:themeColor="text1"/>
          <w:szCs w:val="21"/>
        </w:rPr>
        <w:t>数据的情况下，相关资料表明受试物具有剂量依赖饱和特征，</w:t>
      </w:r>
      <w:proofErr w:type="gramStart"/>
      <w:r>
        <w:rPr>
          <w:rFonts w:hint="eastAsia"/>
          <w:color w:val="000000" w:themeColor="text1"/>
          <w:szCs w:val="21"/>
        </w:rPr>
        <w:t>且人体</w:t>
      </w:r>
      <w:proofErr w:type="gramEnd"/>
      <w:r>
        <w:rPr>
          <w:rFonts w:hint="eastAsia"/>
          <w:color w:val="000000" w:themeColor="text1"/>
          <w:szCs w:val="21"/>
        </w:rPr>
        <w:t>暴露量远低于饱和剂量，设置受试物高剂量时选择动力学曲线向非线性转变的拐点比较适合，可避免出现饱和。在缺乏</w:t>
      </w:r>
      <w:r>
        <w:rPr>
          <w:color w:val="000000" w:themeColor="text1"/>
          <w:szCs w:val="21"/>
        </w:rPr>
        <w:t>TK</w:t>
      </w:r>
      <w:r>
        <w:rPr>
          <w:rFonts w:hint="eastAsia"/>
          <w:color w:val="000000" w:themeColor="text1"/>
          <w:szCs w:val="21"/>
        </w:rPr>
        <w:t>数据支持的情况下，剂量水平的选择应基于受试物的毒性，如高剂量应产生一定程度的全身毒性，但</w:t>
      </w:r>
      <w:proofErr w:type="gramStart"/>
      <w:r>
        <w:rPr>
          <w:rFonts w:hint="eastAsia"/>
          <w:color w:val="000000" w:themeColor="text1"/>
          <w:szCs w:val="21"/>
        </w:rPr>
        <w:t>不</w:t>
      </w:r>
      <w:proofErr w:type="gramEnd"/>
      <w:r>
        <w:rPr>
          <w:rFonts w:hint="eastAsia"/>
          <w:color w:val="000000" w:themeColor="text1"/>
          <w:szCs w:val="21"/>
        </w:rPr>
        <w:t>致死或造成动物严重的痛苦。</w:t>
      </w:r>
    </w:p>
    <w:p w14:paraId="728444FF"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在高剂量以下按等比关系设置中低剂量，低剂量应能够确定</w:t>
      </w:r>
      <w:r w:rsidRPr="00B54A3C">
        <w:rPr>
          <w:color w:val="000000" w:themeColor="text1"/>
        </w:rPr>
        <w:t>NOAEL</w:t>
      </w:r>
      <w:r w:rsidRPr="00B54A3C">
        <w:rPr>
          <w:color w:val="000000" w:themeColor="text1"/>
        </w:rPr>
        <w:t>或可以用于推导基准剂量（</w:t>
      </w:r>
      <w:r w:rsidRPr="00B54A3C">
        <w:rPr>
          <w:color w:val="000000" w:themeColor="text1"/>
        </w:rPr>
        <w:t>Bench mark dose, BMD</w:t>
      </w:r>
      <w:r w:rsidRPr="00B54A3C">
        <w:rPr>
          <w:color w:val="000000" w:themeColor="text1"/>
        </w:rPr>
        <w:t>）。通常</w:t>
      </w:r>
      <w:r w:rsidRPr="00B54A3C">
        <w:rPr>
          <w:color w:val="000000" w:themeColor="text1"/>
        </w:rPr>
        <w:t>2-4</w:t>
      </w:r>
      <w:r w:rsidRPr="00B54A3C">
        <w:rPr>
          <w:color w:val="000000" w:themeColor="text1"/>
        </w:rPr>
        <w:t>倍的剂量间距较为合适，不宜采用过大的间距，如拟设间距超过</w:t>
      </w:r>
      <w:r w:rsidRPr="00B54A3C">
        <w:rPr>
          <w:color w:val="000000" w:themeColor="text1"/>
        </w:rPr>
        <w:t>10</w:t>
      </w:r>
      <w:r w:rsidRPr="00B54A3C">
        <w:rPr>
          <w:color w:val="000000" w:themeColor="text1"/>
        </w:rPr>
        <w:t>，则应采用增加剂量组的方法以降低间距。若通过饲料给予受试物，则剂量间距不应超过</w:t>
      </w:r>
      <w:r w:rsidRPr="00B54A3C">
        <w:rPr>
          <w:color w:val="000000" w:themeColor="text1"/>
        </w:rPr>
        <w:t>3</w:t>
      </w:r>
      <w:r w:rsidRPr="00B54A3C">
        <w:rPr>
          <w:color w:val="000000" w:themeColor="text1"/>
        </w:rPr>
        <w:t>倍。</w:t>
      </w:r>
    </w:p>
    <w:p w14:paraId="5757ECF0"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若有溶媒对照，溶媒对照应采用受试物处理组用到的最大体积作为本组动物的给予体积。</w:t>
      </w:r>
    </w:p>
    <w:p w14:paraId="6329883B" w14:textId="77777777" w:rsidR="006D4836" w:rsidRPr="00B54A3C" w:rsidRDefault="006D4836" w:rsidP="006D4836">
      <w:pPr>
        <w:pStyle w:val="a4"/>
        <w:widowControl w:val="0"/>
        <w:numPr>
          <w:ilvl w:val="1"/>
          <w:numId w:val="4"/>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限制剂量试验</w:t>
      </w:r>
    </w:p>
    <w:p w14:paraId="4B5C1F7E"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人的可能暴露水平低于</w:t>
      </w:r>
      <w:r w:rsidRPr="00B54A3C">
        <w:rPr>
          <w:color w:val="000000" w:themeColor="text1"/>
        </w:rPr>
        <w:t>1000 mg/kg</w:t>
      </w:r>
      <w:r w:rsidRPr="00B54A3C">
        <w:rPr>
          <w:rFonts w:hint="eastAsia"/>
          <w:color w:val="000000" w:themeColor="text1"/>
        </w:rPr>
        <w:t>，是开展限制剂量试验的前提条件。</w:t>
      </w:r>
      <w:r w:rsidRPr="00B54A3C">
        <w:rPr>
          <w:color w:val="000000" w:themeColor="text1"/>
        </w:rPr>
        <w:t>在重复剂量毒性试验中</w:t>
      </w:r>
      <w:r w:rsidRPr="00B54A3C">
        <w:rPr>
          <w:rFonts w:hint="eastAsia"/>
          <w:color w:val="000000" w:themeColor="text1"/>
        </w:rPr>
        <w:t>高</w:t>
      </w:r>
      <w:r w:rsidRPr="00B54A3C">
        <w:rPr>
          <w:color w:val="000000" w:themeColor="text1"/>
        </w:rPr>
        <w:t>于</w:t>
      </w:r>
      <w:r w:rsidRPr="00B54A3C">
        <w:rPr>
          <w:color w:val="000000" w:themeColor="text1"/>
        </w:rPr>
        <w:t>1000 mg/kg</w:t>
      </w:r>
      <w:r w:rsidRPr="00B54A3C">
        <w:rPr>
          <w:color w:val="000000" w:themeColor="text1"/>
        </w:rPr>
        <w:t>的情况下无毒性表征，或者无结构或代谢类似物的相关资料，那</w:t>
      </w:r>
      <w:r w:rsidRPr="00B54A3C">
        <w:rPr>
          <w:color w:val="000000" w:themeColor="text1"/>
        </w:rPr>
        <w:lastRenderedPageBreak/>
        <w:t>么仅设计</w:t>
      </w:r>
      <w:r w:rsidRPr="00B54A3C">
        <w:rPr>
          <w:color w:val="000000" w:themeColor="text1"/>
        </w:rPr>
        <w:t>1000 mg/kg</w:t>
      </w:r>
      <w:r w:rsidRPr="00B54A3C">
        <w:rPr>
          <w:color w:val="000000" w:themeColor="text1"/>
        </w:rPr>
        <w:t>的单剂量水平已足够。若在此剂量水平观察到生殖发育毒性，则需要在更低剂量水平确定</w:t>
      </w:r>
      <w:r w:rsidRPr="00B54A3C">
        <w:rPr>
          <w:color w:val="000000" w:themeColor="text1"/>
        </w:rPr>
        <w:t>NOAEL</w:t>
      </w:r>
      <w:r w:rsidRPr="00B54A3C">
        <w:rPr>
          <w:color w:val="000000" w:themeColor="text1"/>
        </w:rPr>
        <w:t>。</w:t>
      </w:r>
    </w:p>
    <w:p w14:paraId="2830F95F" w14:textId="77777777" w:rsidR="006D4836" w:rsidRPr="00B54A3C" w:rsidRDefault="006D4836"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sidRPr="00B54A3C">
        <w:rPr>
          <w:rFonts w:eastAsia="黑体"/>
          <w:color w:val="000000" w:themeColor="text1"/>
        </w:rPr>
        <w:t>试验内容</w:t>
      </w:r>
    </w:p>
    <w:p w14:paraId="79DB67C2" w14:textId="77777777" w:rsidR="006D4836" w:rsidRPr="00B54A3C" w:rsidRDefault="006D4836" w:rsidP="006D4836">
      <w:pPr>
        <w:pStyle w:val="a4"/>
        <w:widowControl w:val="0"/>
        <w:numPr>
          <w:ilvl w:val="1"/>
          <w:numId w:val="5"/>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试验步骤</w:t>
      </w:r>
    </w:p>
    <w:p w14:paraId="71286ACB"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F0</w:t>
      </w:r>
      <w:r w:rsidRPr="00B54A3C">
        <w:rPr>
          <w:color w:val="000000" w:themeColor="text1"/>
        </w:rPr>
        <w:t>大鼠从</w:t>
      </w:r>
      <w:r w:rsidRPr="00B54A3C">
        <w:rPr>
          <w:color w:val="000000" w:themeColor="text1"/>
        </w:rPr>
        <w:t>5</w:t>
      </w:r>
      <w:r w:rsidRPr="00B54A3C">
        <w:rPr>
          <w:color w:val="000000" w:themeColor="text1"/>
        </w:rPr>
        <w:t>到</w:t>
      </w:r>
      <w:r w:rsidRPr="00B54A3C">
        <w:rPr>
          <w:color w:val="000000" w:themeColor="text1"/>
        </w:rPr>
        <w:t>9</w:t>
      </w:r>
      <w:r w:rsidRPr="00B54A3C">
        <w:rPr>
          <w:color w:val="000000" w:themeColor="text1"/>
        </w:rPr>
        <w:t>周</w:t>
      </w:r>
      <w:proofErr w:type="gramStart"/>
      <w:r w:rsidRPr="00B54A3C">
        <w:rPr>
          <w:color w:val="000000" w:themeColor="text1"/>
        </w:rPr>
        <w:t>龄</w:t>
      </w:r>
      <w:proofErr w:type="gramEnd"/>
      <w:r w:rsidRPr="00B54A3C">
        <w:rPr>
          <w:color w:val="000000" w:themeColor="text1"/>
        </w:rPr>
        <w:t>开始连续给予受试物。雌性通常持续暴露至</w:t>
      </w:r>
      <w:r w:rsidRPr="00B54A3C">
        <w:rPr>
          <w:color w:val="000000" w:themeColor="text1"/>
        </w:rPr>
        <w:t>F1</w:t>
      </w:r>
      <w:r w:rsidRPr="00B54A3C">
        <w:rPr>
          <w:color w:val="000000" w:themeColor="text1"/>
        </w:rPr>
        <w:t>代离乳，雄性在不需进行其它生殖效应评价后可以人道处死，但是，所有</w:t>
      </w:r>
      <w:r w:rsidRPr="00B54A3C">
        <w:rPr>
          <w:color w:val="000000" w:themeColor="text1"/>
        </w:rPr>
        <w:t>F0</w:t>
      </w:r>
      <w:r w:rsidRPr="00B54A3C">
        <w:rPr>
          <w:color w:val="000000" w:themeColor="text1"/>
        </w:rPr>
        <w:t>代动物均应保证交配前共计</w:t>
      </w:r>
      <w:r w:rsidRPr="00B54A3C">
        <w:rPr>
          <w:color w:val="000000" w:themeColor="text1"/>
        </w:rPr>
        <w:t>10</w:t>
      </w:r>
      <w:r w:rsidRPr="00B54A3C">
        <w:rPr>
          <w:color w:val="000000" w:themeColor="text1"/>
        </w:rPr>
        <w:t>周，交配期共计</w:t>
      </w:r>
      <w:r w:rsidRPr="00B54A3C">
        <w:rPr>
          <w:color w:val="000000" w:themeColor="text1"/>
        </w:rPr>
        <w:t>2</w:t>
      </w:r>
      <w:r w:rsidRPr="00B54A3C">
        <w:rPr>
          <w:color w:val="000000" w:themeColor="text1"/>
        </w:rPr>
        <w:t>周的受试物暴露期。（流程见附图）</w:t>
      </w:r>
    </w:p>
    <w:p w14:paraId="3695EE8C"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F1</w:t>
      </w:r>
      <w:r w:rsidRPr="00B54A3C">
        <w:rPr>
          <w:color w:val="000000" w:themeColor="text1"/>
        </w:rPr>
        <w:t>离乳时，从每窝选择一雌一雄用于交配，</w:t>
      </w:r>
      <w:proofErr w:type="gramStart"/>
      <w:r w:rsidRPr="00B54A3C">
        <w:rPr>
          <w:color w:val="000000" w:themeColor="text1"/>
        </w:rPr>
        <w:t>自离乳开始</w:t>
      </w:r>
      <w:proofErr w:type="gramEnd"/>
      <w:r w:rsidRPr="00B54A3C">
        <w:rPr>
          <w:color w:val="000000" w:themeColor="text1"/>
        </w:rPr>
        <w:t>每日给予受试物，若暴露途径为饮水或食物，则其实际暴露可能始于哺乳期。交配期前连续暴露至少</w:t>
      </w:r>
      <w:r w:rsidRPr="00B54A3C">
        <w:rPr>
          <w:color w:val="000000" w:themeColor="text1"/>
        </w:rPr>
        <w:t>10</w:t>
      </w:r>
      <w:r w:rsidRPr="00B54A3C">
        <w:rPr>
          <w:color w:val="000000" w:themeColor="text1"/>
        </w:rPr>
        <w:t>周，并在交配期仍持续暴露</w:t>
      </w:r>
      <w:r w:rsidRPr="00B54A3C">
        <w:rPr>
          <w:color w:val="000000" w:themeColor="text1"/>
        </w:rPr>
        <w:t>2</w:t>
      </w:r>
      <w:r w:rsidRPr="00B54A3C">
        <w:rPr>
          <w:color w:val="000000" w:themeColor="text1"/>
        </w:rPr>
        <w:t>周，一直持续至</w:t>
      </w:r>
      <w:r w:rsidRPr="00B54A3C">
        <w:rPr>
          <w:color w:val="000000" w:themeColor="text1"/>
        </w:rPr>
        <w:t>F2</w:t>
      </w:r>
      <w:r w:rsidRPr="00B54A3C">
        <w:rPr>
          <w:color w:val="000000" w:themeColor="text1"/>
        </w:rPr>
        <w:t>代离乳（流程见附图）。不用于交配的</w:t>
      </w:r>
      <w:r w:rsidRPr="00B54A3C">
        <w:rPr>
          <w:color w:val="000000" w:themeColor="text1"/>
        </w:rPr>
        <w:t>F1</w:t>
      </w:r>
      <w:r w:rsidRPr="00B54A3C">
        <w:rPr>
          <w:color w:val="000000" w:themeColor="text1"/>
        </w:rPr>
        <w:t>和所有</w:t>
      </w:r>
      <w:r w:rsidRPr="00B54A3C">
        <w:rPr>
          <w:color w:val="000000" w:themeColor="text1"/>
        </w:rPr>
        <w:t>F2</w:t>
      </w:r>
      <w:r w:rsidRPr="00B54A3C">
        <w:rPr>
          <w:color w:val="000000" w:themeColor="text1"/>
        </w:rPr>
        <w:t>均于离乳时人道处死，并从每窝分别选取一雌一雄用于大体解剖观察。</w:t>
      </w:r>
    </w:p>
    <w:p w14:paraId="30ED53FE" w14:textId="77777777" w:rsidR="006D4836" w:rsidRPr="00B54A3C" w:rsidRDefault="006D4836" w:rsidP="006D4836">
      <w:pPr>
        <w:pStyle w:val="a4"/>
        <w:widowControl w:val="0"/>
        <w:numPr>
          <w:ilvl w:val="1"/>
          <w:numId w:val="5"/>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交配</w:t>
      </w:r>
    </w:p>
    <w:p w14:paraId="1BBBF6AA"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同剂量组的雌雄</w:t>
      </w:r>
      <w:proofErr w:type="gramStart"/>
      <w:r w:rsidRPr="00B54A3C">
        <w:rPr>
          <w:color w:val="000000" w:themeColor="text1"/>
        </w:rPr>
        <w:t>大鼠按</w:t>
      </w:r>
      <w:proofErr w:type="gramEnd"/>
      <w:r w:rsidRPr="00B54A3C">
        <w:rPr>
          <w:color w:val="000000" w:themeColor="text1"/>
        </w:rPr>
        <w:t>1:1</w:t>
      </w:r>
      <w:r w:rsidRPr="00B54A3C">
        <w:rPr>
          <w:color w:val="000000" w:themeColor="text1"/>
        </w:rPr>
        <w:t>进行交配，交配最多持续</w:t>
      </w:r>
      <w:r w:rsidRPr="00B54A3C">
        <w:rPr>
          <w:color w:val="000000" w:themeColor="text1"/>
        </w:rPr>
        <w:t>2</w:t>
      </w:r>
      <w:r w:rsidRPr="00B54A3C">
        <w:rPr>
          <w:color w:val="000000" w:themeColor="text1"/>
        </w:rPr>
        <w:t>周。通过在早晨检查阴</w:t>
      </w:r>
      <w:proofErr w:type="gramStart"/>
      <w:r w:rsidRPr="00B54A3C">
        <w:rPr>
          <w:color w:val="000000" w:themeColor="text1"/>
        </w:rPr>
        <w:t>栓</w:t>
      </w:r>
      <w:proofErr w:type="gramEnd"/>
      <w:r w:rsidRPr="00B54A3C">
        <w:rPr>
          <w:color w:val="000000" w:themeColor="text1"/>
        </w:rPr>
        <w:t>或阴道涂片来确定交配成功与否，一旦确定交配成功的雌性应单独饲养，并把发现交配成功的当天定为妊娠第</w:t>
      </w:r>
      <w:r w:rsidRPr="00B54A3C">
        <w:rPr>
          <w:color w:val="000000" w:themeColor="text1"/>
        </w:rPr>
        <w:t>0</w:t>
      </w:r>
      <w:r w:rsidRPr="00B54A3C">
        <w:rPr>
          <w:color w:val="000000" w:themeColor="text1"/>
        </w:rPr>
        <w:t>天（</w:t>
      </w:r>
      <w:r w:rsidRPr="00B54A3C">
        <w:rPr>
          <w:color w:val="000000" w:themeColor="text1"/>
        </w:rPr>
        <w:t>G0</w:t>
      </w:r>
      <w:r w:rsidRPr="00B54A3C">
        <w:rPr>
          <w:color w:val="000000" w:themeColor="text1"/>
        </w:rPr>
        <w:t>）。如若交配不成功，应选择同组已成功交配的其它雄性继续交配，配对信息应准确记录。</w:t>
      </w:r>
    </w:p>
    <w:p w14:paraId="14F2A4DD"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在离乳动物中，从每窝选取至少一雌一雄在性成熟后进行交配且交配应在同组</w:t>
      </w:r>
      <w:proofErr w:type="gramStart"/>
      <w:r w:rsidRPr="00B54A3C">
        <w:rPr>
          <w:color w:val="000000" w:themeColor="text1"/>
        </w:rPr>
        <w:t>不同窝间开展</w:t>
      </w:r>
      <w:proofErr w:type="gramEnd"/>
      <w:r w:rsidRPr="00B54A3C">
        <w:rPr>
          <w:color w:val="000000" w:themeColor="text1"/>
        </w:rPr>
        <w:t>。</w:t>
      </w:r>
      <w:r w:rsidRPr="00B54A3C">
        <w:rPr>
          <w:color w:val="000000" w:themeColor="text1"/>
        </w:rPr>
        <w:t>F1</w:t>
      </w:r>
      <w:r w:rsidRPr="00B54A3C">
        <w:rPr>
          <w:color w:val="000000" w:themeColor="text1"/>
        </w:rPr>
        <w:t>的选取应遵循随机原则，但体重不应低于每窝平均体重两个标准差。</w:t>
      </w:r>
    </w:p>
    <w:p w14:paraId="3BAB623D"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通常情况下不推荐进行二次交配，因为二次交配将不得不失去着床信息。但是，如出现受试</w:t>
      </w:r>
      <w:proofErr w:type="gramStart"/>
      <w:r w:rsidRPr="00B54A3C">
        <w:rPr>
          <w:color w:val="000000" w:themeColor="text1"/>
        </w:rPr>
        <w:t>物相关</w:t>
      </w:r>
      <w:proofErr w:type="gramEnd"/>
      <w:r w:rsidRPr="00B54A3C">
        <w:rPr>
          <w:color w:val="000000" w:themeColor="text1"/>
        </w:rPr>
        <w:t>的窝产仔数变化或第一次交配中观察到可疑的结果，仍建议</w:t>
      </w:r>
      <w:r w:rsidRPr="00B54A3C">
        <w:rPr>
          <w:color w:val="000000" w:themeColor="text1"/>
        </w:rPr>
        <w:t>F0</w:t>
      </w:r>
      <w:r w:rsidRPr="00B54A3C">
        <w:rPr>
          <w:color w:val="000000" w:themeColor="text1"/>
        </w:rPr>
        <w:t>或</w:t>
      </w:r>
      <w:r w:rsidRPr="00B54A3C">
        <w:rPr>
          <w:color w:val="000000" w:themeColor="text1"/>
        </w:rPr>
        <w:t>F1</w:t>
      </w:r>
      <w:r w:rsidRPr="00B54A3C">
        <w:rPr>
          <w:color w:val="000000" w:themeColor="text1"/>
        </w:rPr>
        <w:t>再次交配。同时，也建议将未成功怀孕的雌性动物与能正常生育的雄性进行二次交配，以确证雌性生育力。二次交配的时间应选在最后一胎离乳后大约一周左右。</w:t>
      </w:r>
    </w:p>
    <w:p w14:paraId="38E4A197" w14:textId="77777777" w:rsidR="006D4836" w:rsidRPr="00B54A3C" w:rsidRDefault="006D4836" w:rsidP="006D4836">
      <w:pPr>
        <w:pStyle w:val="a4"/>
        <w:widowControl w:val="0"/>
        <w:numPr>
          <w:ilvl w:val="1"/>
          <w:numId w:val="5"/>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窝的标准化</w:t>
      </w:r>
    </w:p>
    <w:p w14:paraId="3617F91E"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在出生后第</w:t>
      </w:r>
      <w:r w:rsidRPr="00B54A3C">
        <w:rPr>
          <w:color w:val="000000" w:themeColor="text1"/>
        </w:rPr>
        <w:t>4</w:t>
      </w:r>
      <w:r w:rsidRPr="00B54A3C">
        <w:rPr>
          <w:color w:val="000000" w:themeColor="text1"/>
        </w:rPr>
        <w:t>天，通过随机选择调整窝的大小，尽可能达到每窝每性别</w:t>
      </w:r>
      <w:r w:rsidRPr="00B54A3C">
        <w:rPr>
          <w:color w:val="000000" w:themeColor="text1"/>
        </w:rPr>
        <w:t>5</w:t>
      </w:r>
      <w:r w:rsidRPr="00B54A3C">
        <w:rPr>
          <w:color w:val="000000" w:themeColor="text1"/>
        </w:rPr>
        <w:t>只，</w:t>
      </w:r>
      <w:proofErr w:type="gramStart"/>
      <w:r w:rsidRPr="00B54A3C">
        <w:rPr>
          <w:color w:val="000000" w:themeColor="text1"/>
        </w:rPr>
        <w:t>若难</w:t>
      </w:r>
      <w:proofErr w:type="gramEnd"/>
      <w:r w:rsidRPr="00B54A3C">
        <w:rPr>
          <w:color w:val="000000" w:themeColor="text1"/>
        </w:rPr>
        <w:t>以达到，做部分调整也可接受（例如：</w:t>
      </w:r>
      <w:r w:rsidRPr="00B54A3C">
        <w:rPr>
          <w:color w:val="000000" w:themeColor="text1"/>
        </w:rPr>
        <w:t>4</w:t>
      </w:r>
      <w:r w:rsidRPr="00B54A3C">
        <w:rPr>
          <w:color w:val="000000" w:themeColor="text1"/>
        </w:rPr>
        <w:t>只雌性和</w:t>
      </w:r>
      <w:r w:rsidRPr="00B54A3C">
        <w:rPr>
          <w:color w:val="000000" w:themeColor="text1"/>
        </w:rPr>
        <w:t>6</w:t>
      </w:r>
      <w:r w:rsidRPr="00B54A3C">
        <w:rPr>
          <w:color w:val="000000" w:themeColor="text1"/>
        </w:rPr>
        <w:t>只雄性）。窝的标准化不宜以体重及</w:t>
      </w:r>
      <w:proofErr w:type="gramStart"/>
      <w:r w:rsidRPr="00B54A3C">
        <w:rPr>
          <w:color w:val="000000" w:themeColor="text1"/>
        </w:rPr>
        <w:t>肛殖</w:t>
      </w:r>
      <w:proofErr w:type="gramEnd"/>
      <w:r w:rsidRPr="00B54A3C">
        <w:rPr>
          <w:color w:val="000000" w:themeColor="text1"/>
        </w:rPr>
        <w:t>距（</w:t>
      </w:r>
      <w:r w:rsidRPr="00B54A3C">
        <w:rPr>
          <w:color w:val="000000" w:themeColor="text1"/>
        </w:rPr>
        <w:t>AGD</w:t>
      </w:r>
      <w:r w:rsidRPr="00B54A3C">
        <w:rPr>
          <w:color w:val="000000" w:themeColor="text1"/>
        </w:rPr>
        <w:t>）为依据。</w:t>
      </w:r>
    </w:p>
    <w:p w14:paraId="50BCD6E1" w14:textId="77777777" w:rsidR="006D4836" w:rsidRPr="00B54A3C" w:rsidRDefault="006D4836" w:rsidP="006D4836">
      <w:pPr>
        <w:pStyle w:val="a4"/>
        <w:widowControl w:val="0"/>
        <w:numPr>
          <w:ilvl w:val="1"/>
          <w:numId w:val="5"/>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临床观察</w:t>
      </w:r>
    </w:p>
    <w:p w14:paraId="778C4D8D"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每天应进行一般临床观察，在灌胃给药的情况下，其观察时间点应考虑到给药后预期的</w:t>
      </w:r>
      <w:r w:rsidRPr="00B54A3C">
        <w:rPr>
          <w:rFonts w:hint="eastAsia"/>
          <w:color w:val="000000" w:themeColor="text1"/>
        </w:rPr>
        <w:t>毒性效应</w:t>
      </w:r>
      <w:r w:rsidRPr="00B54A3C">
        <w:rPr>
          <w:color w:val="000000" w:themeColor="text1"/>
        </w:rPr>
        <w:t>高峰时期。观察并记录行为改变、难产或长时间分娩以及所有毒性症状。更详细的临床观察至少每周一次，可以在给动物称重时进行。每天两次笼旁观察，观察内容包括严重的毒性反应、发病率和死亡率。</w:t>
      </w:r>
    </w:p>
    <w:p w14:paraId="5C8815EE"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lastRenderedPageBreak/>
        <w:t>每天应进行一般临床观察，在灌胃给药的情况下，其观察时间点应考虑到给药后预期的效果高峰时期，观察</w:t>
      </w:r>
      <w:r w:rsidRPr="00B54A3C">
        <w:rPr>
          <w:color w:val="000000" w:themeColor="text1"/>
        </w:rPr>
        <w:t>F1</w:t>
      </w:r>
      <w:r w:rsidRPr="00B54A3C">
        <w:rPr>
          <w:color w:val="000000" w:themeColor="text1"/>
        </w:rPr>
        <w:t>和</w:t>
      </w:r>
      <w:r w:rsidRPr="00B54A3C">
        <w:rPr>
          <w:color w:val="000000" w:themeColor="text1"/>
        </w:rPr>
        <w:t>F2</w:t>
      </w:r>
      <w:r w:rsidRPr="00B54A3C">
        <w:rPr>
          <w:color w:val="000000" w:themeColor="text1"/>
        </w:rPr>
        <w:t>是否有行为改变，是否有外观异常，是否出现毒性症状。此外，</w:t>
      </w:r>
      <w:r w:rsidRPr="00B54A3C">
        <w:rPr>
          <w:color w:val="000000" w:themeColor="text1"/>
        </w:rPr>
        <w:t>F1</w:t>
      </w:r>
      <w:r w:rsidRPr="00B54A3C">
        <w:rPr>
          <w:color w:val="000000" w:themeColor="text1"/>
        </w:rPr>
        <w:t>还应观察是否难产或长时间分娩。更详细的临床观察至少每周一次，可以在给动物称重时进行。每天两次笼旁观察，观察内容包括严重的毒性反应、发病率和死亡率。</w:t>
      </w:r>
    </w:p>
    <w:p w14:paraId="6BBE211A"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在分娩后（</w:t>
      </w:r>
      <w:r w:rsidRPr="00B54A3C">
        <w:rPr>
          <w:color w:val="000000" w:themeColor="text1"/>
        </w:rPr>
        <w:t>LD0</w:t>
      </w:r>
      <w:r w:rsidRPr="00B54A3C">
        <w:rPr>
          <w:color w:val="000000" w:themeColor="text1"/>
        </w:rPr>
        <w:t>）应尽快检查每窝幼仔，以确定幼仔的数量和性别、存活与否以及是否存在明显外观异常。在第</w:t>
      </w:r>
      <w:r w:rsidRPr="00B54A3C">
        <w:rPr>
          <w:color w:val="000000" w:themeColor="text1"/>
        </w:rPr>
        <w:t>0</w:t>
      </w:r>
      <w:r w:rsidRPr="00B54A3C">
        <w:rPr>
          <w:color w:val="000000" w:themeColor="text1"/>
        </w:rPr>
        <w:t>天发现死亡的幼仔，如果不是浸软胎，建议检查可能存在缺陷和</w:t>
      </w:r>
      <w:r w:rsidRPr="00B54A3C">
        <w:rPr>
          <w:color w:val="000000" w:themeColor="text1"/>
        </w:rPr>
        <w:t>/</w:t>
      </w:r>
      <w:r w:rsidRPr="00B54A3C">
        <w:rPr>
          <w:color w:val="000000" w:themeColor="text1"/>
        </w:rPr>
        <w:t>或死亡原因，并将其保存。子代其它额外的发育信息，如睁眼，耳廓分离，</w:t>
      </w:r>
      <w:proofErr w:type="gramStart"/>
      <w:r w:rsidRPr="00B54A3C">
        <w:rPr>
          <w:color w:val="000000" w:themeColor="text1"/>
        </w:rPr>
        <w:t>萌牙</w:t>
      </w:r>
      <w:proofErr w:type="gramEnd"/>
      <w:r w:rsidRPr="00B54A3C">
        <w:rPr>
          <w:color w:val="000000" w:themeColor="text1"/>
        </w:rPr>
        <w:t>，出毛的发生时间可以结合性成熟数据分析，如阴道口张开及包皮龟头分离时的日龄和体重。如果没有单独的功能观察组合试验，那么在</w:t>
      </w:r>
      <w:r w:rsidRPr="00B54A3C">
        <w:rPr>
          <w:color w:val="000000" w:themeColor="text1"/>
        </w:rPr>
        <w:t>F1</w:t>
      </w:r>
      <w:r w:rsidRPr="00B54A3C">
        <w:rPr>
          <w:color w:val="000000" w:themeColor="text1"/>
        </w:rPr>
        <w:t>（非交配用）离乳前后可以观察运动能力，感觉功能，个体反射（出现明显的发育异常时可以不开展功能观察组合试验）。若</w:t>
      </w:r>
      <w:r w:rsidRPr="00B54A3C">
        <w:rPr>
          <w:color w:val="000000" w:themeColor="text1"/>
        </w:rPr>
        <w:t>F1</w:t>
      </w:r>
      <w:r w:rsidRPr="00B54A3C">
        <w:rPr>
          <w:color w:val="000000" w:themeColor="text1"/>
        </w:rPr>
        <w:t>的性别比或性成熟时间出现受试</w:t>
      </w:r>
      <w:proofErr w:type="gramStart"/>
      <w:r w:rsidRPr="00B54A3C">
        <w:rPr>
          <w:color w:val="000000" w:themeColor="text1"/>
        </w:rPr>
        <w:t>物相关</w:t>
      </w:r>
      <w:proofErr w:type="gramEnd"/>
      <w:r w:rsidRPr="00B54A3C">
        <w:rPr>
          <w:color w:val="000000" w:themeColor="text1"/>
        </w:rPr>
        <w:t>改变后，则需在</w:t>
      </w:r>
      <w:r w:rsidRPr="00B54A3C">
        <w:rPr>
          <w:color w:val="000000" w:themeColor="text1"/>
        </w:rPr>
        <w:t>PND0</w:t>
      </w:r>
      <w:r w:rsidRPr="00B54A3C">
        <w:rPr>
          <w:color w:val="000000" w:themeColor="text1"/>
        </w:rPr>
        <w:t>测量</w:t>
      </w:r>
      <w:r w:rsidRPr="00B54A3C">
        <w:rPr>
          <w:color w:val="000000" w:themeColor="text1"/>
        </w:rPr>
        <w:t>F2</w:t>
      </w:r>
      <w:r w:rsidRPr="00B54A3C">
        <w:rPr>
          <w:color w:val="000000" w:themeColor="text1"/>
        </w:rPr>
        <w:t>的</w:t>
      </w:r>
      <w:proofErr w:type="gramStart"/>
      <w:r w:rsidRPr="00B54A3C">
        <w:rPr>
          <w:color w:val="000000" w:themeColor="text1"/>
        </w:rPr>
        <w:t>肛殖</w:t>
      </w:r>
      <w:proofErr w:type="gramEnd"/>
      <w:r w:rsidRPr="00B54A3C">
        <w:rPr>
          <w:color w:val="000000" w:themeColor="text1"/>
        </w:rPr>
        <w:t>距。</w:t>
      </w:r>
    </w:p>
    <w:p w14:paraId="7808D3E2" w14:textId="77777777" w:rsidR="006D4836" w:rsidRPr="00B54A3C" w:rsidRDefault="006D4836" w:rsidP="006D4836">
      <w:pPr>
        <w:pStyle w:val="a4"/>
        <w:widowControl w:val="0"/>
        <w:numPr>
          <w:ilvl w:val="1"/>
          <w:numId w:val="5"/>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体重、摄食及饮水</w:t>
      </w:r>
    </w:p>
    <w:p w14:paraId="05B5859C"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亲代动物（</w:t>
      </w:r>
      <w:r w:rsidRPr="00B54A3C">
        <w:rPr>
          <w:color w:val="000000" w:themeColor="text1"/>
        </w:rPr>
        <w:t>F0</w:t>
      </w:r>
      <w:r w:rsidRPr="00B54A3C">
        <w:rPr>
          <w:color w:val="000000" w:themeColor="text1"/>
        </w:rPr>
        <w:t>和</w:t>
      </w:r>
      <w:r w:rsidRPr="00B54A3C">
        <w:rPr>
          <w:color w:val="000000" w:themeColor="text1"/>
        </w:rPr>
        <w:t>F1</w:t>
      </w:r>
      <w:r w:rsidRPr="00B54A3C">
        <w:rPr>
          <w:color w:val="000000" w:themeColor="text1"/>
        </w:rPr>
        <w:t>）受试物处理第一天应称体重，此后至少每周称一次。其中，雌性应在妊娠第</w:t>
      </w:r>
      <w:r w:rsidRPr="00B54A3C">
        <w:rPr>
          <w:color w:val="000000" w:themeColor="text1"/>
        </w:rPr>
        <w:t>0</w:t>
      </w:r>
      <w:r w:rsidRPr="00B54A3C">
        <w:rPr>
          <w:color w:val="000000" w:themeColor="text1"/>
        </w:rPr>
        <w:t>天、第</w:t>
      </w:r>
      <w:r w:rsidRPr="00B54A3C">
        <w:rPr>
          <w:color w:val="000000" w:themeColor="text1"/>
        </w:rPr>
        <w:t>7</w:t>
      </w:r>
      <w:r w:rsidRPr="00B54A3C">
        <w:rPr>
          <w:color w:val="000000" w:themeColor="text1"/>
        </w:rPr>
        <w:t>天、第</w:t>
      </w:r>
      <w:r w:rsidRPr="00B54A3C">
        <w:rPr>
          <w:color w:val="000000" w:themeColor="text1"/>
        </w:rPr>
        <w:t>14</w:t>
      </w:r>
      <w:r w:rsidRPr="00B54A3C">
        <w:rPr>
          <w:color w:val="000000" w:themeColor="text1"/>
        </w:rPr>
        <w:t>天和第</w:t>
      </w:r>
      <w:r w:rsidRPr="00B54A3C">
        <w:rPr>
          <w:color w:val="000000" w:themeColor="text1"/>
        </w:rPr>
        <w:t>20</w:t>
      </w:r>
      <w:r w:rsidRPr="00B54A3C">
        <w:rPr>
          <w:color w:val="000000" w:themeColor="text1"/>
        </w:rPr>
        <w:t>天（或第</w:t>
      </w:r>
      <w:r w:rsidRPr="00B54A3C">
        <w:rPr>
          <w:color w:val="000000" w:themeColor="text1"/>
        </w:rPr>
        <w:t>21</w:t>
      </w:r>
      <w:r w:rsidRPr="00B54A3C">
        <w:rPr>
          <w:color w:val="000000" w:themeColor="text1"/>
        </w:rPr>
        <w:t>天），以及解剖当天称重，哺乳期与幼仔同一天称量，但哺乳期第</w:t>
      </w:r>
      <w:r w:rsidRPr="00B54A3C">
        <w:rPr>
          <w:color w:val="000000" w:themeColor="text1"/>
        </w:rPr>
        <w:t>4</w:t>
      </w:r>
      <w:r w:rsidRPr="00B54A3C">
        <w:rPr>
          <w:color w:val="000000" w:themeColor="text1"/>
        </w:rPr>
        <w:t>天可以不称重。</w:t>
      </w:r>
    </w:p>
    <w:p w14:paraId="1FD35291"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子代在哺乳期第</w:t>
      </w:r>
      <w:r w:rsidRPr="00B54A3C">
        <w:rPr>
          <w:color w:val="000000" w:themeColor="text1"/>
        </w:rPr>
        <w:t>0</w:t>
      </w:r>
      <w:r w:rsidRPr="00B54A3C">
        <w:rPr>
          <w:color w:val="000000" w:themeColor="text1"/>
        </w:rPr>
        <w:t>天、第</w:t>
      </w:r>
      <w:r w:rsidRPr="00B54A3C">
        <w:rPr>
          <w:color w:val="000000" w:themeColor="text1"/>
        </w:rPr>
        <w:t>4</w:t>
      </w:r>
      <w:r w:rsidRPr="00B54A3C">
        <w:rPr>
          <w:color w:val="000000" w:themeColor="text1"/>
        </w:rPr>
        <w:t>天、第</w:t>
      </w:r>
      <w:r w:rsidRPr="00B54A3C">
        <w:rPr>
          <w:color w:val="000000" w:themeColor="text1"/>
        </w:rPr>
        <w:t>7</w:t>
      </w:r>
      <w:r w:rsidRPr="00B54A3C">
        <w:rPr>
          <w:color w:val="000000" w:themeColor="text1"/>
        </w:rPr>
        <w:t>天、第</w:t>
      </w:r>
      <w:r w:rsidRPr="00B54A3C">
        <w:rPr>
          <w:color w:val="000000" w:themeColor="text1"/>
        </w:rPr>
        <w:t>14</w:t>
      </w:r>
      <w:r w:rsidRPr="00B54A3C">
        <w:rPr>
          <w:color w:val="000000" w:themeColor="text1"/>
        </w:rPr>
        <w:t>天和第</w:t>
      </w:r>
      <w:r w:rsidRPr="00B54A3C">
        <w:rPr>
          <w:color w:val="000000" w:themeColor="text1"/>
        </w:rPr>
        <w:t>21</w:t>
      </w:r>
      <w:r w:rsidRPr="00B54A3C">
        <w:rPr>
          <w:color w:val="000000" w:themeColor="text1"/>
        </w:rPr>
        <w:t>天及解剖当天称重。</w:t>
      </w:r>
    </w:p>
    <w:p w14:paraId="0913548E"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交配前和妊娠期间，每周至少测量一次食物消耗量。如果受试物经饮水给予，则至少每周测量一次饮水。</w:t>
      </w:r>
    </w:p>
    <w:p w14:paraId="459F70D3" w14:textId="77777777" w:rsidR="006D4836" w:rsidRPr="00B54A3C" w:rsidRDefault="006D4836" w:rsidP="006D4836">
      <w:pPr>
        <w:pStyle w:val="a4"/>
        <w:widowControl w:val="0"/>
        <w:numPr>
          <w:ilvl w:val="1"/>
          <w:numId w:val="5"/>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动情周期</w:t>
      </w:r>
    </w:p>
    <w:p w14:paraId="10B8330F"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交配前和交配期间通过阴道涂片进行雌性动情周期的评估，直到确认交配成功。在制作阴道涂片时，应注意避免过度刺激粘膜从而诱导假孕。</w:t>
      </w:r>
    </w:p>
    <w:p w14:paraId="058B8937" w14:textId="77777777" w:rsidR="006D4836" w:rsidRPr="00B54A3C" w:rsidRDefault="006D4836" w:rsidP="006D4836">
      <w:pPr>
        <w:pStyle w:val="a4"/>
        <w:widowControl w:val="0"/>
        <w:numPr>
          <w:ilvl w:val="1"/>
          <w:numId w:val="5"/>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精子参数</w:t>
      </w:r>
    </w:p>
    <w:p w14:paraId="551BB063"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解剖时，称重睾丸和附睾，至少保留一侧用于组织病理学检查。每组至少</w:t>
      </w:r>
      <w:r w:rsidRPr="00B54A3C">
        <w:rPr>
          <w:color w:val="000000" w:themeColor="text1"/>
        </w:rPr>
        <w:t>10</w:t>
      </w:r>
      <w:r w:rsidRPr="00B54A3C">
        <w:rPr>
          <w:color w:val="000000" w:themeColor="text1"/>
        </w:rPr>
        <w:t>只雄性的睾丸和附睾分别用于超声匀浆耐受精子细胞头部计数和附睾尾精子计数。用于精子计数的附睾，还可以用于评估精子活力和精子形态，也可另外从输精管采集精子用于以上分析。其中，用于精子形态分析的样本可以是湿样本，也可以是固定样本。精子形态分析应至少观察</w:t>
      </w:r>
      <w:r w:rsidRPr="00B54A3C">
        <w:rPr>
          <w:color w:val="000000" w:themeColor="text1"/>
        </w:rPr>
        <w:t>200</w:t>
      </w:r>
      <w:r w:rsidRPr="00B54A3C">
        <w:rPr>
          <w:color w:val="000000" w:themeColor="text1"/>
        </w:rPr>
        <w:t>个精子，异常精子形态包括头部融合、断头、头部异形、尾部异形。</w:t>
      </w:r>
    </w:p>
    <w:p w14:paraId="224AA2A7" w14:textId="77777777" w:rsidR="006D4836" w:rsidRPr="00B54A3C" w:rsidRDefault="006D4836" w:rsidP="006D4836">
      <w:pPr>
        <w:spacing w:line="300" w:lineRule="auto"/>
        <w:ind w:firstLineChars="200" w:firstLine="420"/>
        <w:jc w:val="both"/>
        <w:rPr>
          <w:color w:val="000000" w:themeColor="text1"/>
        </w:rPr>
      </w:pPr>
      <w:proofErr w:type="gramStart"/>
      <w:r w:rsidRPr="00B54A3C">
        <w:rPr>
          <w:color w:val="000000" w:themeColor="text1"/>
        </w:rPr>
        <w:t>若拟分析</w:t>
      </w:r>
      <w:proofErr w:type="gramEnd"/>
      <w:r w:rsidRPr="00B54A3C">
        <w:rPr>
          <w:color w:val="000000" w:themeColor="text1"/>
        </w:rPr>
        <w:t>精子样本来自于解剖时及时冻存的样本或固定后的涂片，抑或直接采用精子分析仪等计算机辅助系统及时采集样本图像分析，那么精子参数的分析可</w:t>
      </w:r>
      <w:r w:rsidRPr="00B54A3C">
        <w:rPr>
          <w:rFonts w:hint="eastAsia"/>
          <w:color w:val="000000" w:themeColor="text1"/>
        </w:rPr>
        <w:t>稍后进行，否则应在动物尸体</w:t>
      </w:r>
      <w:proofErr w:type="gramStart"/>
      <w:r w:rsidRPr="00B54A3C">
        <w:rPr>
          <w:rFonts w:hint="eastAsia"/>
          <w:color w:val="000000" w:themeColor="text1"/>
        </w:rPr>
        <w:t>剖验时立刻</w:t>
      </w:r>
      <w:proofErr w:type="gramEnd"/>
      <w:r w:rsidRPr="00B54A3C">
        <w:rPr>
          <w:rFonts w:hint="eastAsia"/>
          <w:color w:val="000000" w:themeColor="text1"/>
        </w:rPr>
        <w:t>进行分析。先</w:t>
      </w:r>
      <w:proofErr w:type="gramStart"/>
      <w:r w:rsidRPr="00B54A3C">
        <w:rPr>
          <w:rFonts w:hint="eastAsia"/>
          <w:color w:val="000000" w:themeColor="text1"/>
        </w:rPr>
        <w:t>分析高</w:t>
      </w:r>
      <w:proofErr w:type="gramEnd"/>
      <w:r w:rsidRPr="00B54A3C">
        <w:rPr>
          <w:rFonts w:hint="eastAsia"/>
          <w:color w:val="000000" w:themeColor="text1"/>
        </w:rPr>
        <w:t>剂量组和对照组，在有受试物相关性时需扩展至更低的剂量组。如果上述精子评估参数中的任何一项已经在</w:t>
      </w:r>
      <w:r w:rsidRPr="00B54A3C">
        <w:rPr>
          <w:color w:val="000000" w:themeColor="text1"/>
        </w:rPr>
        <w:t>90</w:t>
      </w:r>
      <w:r w:rsidRPr="00B54A3C">
        <w:rPr>
          <w:rFonts w:hint="eastAsia"/>
          <w:color w:val="000000" w:themeColor="text1"/>
        </w:rPr>
        <w:t>天或更久的系统毒性研究中进行了检查，则相应的精子参数不必在两代生殖发育毒性试验中重复。</w:t>
      </w:r>
    </w:p>
    <w:p w14:paraId="244EAE98" w14:textId="77777777" w:rsidR="006D4836" w:rsidRPr="00B54A3C" w:rsidRDefault="006D4836" w:rsidP="006D4836">
      <w:pPr>
        <w:pStyle w:val="a4"/>
        <w:widowControl w:val="0"/>
        <w:numPr>
          <w:ilvl w:val="1"/>
          <w:numId w:val="5"/>
        </w:numPr>
        <w:tabs>
          <w:tab w:val="clear" w:pos="284"/>
          <w:tab w:val="left" w:pos="567"/>
        </w:tabs>
        <w:spacing w:beforeLines="50" w:before="156" w:afterLines="50" w:after="156" w:line="300" w:lineRule="auto"/>
        <w:ind w:left="0" w:firstLineChars="0" w:firstLine="0"/>
        <w:jc w:val="both"/>
        <w:rPr>
          <w:color w:val="000000" w:themeColor="text1"/>
        </w:rPr>
      </w:pPr>
      <w:r w:rsidRPr="00B54A3C">
        <w:rPr>
          <w:color w:val="000000" w:themeColor="text1"/>
        </w:rPr>
        <w:t>解剖与病理</w:t>
      </w:r>
    </w:p>
    <w:p w14:paraId="798CD375"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lastRenderedPageBreak/>
        <w:t>F0</w:t>
      </w:r>
      <w:r w:rsidRPr="00B54A3C">
        <w:rPr>
          <w:color w:val="000000" w:themeColor="text1"/>
        </w:rPr>
        <w:t>在解剖当日早上完成体重测量后，制作雌鼠阴道涂片以确定动情周期，便于结合卵巢的组织病理结果分析。解剖时大体观察所有组织脏器，尤其应重点关注生殖系统，并记录所有大体观察异常情况和子宫着床</w:t>
      </w:r>
      <w:proofErr w:type="gramStart"/>
      <w:r w:rsidRPr="00B54A3C">
        <w:rPr>
          <w:color w:val="000000" w:themeColor="text1"/>
        </w:rPr>
        <w:t>痕</w:t>
      </w:r>
      <w:proofErr w:type="gramEnd"/>
      <w:r w:rsidRPr="00B54A3C">
        <w:rPr>
          <w:color w:val="000000" w:themeColor="text1"/>
        </w:rPr>
        <w:t>数量。以下脏器在完成肉眼观察后应称重，成对的脏器需单独称重。</w:t>
      </w:r>
    </w:p>
    <w:p w14:paraId="2A993255"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子宫、卵巢；</w:t>
      </w:r>
    </w:p>
    <w:p w14:paraId="522CA00C"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睾丸、附睾（整体和尾部）；</w:t>
      </w:r>
    </w:p>
    <w:p w14:paraId="1504DCE8"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前列腺；</w:t>
      </w:r>
    </w:p>
    <w:p w14:paraId="769B5D03"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精囊腺、凝固</w:t>
      </w:r>
      <w:proofErr w:type="gramStart"/>
      <w:r w:rsidRPr="00B54A3C">
        <w:rPr>
          <w:color w:val="000000" w:themeColor="text1"/>
        </w:rPr>
        <w:t>腺及其</w:t>
      </w:r>
      <w:proofErr w:type="gramEnd"/>
      <w:r w:rsidRPr="00B54A3C">
        <w:rPr>
          <w:color w:val="000000" w:themeColor="text1"/>
        </w:rPr>
        <w:t>分泌物（整体称重）；</w:t>
      </w:r>
    </w:p>
    <w:p w14:paraId="414C26CA"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脑、肝、肾、脾、垂体、甲状腺和肾上腺及已知靶器官。</w:t>
      </w:r>
    </w:p>
    <w:p w14:paraId="2178E009"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所保存的脏器中，需要开展组织病理检查的脏器包括：</w:t>
      </w:r>
    </w:p>
    <w:p w14:paraId="35378C24"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阴道、子宫（含宫颈）、卵巢；</w:t>
      </w:r>
    </w:p>
    <w:p w14:paraId="2F0816DF"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睾丸、附睾、前列腺、精囊腺、凝固腺；</w:t>
      </w:r>
    </w:p>
    <w:p w14:paraId="64624206"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已明确的靶器官；</w:t>
      </w:r>
      <w:r w:rsidRPr="00B54A3C">
        <w:rPr>
          <w:color w:val="000000" w:themeColor="text1"/>
        </w:rPr>
        <w:t xml:space="preserve"> </w:t>
      </w:r>
    </w:p>
    <w:p w14:paraId="288BD84B"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通常先在对照组和高剂量组开展组织病理检查，若发现受试</w:t>
      </w:r>
      <w:proofErr w:type="gramStart"/>
      <w:r w:rsidRPr="00B54A3C">
        <w:rPr>
          <w:color w:val="000000" w:themeColor="text1"/>
        </w:rPr>
        <w:t>物相关</w:t>
      </w:r>
      <w:proofErr w:type="gramEnd"/>
      <w:r w:rsidRPr="00B54A3C">
        <w:rPr>
          <w:color w:val="000000" w:themeColor="text1"/>
        </w:rPr>
        <w:t>改变可继续检查其它剂量组。此外，疑似生育力降低的情况（未交配成功、未孕、未正常分娩、产生非健康后代、动情周期异常、精子参数改变等）需要对生殖系统进行组织病理检查，大体解剖肉眼观察异常的组织脏器也应进行组织病理检查。</w:t>
      </w:r>
    </w:p>
    <w:p w14:paraId="17F56F3E"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睾丸的组织病理检查建议关注是否有精子潴留，上皮形态及细胞层数是否改变，是否有多核巨细胞的形成，管腔内是否有脱落上皮。附睾的检查应包含完整的头、体、尾纵切面。建议关注是否有白细胞浸润，管腔内是否有异常形态的精子细胞，是否发生巨噬细胞的吞噬现象。</w:t>
      </w:r>
    </w:p>
    <w:p w14:paraId="3DB967A1"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卵巢的组织病理检查则主要采用定量的方法以检测原始卵泡是否减少，也可以结合初级卵泡进行比较。定量分析时，应保证每组至少</w:t>
      </w:r>
      <w:r w:rsidRPr="00B54A3C">
        <w:rPr>
          <w:color w:val="000000" w:themeColor="text1"/>
        </w:rPr>
        <w:t>10</w:t>
      </w:r>
      <w:r w:rsidRPr="00B54A3C">
        <w:rPr>
          <w:color w:val="000000" w:themeColor="text1"/>
        </w:rPr>
        <w:t>只动物，同时还要考虑连续切片抽取间距及切片厚度等因素。</w:t>
      </w:r>
    </w:p>
    <w:p w14:paraId="0CC9579E" w14:textId="5C525751" w:rsidR="006D4836" w:rsidRPr="00B54A3C" w:rsidRDefault="006D4836" w:rsidP="006D4836">
      <w:pPr>
        <w:spacing w:line="300" w:lineRule="auto"/>
        <w:ind w:firstLineChars="200" w:firstLine="420"/>
        <w:jc w:val="both"/>
        <w:rPr>
          <w:color w:val="000000" w:themeColor="text1"/>
        </w:rPr>
      </w:pPr>
      <w:r w:rsidRPr="00B54A3C">
        <w:rPr>
          <w:color w:val="000000" w:themeColor="text1"/>
        </w:rPr>
        <w:t>需要解剖并大体观察的子代包括：</w:t>
      </w:r>
    </w:p>
    <w:p w14:paraId="233310DB"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F2</w:t>
      </w:r>
      <w:r w:rsidRPr="00B54A3C">
        <w:rPr>
          <w:color w:val="000000" w:themeColor="text1"/>
        </w:rPr>
        <w:t>离乳时从每窝随机挑选的一雌一雄及其亲代</w:t>
      </w:r>
      <w:r w:rsidRPr="00B54A3C">
        <w:rPr>
          <w:color w:val="000000" w:themeColor="text1"/>
        </w:rPr>
        <w:t>F1</w:t>
      </w:r>
      <w:r w:rsidRPr="00B54A3C">
        <w:rPr>
          <w:color w:val="000000" w:themeColor="text1"/>
        </w:rPr>
        <w:t>；</w:t>
      </w:r>
    </w:p>
    <w:p w14:paraId="791A6DD5"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F1</w:t>
      </w:r>
      <w:r w:rsidRPr="00B54A3C">
        <w:rPr>
          <w:color w:val="000000" w:themeColor="text1"/>
        </w:rPr>
        <w:t>离乳时从每窝随机挑选的非交配用一雌一雄；</w:t>
      </w:r>
    </w:p>
    <w:p w14:paraId="05F48123"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所有临床观察异常或外观异常的子代；</w:t>
      </w:r>
    </w:p>
    <w:p w14:paraId="100ADFD4"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濒死状态人道处死的幼仔；</w:t>
      </w:r>
    </w:p>
    <w:p w14:paraId="0C397FC4"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死产幼仔（非浸软胎）。</w:t>
      </w:r>
    </w:p>
    <w:p w14:paraId="14E73B14"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其中，在濒死状态人道处死的幼仔和死亡幼仔，应检查可能的缺陷和</w:t>
      </w:r>
      <w:r w:rsidRPr="00B54A3C">
        <w:rPr>
          <w:color w:val="000000" w:themeColor="text1"/>
        </w:rPr>
        <w:t>/</w:t>
      </w:r>
      <w:r w:rsidRPr="00B54A3C">
        <w:rPr>
          <w:color w:val="000000" w:themeColor="text1"/>
        </w:rPr>
        <w:t>或死亡原因，并保存。初产雌性子宫应在计数</w:t>
      </w:r>
      <w:proofErr w:type="gramStart"/>
      <w:r w:rsidRPr="00B54A3C">
        <w:rPr>
          <w:color w:val="000000" w:themeColor="text1"/>
        </w:rPr>
        <w:t>着床痕后固定</w:t>
      </w:r>
      <w:proofErr w:type="gramEnd"/>
      <w:r w:rsidRPr="00B54A3C">
        <w:rPr>
          <w:color w:val="000000" w:themeColor="text1"/>
        </w:rPr>
        <w:t>保存。</w:t>
      </w:r>
    </w:p>
    <w:p w14:paraId="05D21C93"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需要称重的组织脏器包括：</w:t>
      </w:r>
    </w:p>
    <w:p w14:paraId="689EF09E"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交配用</w:t>
      </w:r>
      <w:r w:rsidRPr="00B54A3C">
        <w:rPr>
          <w:color w:val="000000" w:themeColor="text1"/>
        </w:rPr>
        <w:t>F1</w:t>
      </w:r>
      <w:r w:rsidRPr="00B54A3C">
        <w:rPr>
          <w:color w:val="000000" w:themeColor="text1"/>
        </w:rPr>
        <w:t>子宫、卵巢；</w:t>
      </w:r>
    </w:p>
    <w:p w14:paraId="3481C699"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交配用</w:t>
      </w:r>
      <w:r w:rsidRPr="00B54A3C">
        <w:rPr>
          <w:color w:val="000000" w:themeColor="text1"/>
        </w:rPr>
        <w:t>F1</w:t>
      </w:r>
      <w:r w:rsidRPr="00B54A3C">
        <w:rPr>
          <w:color w:val="000000" w:themeColor="text1"/>
        </w:rPr>
        <w:t>睾丸、附睾（整体和尾部）；</w:t>
      </w:r>
    </w:p>
    <w:p w14:paraId="71ACB651"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lastRenderedPageBreak/>
        <w:t>交配用</w:t>
      </w:r>
      <w:r w:rsidRPr="00B54A3C">
        <w:rPr>
          <w:color w:val="000000" w:themeColor="text1"/>
        </w:rPr>
        <w:t>F1</w:t>
      </w:r>
      <w:r w:rsidRPr="00B54A3C">
        <w:rPr>
          <w:color w:val="000000" w:themeColor="text1"/>
        </w:rPr>
        <w:t>前列腺；</w:t>
      </w:r>
    </w:p>
    <w:p w14:paraId="09DB405C"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交配用</w:t>
      </w:r>
      <w:r w:rsidRPr="00B54A3C">
        <w:rPr>
          <w:color w:val="000000" w:themeColor="text1"/>
        </w:rPr>
        <w:t>F1</w:t>
      </w:r>
      <w:r w:rsidRPr="00B54A3C">
        <w:rPr>
          <w:color w:val="000000" w:themeColor="text1"/>
        </w:rPr>
        <w:t>精囊腺、凝固</w:t>
      </w:r>
      <w:proofErr w:type="gramStart"/>
      <w:r w:rsidRPr="00B54A3C">
        <w:rPr>
          <w:color w:val="000000" w:themeColor="text1"/>
        </w:rPr>
        <w:t>腺及其</w:t>
      </w:r>
      <w:proofErr w:type="gramEnd"/>
      <w:r w:rsidRPr="00B54A3C">
        <w:rPr>
          <w:color w:val="000000" w:themeColor="text1"/>
        </w:rPr>
        <w:t>分泌物（整体称重）；</w:t>
      </w:r>
    </w:p>
    <w:p w14:paraId="3B40B182"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交配用</w:t>
      </w:r>
      <w:r w:rsidRPr="00B54A3C">
        <w:rPr>
          <w:color w:val="000000" w:themeColor="text1"/>
        </w:rPr>
        <w:t>F1</w:t>
      </w:r>
      <w:r w:rsidRPr="00B54A3C">
        <w:rPr>
          <w:color w:val="000000" w:themeColor="text1"/>
        </w:rPr>
        <w:t>脑、肝、肾、脾、垂体、甲状腺和肾上腺及已知靶器官。</w:t>
      </w:r>
    </w:p>
    <w:p w14:paraId="3BE6A8E2"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此外，离乳时从</w:t>
      </w:r>
      <w:r w:rsidRPr="00B54A3C">
        <w:rPr>
          <w:color w:val="000000" w:themeColor="text1"/>
        </w:rPr>
        <w:t>F1</w:t>
      </w:r>
      <w:r w:rsidRPr="00B54A3C">
        <w:rPr>
          <w:color w:val="000000" w:themeColor="text1"/>
        </w:rPr>
        <w:t>和</w:t>
      </w:r>
      <w:r w:rsidRPr="00B54A3C">
        <w:rPr>
          <w:color w:val="000000" w:themeColor="text1"/>
        </w:rPr>
        <w:t>F2</w:t>
      </w:r>
      <w:r w:rsidRPr="00B54A3C">
        <w:rPr>
          <w:color w:val="000000" w:themeColor="text1"/>
        </w:rPr>
        <w:t>随机选取用于大体解剖观察的一雌一雄仅需称重脑、胸腺和脾脏。</w:t>
      </w:r>
    </w:p>
    <w:p w14:paraId="1AE9CC15"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需要做组织病理的子代动物有：</w:t>
      </w:r>
    </w:p>
    <w:p w14:paraId="1646FD46"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大体解剖观察到异常的动物；</w:t>
      </w:r>
    </w:p>
    <w:p w14:paraId="3C6F3062"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临床观察出现毒性反应的动物；</w:t>
      </w:r>
    </w:p>
    <w:p w14:paraId="10A00429"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离乳时每窝随机选取的一雌一雄</w:t>
      </w:r>
      <w:r w:rsidRPr="00B54A3C">
        <w:rPr>
          <w:color w:val="000000" w:themeColor="text1"/>
        </w:rPr>
        <w:t>F1</w:t>
      </w:r>
      <w:r w:rsidRPr="00B54A3C">
        <w:rPr>
          <w:color w:val="000000" w:themeColor="text1"/>
        </w:rPr>
        <w:t>和</w:t>
      </w:r>
      <w:r w:rsidRPr="00B54A3C">
        <w:rPr>
          <w:color w:val="000000" w:themeColor="text1"/>
        </w:rPr>
        <w:t>F2</w:t>
      </w:r>
    </w:p>
    <w:p w14:paraId="65CC433A"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外观异常的动物；</w:t>
      </w:r>
    </w:p>
    <w:p w14:paraId="683BF9F6"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交配用</w:t>
      </w:r>
      <w:r w:rsidRPr="00B54A3C">
        <w:rPr>
          <w:color w:val="000000" w:themeColor="text1"/>
        </w:rPr>
        <w:t>F1</w:t>
      </w:r>
      <w:r w:rsidRPr="00B54A3C">
        <w:rPr>
          <w:color w:val="000000" w:themeColor="text1"/>
        </w:rPr>
        <w:t>；</w:t>
      </w:r>
    </w:p>
    <w:p w14:paraId="5FF12FCD"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需要做组织病理检查的组织脏器包括：</w:t>
      </w:r>
    </w:p>
    <w:p w14:paraId="42C3B8B8"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阴道、子宫（含宫颈）、卵巢；</w:t>
      </w:r>
    </w:p>
    <w:p w14:paraId="69923E3D"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睾丸、附睾、前列腺、精囊腺、凝固腺；</w:t>
      </w:r>
    </w:p>
    <w:p w14:paraId="2A6A8A5F"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大体解剖观察到异常的组织脏器；</w:t>
      </w:r>
    </w:p>
    <w:p w14:paraId="544B1AAE"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已明确的靶器官。</w:t>
      </w:r>
    </w:p>
    <w:p w14:paraId="604B5994"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通常先在对照组和高剂量组开展组织病理检查，若发现受试</w:t>
      </w:r>
      <w:proofErr w:type="gramStart"/>
      <w:r w:rsidRPr="00B54A3C">
        <w:rPr>
          <w:color w:val="000000" w:themeColor="text1"/>
        </w:rPr>
        <w:t>物相关</w:t>
      </w:r>
      <w:proofErr w:type="gramEnd"/>
      <w:r w:rsidRPr="00B54A3C">
        <w:rPr>
          <w:color w:val="000000" w:themeColor="text1"/>
        </w:rPr>
        <w:t>改变可继续检查其它剂量组。此外，疑似生育力降低的情况（未交配成功、未孕、未正常分娩、产生非健康后代、动情周期异常、精子参数改变等）需要对生殖系统进行组织病理检查，大体解剖肉眼观察异常的组织脏器也应进行组织病理检查。</w:t>
      </w:r>
    </w:p>
    <w:p w14:paraId="45B870D6"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睾丸的组织病理检查建议关注是否有精子潴留，上皮形态及细胞层数是否改变，是否有多核巨细胞的形成，管腔内是否有脱落上皮。附睾的检查应包含完整的头、体、尾纵切面。建议关注是否有白细胞浸润，管腔内是否有异常形态的精子细胞，是否发生巨噬细胞的吞噬现象。</w:t>
      </w:r>
    </w:p>
    <w:p w14:paraId="4FCD9510"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卵巢的组织病理检查主要关注原始卵泡是否减少，并计数原始卵泡数量，计数必须紧密结合切面的数量、切面间距及受检动物总数。</w:t>
      </w:r>
    </w:p>
    <w:p w14:paraId="1CDC600E" w14:textId="2B4FC41B" w:rsidR="006D4836" w:rsidRPr="00B54A3C" w:rsidRDefault="00FD41C0"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Pr>
          <w:rFonts w:eastAsia="黑体" w:hint="eastAsia"/>
          <w:color w:val="000000" w:themeColor="text1"/>
        </w:rPr>
        <w:t xml:space="preserve"> </w:t>
      </w:r>
      <w:r w:rsidR="006D4836" w:rsidRPr="00B54A3C">
        <w:rPr>
          <w:rFonts w:eastAsia="黑体" w:hint="eastAsia"/>
          <w:color w:val="000000" w:themeColor="text1"/>
        </w:rPr>
        <w:t>数据处理、统计方法及结果评定</w:t>
      </w:r>
    </w:p>
    <w:p w14:paraId="4D5DB960" w14:textId="7385DF50" w:rsidR="006D4836" w:rsidRPr="00B54A3C" w:rsidRDefault="006D4836" w:rsidP="006D4836">
      <w:pPr>
        <w:spacing w:beforeLines="50" w:before="156" w:afterLines="50" w:after="156" w:line="300" w:lineRule="auto"/>
        <w:rPr>
          <w:color w:val="000000" w:themeColor="text1"/>
        </w:rPr>
      </w:pPr>
      <w:r w:rsidRPr="00B54A3C">
        <w:rPr>
          <w:rFonts w:hint="eastAsia"/>
          <w:color w:val="000000" w:themeColor="text1"/>
        </w:rPr>
        <w:t xml:space="preserve">10.1 </w:t>
      </w:r>
      <w:r w:rsidR="00FD41C0">
        <w:rPr>
          <w:rFonts w:hint="eastAsia"/>
          <w:color w:val="000000" w:themeColor="text1"/>
        </w:rPr>
        <w:t xml:space="preserve"> </w:t>
      </w:r>
      <w:r w:rsidRPr="00B54A3C">
        <w:rPr>
          <w:rFonts w:hint="eastAsia"/>
          <w:color w:val="000000" w:themeColor="text1"/>
        </w:rPr>
        <w:t>应获得的试验结果</w:t>
      </w:r>
    </w:p>
    <w:p w14:paraId="1F9D6BDF"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食物消耗，饮水消耗（如有），食物利用率（每</w:t>
      </w:r>
      <w:proofErr w:type="gramStart"/>
      <w:r w:rsidRPr="00B54A3C">
        <w:rPr>
          <w:rFonts w:hint="eastAsia"/>
          <w:color w:val="000000" w:themeColor="text1"/>
        </w:rPr>
        <w:t>克食物</w:t>
      </w:r>
      <w:proofErr w:type="gramEnd"/>
      <w:r w:rsidRPr="00B54A3C">
        <w:rPr>
          <w:rFonts w:hint="eastAsia"/>
          <w:color w:val="000000" w:themeColor="text1"/>
        </w:rPr>
        <w:t>增重，合笼和哺乳期后期至少三分之一除外），通过饲料和饮水给予受试物的还需要计算受试物的摄入；</w:t>
      </w:r>
    </w:p>
    <w:p w14:paraId="7540153D"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吸收数据（如有）；</w:t>
      </w:r>
    </w:p>
    <w:p w14:paraId="367BAD16"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用于交配的</w:t>
      </w:r>
      <w:r w:rsidRPr="00B54A3C">
        <w:rPr>
          <w:rFonts w:hint="eastAsia"/>
          <w:color w:val="000000" w:themeColor="text1"/>
        </w:rPr>
        <w:t>F0</w:t>
      </w:r>
      <w:r w:rsidRPr="00B54A3C">
        <w:rPr>
          <w:rFonts w:hint="eastAsia"/>
          <w:color w:val="000000" w:themeColor="text1"/>
        </w:rPr>
        <w:t>和</w:t>
      </w:r>
      <w:r w:rsidRPr="00B54A3C">
        <w:rPr>
          <w:rFonts w:hint="eastAsia"/>
          <w:color w:val="000000" w:themeColor="text1"/>
        </w:rPr>
        <w:t>F1</w:t>
      </w:r>
      <w:r w:rsidRPr="00B54A3C">
        <w:rPr>
          <w:rFonts w:hint="eastAsia"/>
          <w:color w:val="000000" w:themeColor="text1"/>
        </w:rPr>
        <w:t>动物的体重数据；</w:t>
      </w:r>
    </w:p>
    <w:p w14:paraId="41ABFC6F" w14:textId="77777777" w:rsidR="006D4836" w:rsidRPr="00B54A3C" w:rsidRDefault="006D4836" w:rsidP="006D4836">
      <w:pPr>
        <w:spacing w:line="300" w:lineRule="auto"/>
        <w:ind w:firstLineChars="200" w:firstLine="420"/>
        <w:jc w:val="both"/>
        <w:rPr>
          <w:color w:val="000000" w:themeColor="text1"/>
        </w:rPr>
      </w:pPr>
      <w:proofErr w:type="gramStart"/>
      <w:r w:rsidRPr="00B54A3C">
        <w:rPr>
          <w:rFonts w:hint="eastAsia"/>
          <w:color w:val="000000" w:themeColor="text1"/>
        </w:rPr>
        <w:t>窝</w:t>
      </w:r>
      <w:proofErr w:type="gramEnd"/>
      <w:r w:rsidRPr="00B54A3C">
        <w:rPr>
          <w:rFonts w:hint="eastAsia"/>
          <w:color w:val="000000" w:themeColor="text1"/>
        </w:rPr>
        <w:t>体重和幼仔个体体重数据；</w:t>
      </w:r>
    </w:p>
    <w:p w14:paraId="7E000730"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安乐死解剖时</w:t>
      </w:r>
      <w:r w:rsidRPr="00B54A3C">
        <w:rPr>
          <w:rFonts w:hint="eastAsia"/>
          <w:color w:val="000000" w:themeColor="text1"/>
        </w:rPr>
        <w:t>F0</w:t>
      </w:r>
      <w:r w:rsidRPr="00B54A3C">
        <w:rPr>
          <w:rFonts w:hint="eastAsia"/>
          <w:color w:val="000000" w:themeColor="text1"/>
        </w:rPr>
        <w:t>的体重、脏器绝对和相对重量数据；</w:t>
      </w:r>
    </w:p>
    <w:p w14:paraId="6220A69C"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lastRenderedPageBreak/>
        <w:t>临床症状的性质、严重程度和持续时间（是否可逆）；</w:t>
      </w:r>
    </w:p>
    <w:p w14:paraId="19A49759"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试验期间动物死亡时间或动物是否存活</w:t>
      </w:r>
      <w:proofErr w:type="gramStart"/>
      <w:r w:rsidRPr="00B54A3C">
        <w:rPr>
          <w:rFonts w:hint="eastAsia"/>
          <w:color w:val="000000" w:themeColor="text1"/>
        </w:rPr>
        <w:t>至试验</w:t>
      </w:r>
      <w:proofErr w:type="gramEnd"/>
      <w:r w:rsidRPr="00B54A3C">
        <w:rPr>
          <w:rFonts w:hint="eastAsia"/>
          <w:color w:val="000000" w:themeColor="text1"/>
        </w:rPr>
        <w:t>结束；</w:t>
      </w:r>
    </w:p>
    <w:p w14:paraId="5A4F01A7"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按性别和剂量组别分析毒性反应数据，包括交配、生育、妊娠、出生，存活、哺乳，</w:t>
      </w:r>
      <w:proofErr w:type="gramStart"/>
      <w:r w:rsidRPr="00B54A3C">
        <w:rPr>
          <w:rFonts w:hint="eastAsia"/>
          <w:color w:val="000000" w:themeColor="text1"/>
        </w:rPr>
        <w:t>且报告</w:t>
      </w:r>
      <w:proofErr w:type="gramEnd"/>
      <w:r w:rsidRPr="00B54A3C">
        <w:rPr>
          <w:rFonts w:hint="eastAsia"/>
          <w:color w:val="000000" w:themeColor="text1"/>
        </w:rPr>
        <w:t>中体现用于分析的样本量；</w:t>
      </w:r>
    </w:p>
    <w:p w14:paraId="23FF5915"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在生殖、子代及出生后生长发育等方面有毒性效应或其他效应；</w:t>
      </w:r>
    </w:p>
    <w:p w14:paraId="1609464F"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大体解剖观察结果；</w:t>
      </w:r>
    </w:p>
    <w:p w14:paraId="7CDB09B4"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详细描述所有组织病理学发现；</w:t>
      </w:r>
    </w:p>
    <w:p w14:paraId="7A1049C1"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F0</w:t>
      </w:r>
      <w:r w:rsidRPr="00B54A3C">
        <w:rPr>
          <w:rFonts w:hint="eastAsia"/>
          <w:color w:val="000000" w:themeColor="text1"/>
        </w:rPr>
        <w:t>和</w:t>
      </w:r>
      <w:r w:rsidRPr="00B54A3C">
        <w:rPr>
          <w:rFonts w:hint="eastAsia"/>
          <w:color w:val="000000" w:themeColor="text1"/>
        </w:rPr>
        <w:t>F1</w:t>
      </w:r>
      <w:r w:rsidRPr="00B54A3C">
        <w:rPr>
          <w:rFonts w:hint="eastAsia"/>
          <w:color w:val="000000" w:themeColor="text1"/>
        </w:rPr>
        <w:t>雌性具有正常动情周期的动物数量及动情周期长度；</w:t>
      </w:r>
    </w:p>
    <w:p w14:paraId="5DEA6B9F"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F0</w:t>
      </w:r>
      <w:r w:rsidRPr="00B54A3C">
        <w:rPr>
          <w:rFonts w:hint="eastAsia"/>
          <w:color w:val="000000" w:themeColor="text1"/>
        </w:rPr>
        <w:t>和</w:t>
      </w:r>
      <w:r w:rsidRPr="00B54A3C">
        <w:rPr>
          <w:rFonts w:hint="eastAsia"/>
          <w:color w:val="000000" w:themeColor="text1"/>
        </w:rPr>
        <w:t>F1</w:t>
      </w:r>
      <w:r w:rsidRPr="00B54A3C">
        <w:rPr>
          <w:rFonts w:hint="eastAsia"/>
          <w:color w:val="000000" w:themeColor="text1"/>
        </w:rPr>
        <w:t>附睾尾精子总数，前进运动精子百分比，形态正常和异常精子百分比；</w:t>
      </w:r>
    </w:p>
    <w:p w14:paraId="052F8C01"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交配时间（即从开始合笼配对到交配完成的天数）</w:t>
      </w:r>
    </w:p>
    <w:p w14:paraId="0C1AC2A8"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妊娠天数；</w:t>
      </w:r>
    </w:p>
    <w:p w14:paraId="79AA54A9"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着床数、黄体数、窝的大小；</w:t>
      </w:r>
    </w:p>
    <w:p w14:paraId="167EC8FD"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活产数和着床后丢失数；</w:t>
      </w:r>
    </w:p>
    <w:p w14:paraId="18F1537A"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有明显大体观察异常的幼仔数量，经确认为矮小幼仔的动物数量；</w:t>
      </w:r>
    </w:p>
    <w:p w14:paraId="7D1C2052"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幼仔发育里程碑的相关数据及其它产后发育数据，用于评估的发育里程碑事件应合理；</w:t>
      </w:r>
    </w:p>
    <w:p w14:paraId="3B10E20D"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幼仔和成年动物的功能观察数据（如适用）；</w:t>
      </w:r>
    </w:p>
    <w:p w14:paraId="11BCD4BB" w14:textId="77777777" w:rsidR="006D4836" w:rsidRPr="00B54A3C" w:rsidRDefault="006D4836" w:rsidP="006D4836">
      <w:pPr>
        <w:spacing w:line="300" w:lineRule="auto"/>
        <w:ind w:firstLineChars="200" w:firstLine="420"/>
        <w:jc w:val="both"/>
        <w:rPr>
          <w:color w:val="000000" w:themeColor="text1"/>
        </w:rPr>
      </w:pPr>
      <w:r w:rsidRPr="00B54A3C">
        <w:rPr>
          <w:rFonts w:hint="eastAsia"/>
          <w:color w:val="000000" w:themeColor="text1"/>
        </w:rPr>
        <w:t>对试验结果进行合适的统计分析。</w:t>
      </w:r>
    </w:p>
    <w:p w14:paraId="1439D2C4" w14:textId="71D50668" w:rsidR="006D4836" w:rsidRPr="00B54A3C" w:rsidRDefault="006D4836" w:rsidP="006D4836">
      <w:pPr>
        <w:spacing w:beforeLines="50" w:before="156" w:afterLines="50" w:after="156" w:line="300" w:lineRule="auto"/>
        <w:jc w:val="both"/>
        <w:rPr>
          <w:color w:val="000000" w:themeColor="text1"/>
        </w:rPr>
      </w:pPr>
      <w:r w:rsidRPr="00B54A3C">
        <w:rPr>
          <w:rFonts w:hint="eastAsia"/>
          <w:color w:val="000000" w:themeColor="text1"/>
        </w:rPr>
        <w:t xml:space="preserve">10.2 </w:t>
      </w:r>
      <w:r w:rsidR="00FD41C0">
        <w:rPr>
          <w:rFonts w:hint="eastAsia"/>
          <w:color w:val="000000" w:themeColor="text1"/>
        </w:rPr>
        <w:t xml:space="preserve"> </w:t>
      </w:r>
      <w:r w:rsidRPr="00B54A3C">
        <w:rPr>
          <w:rFonts w:hint="eastAsia"/>
          <w:color w:val="000000" w:themeColor="text1"/>
        </w:rPr>
        <w:t>数据的总结和评定</w:t>
      </w:r>
    </w:p>
    <w:p w14:paraId="095771F6"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数据以报告附件的形式用表格汇总。报告中应包含以下内容：</w:t>
      </w:r>
    </w:p>
    <w:p w14:paraId="7ABBAC27"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试验开始时的动物数量；</w:t>
      </w:r>
    </w:p>
    <w:p w14:paraId="0CC84071"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试验中发现死亡或因人道原因处死的动物数量、时间；</w:t>
      </w:r>
    </w:p>
    <w:p w14:paraId="795CF4A8"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可生育的动物数量；</w:t>
      </w:r>
    </w:p>
    <w:p w14:paraId="7E22C76A"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怀孕的雌性动物数量；</w:t>
      </w:r>
    </w:p>
    <w:p w14:paraId="17492D6A"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分娩雌性动物数量；</w:t>
      </w:r>
    </w:p>
    <w:p w14:paraId="6D5FF161"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出现毒性反应动物数量；</w:t>
      </w:r>
    </w:p>
    <w:p w14:paraId="14BC0715"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毒性反应的描症状、发病时间、持续时间和严重程度。</w:t>
      </w:r>
    </w:p>
    <w:p w14:paraId="0C687963"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数据应采用合适的、可接受的统计方法进行评估。应适当处理非正态数据（如计数数据）、截尾数据（如有限的观察时间）、非独立性数据（如窝效应和重复测量）和不等方差。报告中应包含具体的统计分析方法和用于统计分析的软件信息。</w:t>
      </w:r>
    </w:p>
    <w:p w14:paraId="1F058CC1"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t>根据试验中观察到的结果（包括大体观察结果和显微镜检查结果）评价受试物的生殖发育毒性效应。包括是否存在剂量相关的异常、病变发生率和严重程度变化。此外，还包括靶器官、生育力、临床异常、生殖和产仔性能、体重变化、死亡率以及其他任何毒性和发育影响。需特别注意性别特异性变化。为了准确评价受试物的影响，也可以结合受试物的理化性质，以及</w:t>
      </w:r>
      <w:r w:rsidRPr="00B54A3C">
        <w:rPr>
          <w:color w:val="000000" w:themeColor="text1"/>
        </w:rPr>
        <w:t>TK</w:t>
      </w:r>
      <w:r w:rsidRPr="00B54A3C">
        <w:rPr>
          <w:color w:val="000000" w:themeColor="text1"/>
        </w:rPr>
        <w:t>数据</w:t>
      </w:r>
      <w:r w:rsidRPr="00B54A3C">
        <w:rPr>
          <w:color w:val="000000" w:themeColor="text1"/>
        </w:rPr>
        <w:t>(</w:t>
      </w:r>
      <w:r w:rsidRPr="00B54A3C">
        <w:rPr>
          <w:color w:val="000000" w:themeColor="text1"/>
        </w:rPr>
        <w:t>包括胎盘透过和乳汁排泄</w:t>
      </w:r>
      <w:r w:rsidRPr="00B54A3C">
        <w:rPr>
          <w:color w:val="000000" w:themeColor="text1"/>
        </w:rPr>
        <w:t>)</w:t>
      </w:r>
      <w:r w:rsidRPr="00B54A3C">
        <w:rPr>
          <w:color w:val="000000" w:themeColor="text1"/>
        </w:rPr>
        <w:t>进行分析。</w:t>
      </w:r>
    </w:p>
    <w:p w14:paraId="32F58E06" w14:textId="77777777" w:rsidR="006D4836" w:rsidRPr="00B54A3C" w:rsidRDefault="006D4836" w:rsidP="006D4836">
      <w:pPr>
        <w:spacing w:line="300" w:lineRule="auto"/>
        <w:ind w:firstLineChars="200" w:firstLine="420"/>
        <w:jc w:val="both"/>
        <w:rPr>
          <w:color w:val="000000" w:themeColor="text1"/>
        </w:rPr>
      </w:pPr>
      <w:r w:rsidRPr="00B54A3C">
        <w:rPr>
          <w:color w:val="000000" w:themeColor="text1"/>
        </w:rPr>
        <w:lastRenderedPageBreak/>
        <w:t>设计合理的生殖毒性试验应能估计</w:t>
      </w:r>
      <w:r w:rsidRPr="00B54A3C">
        <w:rPr>
          <w:color w:val="000000" w:themeColor="text1"/>
        </w:rPr>
        <w:t>NOAEL</w:t>
      </w:r>
      <w:r w:rsidRPr="00B54A3C">
        <w:rPr>
          <w:color w:val="000000" w:themeColor="text1"/>
        </w:rPr>
        <w:t>剂量水平，并对受试物在生殖、分娩、哺乳及出生后发育</w:t>
      </w:r>
      <w:r w:rsidRPr="00B54A3C">
        <w:rPr>
          <w:color w:val="000000" w:themeColor="text1"/>
        </w:rPr>
        <w:t>(</w:t>
      </w:r>
      <w:r w:rsidRPr="00B54A3C">
        <w:rPr>
          <w:color w:val="000000" w:themeColor="text1"/>
        </w:rPr>
        <w:t>包括生长和性发育</w:t>
      </w:r>
      <w:r w:rsidRPr="00B54A3C">
        <w:rPr>
          <w:color w:val="000000" w:themeColor="text1"/>
        </w:rPr>
        <w:t>)</w:t>
      </w:r>
      <w:r w:rsidRPr="00B54A3C">
        <w:rPr>
          <w:color w:val="000000" w:themeColor="text1"/>
        </w:rPr>
        <w:t>的不利影响尽可能充分暴露。</w:t>
      </w:r>
    </w:p>
    <w:p w14:paraId="115641B7" w14:textId="1463B7D9" w:rsidR="006D4836" w:rsidRPr="00B54A3C" w:rsidRDefault="00FD41C0" w:rsidP="006D4836">
      <w:pPr>
        <w:pStyle w:val="a4"/>
        <w:widowControl w:val="0"/>
        <w:numPr>
          <w:ilvl w:val="0"/>
          <w:numId w:val="1"/>
        </w:numPr>
        <w:spacing w:beforeLines="50" w:before="156" w:afterLines="50" w:after="156" w:line="300" w:lineRule="auto"/>
        <w:ind w:firstLineChars="0"/>
        <w:jc w:val="both"/>
        <w:rPr>
          <w:rFonts w:eastAsia="黑体"/>
          <w:color w:val="000000" w:themeColor="text1"/>
        </w:rPr>
      </w:pPr>
      <w:r>
        <w:rPr>
          <w:rFonts w:eastAsia="黑体" w:hint="eastAsia"/>
          <w:color w:val="000000" w:themeColor="text1"/>
        </w:rPr>
        <w:t xml:space="preserve"> </w:t>
      </w:r>
      <w:r w:rsidR="006D4836" w:rsidRPr="00B54A3C">
        <w:rPr>
          <w:rFonts w:eastAsia="黑体"/>
          <w:color w:val="000000" w:themeColor="text1"/>
        </w:rPr>
        <w:t>结果解释</w:t>
      </w:r>
    </w:p>
    <w:p w14:paraId="3523D289" w14:textId="77777777" w:rsidR="006D4836" w:rsidRDefault="006D4836" w:rsidP="006D4836">
      <w:pPr>
        <w:spacing w:line="300" w:lineRule="auto"/>
        <w:ind w:firstLineChars="200" w:firstLine="420"/>
        <w:jc w:val="both"/>
      </w:pPr>
      <w:bookmarkStart w:id="8" w:name="_Hlk135344137"/>
      <w:r w:rsidRPr="00B54A3C">
        <w:rPr>
          <w:color w:val="000000" w:themeColor="text1"/>
        </w:rPr>
        <w:t>两代生殖发育毒性研究资料可以提供受试物在生殖周期所有阶段重复暴露的影响。尤其是提供了有关生殖功能及生育力相关参数以及关于后代生长发育和存活情况的信息。该研究的结果应结合亚慢性毒性、产前发育、毒性动力学以及其他现有研究的结果来解释。其结果有助于评估是否有必要将受试</w:t>
      </w:r>
      <w:proofErr w:type="gramStart"/>
      <w:r w:rsidRPr="00B54A3C">
        <w:rPr>
          <w:color w:val="000000" w:themeColor="text1"/>
        </w:rPr>
        <w:t>物推进</w:t>
      </w:r>
      <w:proofErr w:type="gramEnd"/>
      <w:r w:rsidRPr="00B54A3C">
        <w:rPr>
          <w:color w:val="000000" w:themeColor="text1"/>
        </w:rPr>
        <w:t>到下一个研究节点。同时，该结果在一定程度上外推至人是有效的，可以用于提供</w:t>
      </w:r>
      <w:r w:rsidRPr="00B54A3C">
        <w:rPr>
          <w:color w:val="000000" w:themeColor="text1"/>
        </w:rPr>
        <w:t>NOAEL</w:t>
      </w:r>
      <w:r w:rsidRPr="00B54A3C">
        <w:rPr>
          <w:color w:val="000000" w:themeColor="text1"/>
        </w:rPr>
        <w:t>及人体暴露风险信息。</w:t>
      </w:r>
      <w:bookmarkEnd w:id="8"/>
    </w:p>
    <w:p w14:paraId="4466EAC0" w14:textId="5090C13E" w:rsidR="006D4836" w:rsidRPr="00ED5EE6" w:rsidRDefault="00FD41C0" w:rsidP="00ED5EE6">
      <w:pPr>
        <w:pStyle w:val="a4"/>
        <w:widowControl w:val="0"/>
        <w:numPr>
          <w:ilvl w:val="0"/>
          <w:numId w:val="1"/>
        </w:numPr>
        <w:spacing w:beforeLines="50" w:before="156" w:afterLines="50" w:after="156" w:line="300" w:lineRule="auto"/>
        <w:ind w:firstLineChars="0"/>
        <w:jc w:val="both"/>
        <w:rPr>
          <w:rFonts w:eastAsia="黑体"/>
          <w:color w:val="000000" w:themeColor="text1"/>
        </w:rPr>
      </w:pPr>
      <w:r>
        <w:rPr>
          <w:rFonts w:eastAsia="黑体" w:hint="eastAsia"/>
          <w:color w:val="000000" w:themeColor="text1"/>
        </w:rPr>
        <w:t xml:space="preserve"> </w:t>
      </w:r>
      <w:r w:rsidR="006D4836" w:rsidRPr="00ED5EE6">
        <w:rPr>
          <w:rFonts w:eastAsia="黑体" w:hint="eastAsia"/>
          <w:color w:val="000000" w:themeColor="text1"/>
        </w:rPr>
        <w:t>附图</w:t>
      </w:r>
    </w:p>
    <w:p w14:paraId="3B488EC8" w14:textId="77777777" w:rsidR="006D4836" w:rsidRDefault="006D4836" w:rsidP="006D4836">
      <w:pPr>
        <w:spacing w:line="300" w:lineRule="auto"/>
      </w:pPr>
      <w:r>
        <w:rPr>
          <w:noProof/>
        </w:rPr>
        <w:drawing>
          <wp:inline distT="0" distB="0" distL="0" distR="0" wp14:anchorId="45A2D848" wp14:editId="1350193A">
            <wp:extent cx="5274310" cy="16941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stretch>
                      <a:fillRect/>
                    </a:stretch>
                  </pic:blipFill>
                  <pic:spPr>
                    <a:xfrm>
                      <a:off x="0" y="0"/>
                      <a:ext cx="5274310" cy="1694616"/>
                    </a:xfrm>
                    <a:prstGeom prst="rect">
                      <a:avLst/>
                    </a:prstGeom>
                  </pic:spPr>
                </pic:pic>
              </a:graphicData>
            </a:graphic>
          </wp:inline>
        </w:drawing>
      </w:r>
    </w:p>
    <w:tbl>
      <w:tblPr>
        <w:tblStyle w:val="a3"/>
        <w:tblW w:w="0" w:type="auto"/>
        <w:jc w:val="right"/>
        <w:tblLook w:val="04A0" w:firstRow="1" w:lastRow="0" w:firstColumn="1" w:lastColumn="0" w:noHBand="0" w:noVBand="1"/>
      </w:tblPr>
      <w:tblGrid>
        <w:gridCol w:w="325"/>
        <w:gridCol w:w="1517"/>
      </w:tblGrid>
      <w:tr w:rsidR="006D4836" w14:paraId="4478B8A8" w14:textId="77777777" w:rsidTr="002D3E06">
        <w:trPr>
          <w:jc w:val="right"/>
        </w:trPr>
        <w:tc>
          <w:tcPr>
            <w:tcW w:w="325" w:type="dxa"/>
            <w:shd w:val="clear" w:color="auto" w:fill="808080" w:themeFill="background1" w:themeFillShade="80"/>
          </w:tcPr>
          <w:p w14:paraId="699A6FFC" w14:textId="77777777" w:rsidR="006D4836" w:rsidRDefault="006D4836" w:rsidP="002D3E06">
            <w:pPr>
              <w:spacing w:line="300" w:lineRule="auto"/>
              <w:jc w:val="center"/>
            </w:pPr>
          </w:p>
        </w:tc>
        <w:tc>
          <w:tcPr>
            <w:tcW w:w="1517" w:type="dxa"/>
            <w:tcBorders>
              <w:top w:val="nil"/>
              <w:bottom w:val="nil"/>
              <w:right w:val="nil"/>
            </w:tcBorders>
          </w:tcPr>
          <w:p w14:paraId="64C714E0" w14:textId="77777777" w:rsidR="006D4836" w:rsidRDefault="006D4836" w:rsidP="002D3E06">
            <w:pPr>
              <w:spacing w:line="300" w:lineRule="auto"/>
            </w:pPr>
            <w:r>
              <w:t>受试物暴露期</w:t>
            </w:r>
          </w:p>
        </w:tc>
      </w:tr>
    </w:tbl>
    <w:p w14:paraId="6650D25B" w14:textId="783CD30D" w:rsidR="00E571C0" w:rsidRDefault="00905501" w:rsidP="00B7415E">
      <w:pPr>
        <w:spacing w:line="300" w:lineRule="auto"/>
        <w:jc w:val="center"/>
      </w:pPr>
      <w:r>
        <w:rPr>
          <w:rFonts w:eastAsia="黑体" w:hint="eastAsia"/>
        </w:rPr>
        <w:t>图</w:t>
      </w:r>
      <w:r>
        <w:rPr>
          <w:rFonts w:eastAsia="黑体" w:hint="eastAsia"/>
        </w:rPr>
        <w:t xml:space="preserve">1  </w:t>
      </w:r>
      <w:r w:rsidR="006D4836">
        <w:rPr>
          <w:rFonts w:eastAsia="黑体"/>
        </w:rPr>
        <w:t>两代生殖发育毒性试验流程</w:t>
      </w:r>
    </w:p>
    <w:sectPr w:rsidR="00E571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C5432" w14:textId="77777777" w:rsidR="00DB4E1C" w:rsidRDefault="00DB4E1C" w:rsidP="00B54A3C">
      <w:r>
        <w:separator/>
      </w:r>
    </w:p>
  </w:endnote>
  <w:endnote w:type="continuationSeparator" w:id="0">
    <w:p w14:paraId="6A2B83A5" w14:textId="77777777" w:rsidR="00DB4E1C" w:rsidRDefault="00DB4E1C" w:rsidP="00B5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2741F" w14:textId="77777777" w:rsidR="00DB4E1C" w:rsidRDefault="00DB4E1C" w:rsidP="00B54A3C">
      <w:r>
        <w:separator/>
      </w:r>
    </w:p>
  </w:footnote>
  <w:footnote w:type="continuationSeparator" w:id="0">
    <w:p w14:paraId="3AD21CBB" w14:textId="77777777" w:rsidR="00DB4E1C" w:rsidRDefault="00DB4E1C" w:rsidP="00B54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142"/>
    <w:multiLevelType w:val="multilevel"/>
    <w:tmpl w:val="070E4142"/>
    <w:lvl w:ilvl="0">
      <w:start w:val="3"/>
      <w:numFmt w:val="decimal"/>
      <w:lvlText w:val="%1"/>
      <w:lvlJc w:val="left"/>
      <w:pPr>
        <w:ind w:left="360" w:hanging="360"/>
      </w:pPr>
      <w:rPr>
        <w:rFonts w:hint="default"/>
      </w:rPr>
    </w:lvl>
    <w:lvl w:ilvl="1">
      <w:start w:val="1"/>
      <w:numFmt w:val="decimal"/>
      <w:lvlText w:val="%1.%2"/>
      <w:lvlJc w:val="left"/>
      <w:pPr>
        <w:tabs>
          <w:tab w:val="left"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8976B1"/>
    <w:multiLevelType w:val="multilevel"/>
    <w:tmpl w:val="C04A555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5C0D02"/>
    <w:multiLevelType w:val="multilevel"/>
    <w:tmpl w:val="155C0D02"/>
    <w:lvl w:ilvl="0">
      <w:start w:val="9"/>
      <w:numFmt w:val="decimal"/>
      <w:lvlText w:val="%1"/>
      <w:lvlJc w:val="left"/>
      <w:pPr>
        <w:ind w:left="360" w:hanging="360"/>
      </w:pPr>
      <w:rPr>
        <w:rFonts w:hint="default"/>
      </w:rPr>
    </w:lvl>
    <w:lvl w:ilvl="1">
      <w:start w:val="1"/>
      <w:numFmt w:val="decimal"/>
      <w:lvlText w:val="%1.%2"/>
      <w:lvlJc w:val="left"/>
      <w:pPr>
        <w:tabs>
          <w:tab w:val="left"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B8761A"/>
    <w:multiLevelType w:val="multilevel"/>
    <w:tmpl w:val="32B8761A"/>
    <w:lvl w:ilvl="0">
      <w:start w:val="6"/>
      <w:numFmt w:val="decimal"/>
      <w:lvlText w:val="%1"/>
      <w:lvlJc w:val="left"/>
      <w:pPr>
        <w:ind w:left="360" w:hanging="360"/>
      </w:pPr>
      <w:rPr>
        <w:rFonts w:hint="default"/>
      </w:rPr>
    </w:lvl>
    <w:lvl w:ilvl="1">
      <w:start w:val="1"/>
      <w:numFmt w:val="decimal"/>
      <w:lvlText w:val="%1.%2"/>
      <w:lvlJc w:val="left"/>
      <w:pPr>
        <w:tabs>
          <w:tab w:val="left" w:pos="284"/>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3744E38"/>
    <w:multiLevelType w:val="multilevel"/>
    <w:tmpl w:val="53744E38"/>
    <w:lvl w:ilvl="0">
      <w:start w:val="8"/>
      <w:numFmt w:val="decimal"/>
      <w:lvlText w:val="%1"/>
      <w:lvlJc w:val="left"/>
      <w:pPr>
        <w:ind w:left="360" w:hanging="360"/>
      </w:pPr>
      <w:rPr>
        <w:rFonts w:hint="default"/>
      </w:rPr>
    </w:lvl>
    <w:lvl w:ilvl="1">
      <w:start w:val="1"/>
      <w:numFmt w:val="decimal"/>
      <w:lvlText w:val="%1.%2"/>
      <w:lvlJc w:val="left"/>
      <w:pPr>
        <w:tabs>
          <w:tab w:val="left"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13"/>
    <w:rsid w:val="000159EC"/>
    <w:rsid w:val="00052D1A"/>
    <w:rsid w:val="000766EE"/>
    <w:rsid w:val="000B3CAC"/>
    <w:rsid w:val="000E6149"/>
    <w:rsid w:val="001751A3"/>
    <w:rsid w:val="001A0C29"/>
    <w:rsid w:val="00215C95"/>
    <w:rsid w:val="002A61EC"/>
    <w:rsid w:val="00320DFD"/>
    <w:rsid w:val="003351C9"/>
    <w:rsid w:val="003A7CDA"/>
    <w:rsid w:val="00451A55"/>
    <w:rsid w:val="004B1312"/>
    <w:rsid w:val="004C54FB"/>
    <w:rsid w:val="004D2BE6"/>
    <w:rsid w:val="004E482E"/>
    <w:rsid w:val="0053562D"/>
    <w:rsid w:val="005357D8"/>
    <w:rsid w:val="00546352"/>
    <w:rsid w:val="00573D26"/>
    <w:rsid w:val="005B494B"/>
    <w:rsid w:val="005C44BA"/>
    <w:rsid w:val="006D4836"/>
    <w:rsid w:val="007027C9"/>
    <w:rsid w:val="00707CEB"/>
    <w:rsid w:val="00783493"/>
    <w:rsid w:val="00792959"/>
    <w:rsid w:val="007E3739"/>
    <w:rsid w:val="00854ECF"/>
    <w:rsid w:val="008C0426"/>
    <w:rsid w:val="00905501"/>
    <w:rsid w:val="00A33CDC"/>
    <w:rsid w:val="00A669EA"/>
    <w:rsid w:val="00B54A3C"/>
    <w:rsid w:val="00B7415E"/>
    <w:rsid w:val="00BF18EE"/>
    <w:rsid w:val="00C120A5"/>
    <w:rsid w:val="00C22009"/>
    <w:rsid w:val="00C37506"/>
    <w:rsid w:val="00C46313"/>
    <w:rsid w:val="00C87183"/>
    <w:rsid w:val="00CE5B32"/>
    <w:rsid w:val="00D00E75"/>
    <w:rsid w:val="00D22106"/>
    <w:rsid w:val="00D552CD"/>
    <w:rsid w:val="00D9267F"/>
    <w:rsid w:val="00DB4E1C"/>
    <w:rsid w:val="00DC249A"/>
    <w:rsid w:val="00E042C6"/>
    <w:rsid w:val="00E571C0"/>
    <w:rsid w:val="00EB7F8C"/>
    <w:rsid w:val="00ED5EE6"/>
    <w:rsid w:val="00EF1DB7"/>
    <w:rsid w:val="00F568A5"/>
    <w:rsid w:val="00FA0786"/>
    <w:rsid w:val="00FA750E"/>
    <w:rsid w:val="00FC1301"/>
    <w:rsid w:val="00FD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7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36"/>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qFormat/>
    <w:rsid w:val="006D483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4836"/>
    <w:pPr>
      <w:ind w:firstLineChars="200" w:firstLine="420"/>
    </w:pPr>
  </w:style>
  <w:style w:type="paragraph" w:styleId="a5">
    <w:name w:val="header"/>
    <w:basedOn w:val="a"/>
    <w:link w:val="Char"/>
    <w:uiPriority w:val="99"/>
    <w:unhideWhenUsed/>
    <w:rsid w:val="00B54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4A3C"/>
    <w:rPr>
      <w:rFonts w:ascii="Times New Roman" w:eastAsia="宋体" w:hAnsi="Times New Roman" w:cs="Times New Roman"/>
      <w:sz w:val="18"/>
      <w:szCs w:val="18"/>
    </w:rPr>
  </w:style>
  <w:style w:type="paragraph" w:styleId="a6">
    <w:name w:val="footer"/>
    <w:basedOn w:val="a"/>
    <w:link w:val="Char0"/>
    <w:uiPriority w:val="99"/>
    <w:unhideWhenUsed/>
    <w:rsid w:val="00B54A3C"/>
    <w:pPr>
      <w:tabs>
        <w:tab w:val="center" w:pos="4153"/>
        <w:tab w:val="right" w:pos="8306"/>
      </w:tabs>
      <w:snapToGrid w:val="0"/>
    </w:pPr>
    <w:rPr>
      <w:sz w:val="18"/>
      <w:szCs w:val="18"/>
    </w:rPr>
  </w:style>
  <w:style w:type="character" w:customStyle="1" w:styleId="Char0">
    <w:name w:val="页脚 Char"/>
    <w:basedOn w:val="a0"/>
    <w:link w:val="a6"/>
    <w:uiPriority w:val="99"/>
    <w:rsid w:val="00B54A3C"/>
    <w:rPr>
      <w:rFonts w:ascii="Times New Roman" w:eastAsia="宋体" w:hAnsi="Times New Roman" w:cs="Times New Roman"/>
      <w:sz w:val="18"/>
      <w:szCs w:val="18"/>
    </w:rPr>
  </w:style>
  <w:style w:type="paragraph" w:styleId="a7">
    <w:name w:val="Balloon Text"/>
    <w:basedOn w:val="a"/>
    <w:link w:val="Char1"/>
    <w:uiPriority w:val="99"/>
    <w:semiHidden/>
    <w:unhideWhenUsed/>
    <w:rsid w:val="00D22106"/>
    <w:rPr>
      <w:sz w:val="18"/>
      <w:szCs w:val="18"/>
    </w:rPr>
  </w:style>
  <w:style w:type="character" w:customStyle="1" w:styleId="Char1">
    <w:name w:val="批注框文本 Char"/>
    <w:basedOn w:val="a0"/>
    <w:link w:val="a7"/>
    <w:uiPriority w:val="99"/>
    <w:semiHidden/>
    <w:rsid w:val="00D22106"/>
    <w:rPr>
      <w:rFonts w:ascii="Times New Roman" w:eastAsia="宋体" w:hAnsi="Times New Roman" w:cs="Times New Roman"/>
      <w:sz w:val="18"/>
      <w:szCs w:val="18"/>
    </w:rPr>
  </w:style>
  <w:style w:type="paragraph" w:styleId="a8">
    <w:name w:val="Revision"/>
    <w:hidden/>
    <w:uiPriority w:val="99"/>
    <w:semiHidden/>
    <w:rsid w:val="00D552C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36"/>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qFormat/>
    <w:rsid w:val="006D483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4836"/>
    <w:pPr>
      <w:ind w:firstLineChars="200" w:firstLine="420"/>
    </w:pPr>
  </w:style>
  <w:style w:type="paragraph" w:styleId="a5">
    <w:name w:val="header"/>
    <w:basedOn w:val="a"/>
    <w:link w:val="Char"/>
    <w:uiPriority w:val="99"/>
    <w:unhideWhenUsed/>
    <w:rsid w:val="00B54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4A3C"/>
    <w:rPr>
      <w:rFonts w:ascii="Times New Roman" w:eastAsia="宋体" w:hAnsi="Times New Roman" w:cs="Times New Roman"/>
      <w:sz w:val="18"/>
      <w:szCs w:val="18"/>
    </w:rPr>
  </w:style>
  <w:style w:type="paragraph" w:styleId="a6">
    <w:name w:val="footer"/>
    <w:basedOn w:val="a"/>
    <w:link w:val="Char0"/>
    <w:uiPriority w:val="99"/>
    <w:unhideWhenUsed/>
    <w:rsid w:val="00B54A3C"/>
    <w:pPr>
      <w:tabs>
        <w:tab w:val="center" w:pos="4153"/>
        <w:tab w:val="right" w:pos="8306"/>
      </w:tabs>
      <w:snapToGrid w:val="0"/>
    </w:pPr>
    <w:rPr>
      <w:sz w:val="18"/>
      <w:szCs w:val="18"/>
    </w:rPr>
  </w:style>
  <w:style w:type="character" w:customStyle="1" w:styleId="Char0">
    <w:name w:val="页脚 Char"/>
    <w:basedOn w:val="a0"/>
    <w:link w:val="a6"/>
    <w:uiPriority w:val="99"/>
    <w:rsid w:val="00B54A3C"/>
    <w:rPr>
      <w:rFonts w:ascii="Times New Roman" w:eastAsia="宋体" w:hAnsi="Times New Roman" w:cs="Times New Roman"/>
      <w:sz w:val="18"/>
      <w:szCs w:val="18"/>
    </w:rPr>
  </w:style>
  <w:style w:type="paragraph" w:styleId="a7">
    <w:name w:val="Balloon Text"/>
    <w:basedOn w:val="a"/>
    <w:link w:val="Char1"/>
    <w:uiPriority w:val="99"/>
    <w:semiHidden/>
    <w:unhideWhenUsed/>
    <w:rsid w:val="00D22106"/>
    <w:rPr>
      <w:sz w:val="18"/>
      <w:szCs w:val="18"/>
    </w:rPr>
  </w:style>
  <w:style w:type="character" w:customStyle="1" w:styleId="Char1">
    <w:name w:val="批注框文本 Char"/>
    <w:basedOn w:val="a0"/>
    <w:link w:val="a7"/>
    <w:uiPriority w:val="99"/>
    <w:semiHidden/>
    <w:rsid w:val="00D22106"/>
    <w:rPr>
      <w:rFonts w:ascii="Times New Roman" w:eastAsia="宋体" w:hAnsi="Times New Roman" w:cs="Times New Roman"/>
      <w:sz w:val="18"/>
      <w:szCs w:val="18"/>
    </w:rPr>
  </w:style>
  <w:style w:type="paragraph" w:styleId="a8">
    <w:name w:val="Revision"/>
    <w:hidden/>
    <w:uiPriority w:val="99"/>
    <w:semiHidden/>
    <w:rsid w:val="00D552C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167375">
      <w:bodyDiv w:val="1"/>
      <w:marLeft w:val="0"/>
      <w:marRight w:val="0"/>
      <w:marTop w:val="0"/>
      <w:marBottom w:val="0"/>
      <w:divBdr>
        <w:top w:val="none" w:sz="0" w:space="0" w:color="auto"/>
        <w:left w:val="none" w:sz="0" w:space="0" w:color="auto"/>
        <w:bottom w:val="none" w:sz="0" w:space="0" w:color="auto"/>
        <w:right w:val="none" w:sz="0" w:space="0" w:color="auto"/>
      </w:divBdr>
    </w:div>
    <w:div w:id="16995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B42D-AA32-4C49-80BC-B61948D5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1075</Words>
  <Characters>6134</Characters>
  <Application>Microsoft Office Word</Application>
  <DocSecurity>0</DocSecurity>
  <Lines>51</Lines>
  <Paragraphs>14</Paragraphs>
  <ScaleCrop>false</ScaleCrop>
  <Company>Microsoft</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裴新荣</cp:lastModifiedBy>
  <cp:revision>21</cp:revision>
  <dcterms:created xsi:type="dcterms:W3CDTF">2024-01-11T08:23:00Z</dcterms:created>
  <dcterms:modified xsi:type="dcterms:W3CDTF">2024-03-22T06:59:00Z</dcterms:modified>
</cp:coreProperties>
</file>