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9C" w:rsidRDefault="00C9139C" w:rsidP="00C9139C">
      <w:pPr>
        <w:widowControl/>
        <w:adjustRightInd w:val="0"/>
        <w:snapToGrid w:val="0"/>
        <w:spacing w:line="480" w:lineRule="auto"/>
        <w:jc w:val="left"/>
        <w:rPr>
          <w:rFonts w:ascii="方正小标宋简体" w:eastAsia="黑体"/>
          <w:color w:val="000000"/>
          <w:sz w:val="36"/>
          <w:szCs w:val="36"/>
        </w:rPr>
      </w:pPr>
      <w:r>
        <w:rPr>
          <w:rFonts w:ascii="黑体" w:eastAsia="黑体" w:hAnsi="黑体" w:hint="eastAsia"/>
          <w:sz w:val="32"/>
          <w:szCs w:val="32"/>
        </w:rPr>
        <w:t>附件2</w:t>
      </w:r>
    </w:p>
    <w:p w:rsidR="00C9139C" w:rsidRDefault="00C9139C" w:rsidP="00C9139C">
      <w:pPr>
        <w:spacing w:line="520" w:lineRule="exact"/>
        <w:ind w:rightChars="-32" w:right="-67"/>
        <w:jc w:val="center"/>
        <w:rPr>
          <w:rFonts w:ascii="方正小标宋简体" w:eastAsia="方正小标宋简体"/>
          <w:color w:val="000000"/>
          <w:sz w:val="36"/>
          <w:szCs w:val="36"/>
        </w:rPr>
      </w:pPr>
      <w:r>
        <w:rPr>
          <w:rFonts w:ascii="方正小标宋简体" w:eastAsia="方正小标宋简体" w:hint="eastAsia"/>
          <w:color w:val="000000"/>
          <w:sz w:val="36"/>
          <w:szCs w:val="36"/>
        </w:rPr>
        <w:t>《</w:t>
      </w:r>
      <w:r w:rsidR="002D5879" w:rsidRPr="002D5879">
        <w:rPr>
          <w:rFonts w:ascii="方正小标宋简体" w:eastAsia="方正小标宋简体" w:hint="eastAsia"/>
          <w:color w:val="000000"/>
          <w:sz w:val="36"/>
          <w:szCs w:val="36"/>
        </w:rPr>
        <w:t>医用辅助决策软件分类界定指导原则</w:t>
      </w:r>
      <w:r>
        <w:rPr>
          <w:rFonts w:ascii="方正小标宋简体" w:eastAsia="方正小标宋简体" w:hint="eastAsia"/>
          <w:color w:val="000000"/>
          <w:sz w:val="36"/>
          <w:szCs w:val="36"/>
        </w:rPr>
        <w:t>》</w:t>
      </w:r>
    </w:p>
    <w:p w:rsidR="00C9139C" w:rsidRDefault="00C9139C" w:rsidP="00C9139C">
      <w:pPr>
        <w:spacing w:line="520" w:lineRule="exact"/>
        <w:ind w:rightChars="-32" w:right="-67"/>
        <w:jc w:val="center"/>
        <w:rPr>
          <w:rFonts w:ascii="方正小标宋简体" w:eastAsia="方正小标宋简体"/>
          <w:color w:val="000000"/>
          <w:sz w:val="36"/>
          <w:szCs w:val="36"/>
        </w:rPr>
      </w:pPr>
      <w:r>
        <w:rPr>
          <w:rFonts w:ascii="方正小标宋简体" w:eastAsia="方正小标宋简体" w:hint="eastAsia"/>
          <w:color w:val="000000"/>
          <w:sz w:val="36"/>
          <w:szCs w:val="36"/>
        </w:rPr>
        <w:t>编制说明</w:t>
      </w:r>
    </w:p>
    <w:p w:rsidR="00E644F9" w:rsidRPr="0094435B" w:rsidRDefault="00E644F9" w:rsidP="00E644F9">
      <w:pPr>
        <w:tabs>
          <w:tab w:val="left" w:pos="3948"/>
        </w:tabs>
        <w:snapToGrid w:val="0"/>
        <w:spacing w:line="520" w:lineRule="exact"/>
        <w:ind w:firstLineChars="200" w:firstLine="640"/>
        <w:rPr>
          <w:rFonts w:eastAsia="黑体"/>
          <w:sz w:val="32"/>
          <w:szCs w:val="32"/>
        </w:rPr>
      </w:pPr>
      <w:r w:rsidRPr="0094435B">
        <w:rPr>
          <w:rFonts w:eastAsia="黑体"/>
          <w:sz w:val="32"/>
          <w:szCs w:val="32"/>
        </w:rPr>
        <w:t>一、</w:t>
      </w:r>
      <w:r w:rsidR="00870D7D">
        <w:rPr>
          <w:rFonts w:eastAsia="黑体" w:hint="eastAsia"/>
          <w:sz w:val="32"/>
          <w:szCs w:val="32"/>
        </w:rPr>
        <w:t>工作简况</w:t>
      </w:r>
    </w:p>
    <w:p w:rsidR="00870D7D" w:rsidRDefault="004E7411" w:rsidP="00870D7D">
      <w:pPr>
        <w:widowControl/>
        <w:spacing w:line="590" w:lineRule="exact"/>
        <w:ind w:firstLineChars="200" w:firstLine="640"/>
        <w:rPr>
          <w:rFonts w:ascii="仿宋" w:eastAsia="仿宋" w:hAnsi="仿宋" w:cs="仿宋"/>
          <w:sz w:val="28"/>
          <w:szCs w:val="28"/>
        </w:rPr>
      </w:pPr>
      <w:r>
        <w:rPr>
          <w:rFonts w:eastAsia="仿宋_GB2312"/>
          <w:bCs/>
          <w:sz w:val="32"/>
          <w:szCs w:val="32"/>
        </w:rPr>
        <w:t>为</w:t>
      </w:r>
      <w:r>
        <w:rPr>
          <w:rFonts w:eastAsia="仿宋_GB2312" w:hint="eastAsia"/>
          <w:bCs/>
          <w:sz w:val="32"/>
          <w:szCs w:val="32"/>
        </w:rPr>
        <w:t>促进医用</w:t>
      </w:r>
      <w:r w:rsidR="002D5879">
        <w:rPr>
          <w:rFonts w:eastAsia="仿宋_GB2312" w:hint="eastAsia"/>
          <w:bCs/>
          <w:sz w:val="32"/>
          <w:szCs w:val="32"/>
        </w:rPr>
        <w:t>辅助决策</w:t>
      </w:r>
      <w:r>
        <w:rPr>
          <w:rFonts w:eastAsia="仿宋_GB2312" w:hint="eastAsia"/>
          <w:bCs/>
          <w:sz w:val="32"/>
          <w:szCs w:val="32"/>
        </w:rPr>
        <w:t>软件产业的高质量发展和科学监管，从</w:t>
      </w:r>
      <w:r>
        <w:rPr>
          <w:rFonts w:eastAsia="仿宋_GB2312"/>
          <w:bCs/>
          <w:sz w:val="32"/>
          <w:szCs w:val="32"/>
        </w:rPr>
        <w:t>源头</w:t>
      </w:r>
      <w:r>
        <w:rPr>
          <w:rFonts w:eastAsia="仿宋_GB2312" w:hint="eastAsia"/>
          <w:bCs/>
          <w:sz w:val="32"/>
          <w:szCs w:val="32"/>
        </w:rPr>
        <w:t>规范该类产品的审评审批，</w:t>
      </w:r>
      <w:r w:rsidRPr="00327E86">
        <w:rPr>
          <w:rFonts w:eastAsia="仿宋_GB2312" w:hint="eastAsia"/>
          <w:bCs/>
          <w:sz w:val="32"/>
          <w:szCs w:val="32"/>
        </w:rPr>
        <w:t>根据</w:t>
      </w:r>
      <w:r>
        <w:rPr>
          <w:rFonts w:eastAsia="仿宋_GB2312" w:hint="eastAsia"/>
          <w:bCs/>
          <w:sz w:val="32"/>
          <w:szCs w:val="32"/>
        </w:rPr>
        <w:t>国家药监局</w:t>
      </w:r>
      <w:r>
        <w:rPr>
          <w:rFonts w:eastAsia="仿宋_GB2312"/>
          <w:bCs/>
          <w:sz w:val="32"/>
          <w:szCs w:val="32"/>
        </w:rPr>
        <w:t>工作部署</w:t>
      </w:r>
      <w:r>
        <w:rPr>
          <w:rFonts w:eastAsia="仿宋_GB2312" w:hint="eastAsia"/>
          <w:bCs/>
          <w:sz w:val="32"/>
          <w:szCs w:val="32"/>
        </w:rPr>
        <w:t>，</w:t>
      </w:r>
      <w:r w:rsidR="00870D7D">
        <w:rPr>
          <w:rFonts w:eastAsia="仿宋_GB2312" w:hint="eastAsia"/>
          <w:bCs/>
          <w:sz w:val="32"/>
          <w:szCs w:val="32"/>
        </w:rPr>
        <w:t>由国家药品监督管理局医疗器械标准管理中心（以下简称“标管中心”）</w:t>
      </w:r>
      <w:r>
        <w:rPr>
          <w:rFonts w:eastAsia="仿宋_GB2312" w:hint="eastAsia"/>
          <w:bCs/>
          <w:sz w:val="32"/>
          <w:szCs w:val="32"/>
        </w:rPr>
        <w:t>牵头</w:t>
      </w:r>
      <w:r w:rsidR="00870D7D">
        <w:rPr>
          <w:rFonts w:eastAsia="仿宋_GB2312" w:hint="eastAsia"/>
          <w:bCs/>
          <w:sz w:val="32"/>
          <w:szCs w:val="32"/>
        </w:rPr>
        <w:t>组织开展</w:t>
      </w:r>
      <w:r w:rsidR="00870D7D">
        <w:rPr>
          <w:rFonts w:eastAsia="仿宋_GB2312"/>
          <w:bCs/>
          <w:sz w:val="32"/>
          <w:szCs w:val="32"/>
        </w:rPr>
        <w:t>《</w:t>
      </w:r>
      <w:r w:rsidR="002D5879" w:rsidRPr="002D5879">
        <w:rPr>
          <w:rFonts w:eastAsia="仿宋_GB2312" w:hint="eastAsia"/>
          <w:bCs/>
          <w:sz w:val="32"/>
          <w:szCs w:val="32"/>
        </w:rPr>
        <w:t>医用辅助决策软件</w:t>
      </w:r>
      <w:r w:rsidR="00870D7D">
        <w:rPr>
          <w:rFonts w:eastAsia="仿宋_GB2312" w:hint="eastAsia"/>
          <w:bCs/>
          <w:sz w:val="32"/>
          <w:szCs w:val="32"/>
        </w:rPr>
        <w:t>分类界定</w:t>
      </w:r>
      <w:r w:rsidR="00DC15DB">
        <w:rPr>
          <w:rFonts w:eastAsia="仿宋_GB2312" w:hint="eastAsia"/>
          <w:bCs/>
          <w:sz w:val="32"/>
          <w:szCs w:val="32"/>
        </w:rPr>
        <w:t>指导</w:t>
      </w:r>
      <w:r w:rsidR="00870D7D">
        <w:rPr>
          <w:rFonts w:eastAsia="仿宋_GB2312" w:hint="eastAsia"/>
          <w:bCs/>
          <w:sz w:val="32"/>
          <w:szCs w:val="32"/>
        </w:rPr>
        <w:t>原则</w:t>
      </w:r>
      <w:r w:rsidR="00870D7D">
        <w:rPr>
          <w:rFonts w:eastAsia="仿宋_GB2312"/>
          <w:bCs/>
          <w:sz w:val="32"/>
          <w:szCs w:val="32"/>
        </w:rPr>
        <w:t>》</w:t>
      </w:r>
      <w:r w:rsidR="00870D7D">
        <w:rPr>
          <w:rFonts w:eastAsia="仿宋_GB2312" w:hint="eastAsia"/>
          <w:bCs/>
          <w:sz w:val="32"/>
          <w:szCs w:val="32"/>
        </w:rPr>
        <w:t>编制工作。按照国家药监局要求，标管中心制定了工作方案，</w:t>
      </w:r>
      <w:r w:rsidR="0039167C">
        <w:rPr>
          <w:rFonts w:eastAsia="仿宋_GB2312" w:hint="eastAsia"/>
          <w:bCs/>
          <w:sz w:val="32"/>
          <w:szCs w:val="32"/>
        </w:rPr>
        <w:t>会同</w:t>
      </w:r>
      <w:r w:rsidR="0039167C">
        <w:rPr>
          <w:rFonts w:ascii="仿宋" w:eastAsia="仿宋" w:hAnsi="仿宋" w:cs="仿宋" w:hint="eastAsia"/>
          <w:sz w:val="32"/>
          <w:szCs w:val="32"/>
        </w:rPr>
        <w:t>医疗器械分类技术委员会</w:t>
      </w:r>
      <w:r w:rsidR="0039167C">
        <w:rPr>
          <w:rFonts w:ascii="仿宋" w:eastAsia="仿宋" w:hAnsi="仿宋" w:cs="仿宋"/>
          <w:sz w:val="32"/>
          <w:szCs w:val="32"/>
        </w:rPr>
        <w:t>医用软件专业组</w:t>
      </w:r>
      <w:r w:rsidR="00870D7D">
        <w:rPr>
          <w:rFonts w:eastAsia="仿宋_GB2312" w:hint="eastAsia"/>
          <w:bCs/>
          <w:sz w:val="32"/>
          <w:szCs w:val="32"/>
        </w:rPr>
        <w:t>，研究编制了</w:t>
      </w:r>
      <w:r w:rsidR="00870D7D">
        <w:rPr>
          <w:rFonts w:eastAsia="仿宋_GB2312"/>
          <w:bCs/>
          <w:sz w:val="32"/>
          <w:szCs w:val="32"/>
        </w:rPr>
        <w:t>《</w:t>
      </w:r>
      <w:r w:rsidR="00F32C3D" w:rsidRPr="002D5879">
        <w:rPr>
          <w:rFonts w:eastAsia="仿宋_GB2312" w:hint="eastAsia"/>
          <w:bCs/>
          <w:sz w:val="32"/>
          <w:szCs w:val="32"/>
        </w:rPr>
        <w:t>医用辅助决策软件</w:t>
      </w:r>
      <w:r w:rsidR="0039167C">
        <w:rPr>
          <w:rFonts w:eastAsia="仿宋_GB2312" w:hint="eastAsia"/>
          <w:bCs/>
          <w:sz w:val="32"/>
          <w:szCs w:val="32"/>
        </w:rPr>
        <w:t>分类界定</w:t>
      </w:r>
      <w:r w:rsidR="00DC15DB">
        <w:rPr>
          <w:rFonts w:eastAsia="仿宋_GB2312" w:hint="eastAsia"/>
          <w:bCs/>
          <w:sz w:val="32"/>
          <w:szCs w:val="32"/>
        </w:rPr>
        <w:t>指导</w:t>
      </w:r>
      <w:r w:rsidR="0039167C">
        <w:rPr>
          <w:rFonts w:eastAsia="仿宋_GB2312" w:hint="eastAsia"/>
          <w:bCs/>
          <w:sz w:val="32"/>
          <w:szCs w:val="32"/>
        </w:rPr>
        <w:t>原则</w:t>
      </w:r>
      <w:r w:rsidR="00870D7D">
        <w:rPr>
          <w:rFonts w:eastAsia="仿宋_GB2312"/>
          <w:bCs/>
          <w:sz w:val="32"/>
          <w:szCs w:val="32"/>
        </w:rPr>
        <w:t>》</w:t>
      </w:r>
      <w:r w:rsidR="00870D7D">
        <w:rPr>
          <w:rFonts w:eastAsia="仿宋_GB2312" w:hint="eastAsia"/>
          <w:bCs/>
          <w:sz w:val="32"/>
          <w:szCs w:val="32"/>
        </w:rPr>
        <w:t>征求意见稿。</w:t>
      </w:r>
    </w:p>
    <w:p w:rsidR="008E4A10" w:rsidRPr="0094435B" w:rsidRDefault="008E4A10" w:rsidP="008E4A10">
      <w:pPr>
        <w:tabs>
          <w:tab w:val="left" w:pos="3948"/>
        </w:tabs>
        <w:snapToGrid w:val="0"/>
        <w:spacing w:line="520" w:lineRule="exact"/>
        <w:ind w:firstLineChars="200" w:firstLine="640"/>
        <w:rPr>
          <w:rFonts w:eastAsia="黑体"/>
          <w:sz w:val="32"/>
          <w:szCs w:val="32"/>
        </w:rPr>
      </w:pPr>
      <w:r w:rsidRPr="0094435B">
        <w:rPr>
          <w:rFonts w:eastAsia="黑体"/>
          <w:sz w:val="32"/>
          <w:szCs w:val="32"/>
        </w:rPr>
        <w:t>二、</w:t>
      </w:r>
      <w:r>
        <w:rPr>
          <w:rFonts w:ascii="黑体" w:eastAsia="黑体" w:hAnsi="黑体" w:hint="eastAsia"/>
          <w:sz w:val="32"/>
          <w:szCs w:val="32"/>
        </w:rPr>
        <w:t>编</w:t>
      </w:r>
      <w:r w:rsidR="00F313E1">
        <w:rPr>
          <w:rFonts w:ascii="黑体" w:eastAsia="黑体" w:hAnsi="黑体" w:hint="eastAsia"/>
          <w:sz w:val="32"/>
          <w:szCs w:val="32"/>
        </w:rPr>
        <w:t>写</w:t>
      </w:r>
      <w:r>
        <w:rPr>
          <w:rFonts w:ascii="黑体" w:eastAsia="黑体" w:hAnsi="黑体"/>
          <w:sz w:val="32"/>
          <w:szCs w:val="32"/>
        </w:rPr>
        <w:t>原则和意义</w:t>
      </w:r>
    </w:p>
    <w:p w:rsidR="006332DD" w:rsidRDefault="006559FE" w:rsidP="00B6229B">
      <w:pPr>
        <w:widowControl/>
        <w:spacing w:line="590" w:lineRule="exact"/>
        <w:ind w:firstLineChars="250" w:firstLine="800"/>
        <w:rPr>
          <w:rFonts w:eastAsia="仿宋_GB2312"/>
          <w:bCs/>
          <w:sz w:val="32"/>
          <w:szCs w:val="32"/>
        </w:rPr>
      </w:pPr>
      <w:r>
        <w:rPr>
          <w:rFonts w:ascii="仿宋" w:eastAsia="仿宋" w:hAnsi="仿宋" w:cs="仿宋" w:hint="eastAsia"/>
          <w:sz w:val="32"/>
          <w:szCs w:val="32"/>
        </w:rPr>
        <w:t>医用</w:t>
      </w:r>
      <w:r w:rsidRPr="006559FE">
        <w:rPr>
          <w:rFonts w:ascii="仿宋" w:eastAsia="仿宋" w:hAnsi="仿宋" w:cs="仿宋" w:hint="eastAsia"/>
          <w:sz w:val="32"/>
          <w:szCs w:val="32"/>
        </w:rPr>
        <w:t>辅助决策</w:t>
      </w:r>
      <w:r>
        <w:rPr>
          <w:rFonts w:ascii="仿宋" w:eastAsia="仿宋" w:hAnsi="仿宋" w:cs="仿宋" w:hint="eastAsia"/>
          <w:sz w:val="32"/>
          <w:szCs w:val="32"/>
        </w:rPr>
        <w:t>软件</w:t>
      </w:r>
      <w:r w:rsidRPr="006559FE">
        <w:rPr>
          <w:rFonts w:ascii="仿宋" w:eastAsia="仿宋" w:hAnsi="仿宋" w:cs="仿宋" w:hint="eastAsia"/>
          <w:sz w:val="32"/>
          <w:szCs w:val="32"/>
        </w:rPr>
        <w:t>相当于医务人员的“助手”，</w:t>
      </w:r>
      <w:r>
        <w:rPr>
          <w:rFonts w:ascii="仿宋" w:eastAsia="仿宋" w:hAnsi="仿宋" w:cs="仿宋" w:hint="eastAsia"/>
          <w:sz w:val="32"/>
          <w:szCs w:val="32"/>
        </w:rPr>
        <w:t>通常</w:t>
      </w:r>
      <w:r>
        <w:rPr>
          <w:rFonts w:ascii="仿宋" w:eastAsia="仿宋" w:hAnsi="仿宋" w:cs="仿宋"/>
          <w:sz w:val="32"/>
          <w:szCs w:val="32"/>
        </w:rPr>
        <w:t>会</w:t>
      </w:r>
      <w:r>
        <w:rPr>
          <w:rFonts w:ascii="仿宋" w:eastAsia="仿宋" w:hAnsi="仿宋" w:cs="仿宋" w:hint="eastAsia"/>
          <w:sz w:val="32"/>
          <w:szCs w:val="32"/>
        </w:rPr>
        <w:t>给出</w:t>
      </w:r>
      <w:r>
        <w:rPr>
          <w:rFonts w:ascii="仿宋" w:eastAsia="仿宋" w:hAnsi="仿宋" w:cs="仿宋"/>
          <w:sz w:val="32"/>
          <w:szCs w:val="32"/>
        </w:rPr>
        <w:t>诊疗</w:t>
      </w:r>
      <w:r w:rsidR="00DE74B9">
        <w:rPr>
          <w:rFonts w:ascii="仿宋" w:eastAsia="仿宋" w:hAnsi="仿宋" w:cs="仿宋" w:hint="eastAsia"/>
          <w:sz w:val="32"/>
          <w:szCs w:val="32"/>
        </w:rPr>
        <w:t>依据/</w:t>
      </w:r>
      <w:r>
        <w:rPr>
          <w:rFonts w:ascii="仿宋" w:eastAsia="仿宋" w:hAnsi="仿宋" w:cs="仿宋"/>
          <w:sz w:val="32"/>
          <w:szCs w:val="32"/>
        </w:rPr>
        <w:t>建议，</w:t>
      </w:r>
      <w:r>
        <w:rPr>
          <w:rFonts w:ascii="仿宋" w:eastAsia="仿宋" w:hAnsi="仿宋" w:cs="仿宋" w:hint="eastAsia"/>
          <w:sz w:val="32"/>
          <w:szCs w:val="32"/>
        </w:rPr>
        <w:t>从而</w:t>
      </w:r>
      <w:r>
        <w:rPr>
          <w:rFonts w:ascii="仿宋" w:eastAsia="仿宋" w:hAnsi="仿宋" w:cs="仿宋"/>
          <w:sz w:val="32"/>
          <w:szCs w:val="32"/>
        </w:rPr>
        <w:t>直接</w:t>
      </w:r>
      <w:r>
        <w:rPr>
          <w:rFonts w:ascii="仿宋" w:eastAsia="仿宋" w:hAnsi="仿宋" w:cs="仿宋" w:hint="eastAsia"/>
          <w:sz w:val="32"/>
          <w:szCs w:val="32"/>
        </w:rPr>
        <w:t>影响</w:t>
      </w:r>
      <w:bookmarkStart w:id="0" w:name="_GoBack"/>
      <w:bookmarkEnd w:id="0"/>
      <w:r>
        <w:rPr>
          <w:rFonts w:ascii="仿宋" w:eastAsia="仿宋" w:hAnsi="仿宋" w:cs="仿宋"/>
          <w:sz w:val="32"/>
          <w:szCs w:val="32"/>
        </w:rPr>
        <w:t>医务人员的治疗活动</w:t>
      </w:r>
      <w:r w:rsidRPr="006559FE">
        <w:rPr>
          <w:rFonts w:ascii="仿宋" w:eastAsia="仿宋" w:hAnsi="仿宋" w:cs="仿宋" w:hint="eastAsia"/>
          <w:sz w:val="32"/>
          <w:szCs w:val="32"/>
        </w:rPr>
        <w:t>。</w:t>
      </w:r>
      <w:r w:rsidR="00E54EB4">
        <w:rPr>
          <w:rFonts w:ascii="仿宋" w:eastAsia="仿宋" w:hAnsi="仿宋" w:cs="仿宋" w:hint="eastAsia"/>
          <w:sz w:val="32"/>
          <w:szCs w:val="32"/>
        </w:rPr>
        <w:t>辅助决策类软件</w:t>
      </w:r>
      <w:r w:rsidR="00BA1EF1">
        <w:rPr>
          <w:rFonts w:ascii="仿宋" w:eastAsia="仿宋" w:hAnsi="仿宋" w:cs="仿宋" w:hint="eastAsia"/>
          <w:sz w:val="32"/>
          <w:szCs w:val="32"/>
        </w:rPr>
        <w:t>中的一部分符合医疗器械的要求，应作为医疗器械管理，而部分产品则不属于医疗器械的范围。</w:t>
      </w:r>
      <w:r w:rsidR="00B6229B">
        <w:rPr>
          <w:rFonts w:ascii="仿宋" w:eastAsia="仿宋" w:hAnsi="仿宋" w:cs="仿宋" w:hint="eastAsia"/>
          <w:sz w:val="32"/>
          <w:szCs w:val="32"/>
        </w:rPr>
        <w:t>对于该类</w:t>
      </w:r>
      <w:r w:rsidR="00DE74B9" w:rsidRPr="00B6229B">
        <w:rPr>
          <w:rFonts w:ascii="仿宋" w:eastAsia="仿宋" w:hAnsi="仿宋" w:cs="仿宋"/>
          <w:sz w:val="32"/>
          <w:szCs w:val="32"/>
        </w:rPr>
        <w:t>产品</w:t>
      </w:r>
      <w:r w:rsidR="00DE74B9" w:rsidRPr="00B6229B">
        <w:rPr>
          <w:rFonts w:ascii="仿宋" w:eastAsia="仿宋" w:hAnsi="仿宋" w:cs="仿宋" w:hint="eastAsia"/>
          <w:sz w:val="32"/>
          <w:szCs w:val="32"/>
        </w:rPr>
        <w:t>的</w:t>
      </w:r>
      <w:r w:rsidR="00BA1EF1">
        <w:rPr>
          <w:rFonts w:ascii="仿宋" w:eastAsia="仿宋" w:hAnsi="仿宋" w:cs="仿宋" w:hint="eastAsia"/>
          <w:sz w:val="32"/>
          <w:szCs w:val="32"/>
        </w:rPr>
        <w:t>分类</w:t>
      </w:r>
      <w:r w:rsidR="00DE74B9" w:rsidRPr="00B6229B">
        <w:rPr>
          <w:rFonts w:ascii="仿宋" w:eastAsia="仿宋" w:hAnsi="仿宋" w:cs="仿宋"/>
          <w:sz w:val="32"/>
          <w:szCs w:val="32"/>
        </w:rPr>
        <w:t>界定，</w:t>
      </w:r>
      <w:r w:rsidR="00DE74B9" w:rsidRPr="00B6229B">
        <w:rPr>
          <w:rFonts w:ascii="仿宋" w:eastAsia="仿宋" w:hAnsi="仿宋" w:cs="仿宋" w:hint="eastAsia"/>
          <w:sz w:val="32"/>
          <w:szCs w:val="32"/>
        </w:rPr>
        <w:t>应基于其预期用途，结合考虑其处理对象、</w:t>
      </w:r>
      <w:r w:rsidR="00DE74B9" w:rsidRPr="00B6229B">
        <w:rPr>
          <w:rFonts w:ascii="仿宋" w:eastAsia="仿宋" w:hAnsi="仿宋" w:cs="仿宋"/>
          <w:sz w:val="32"/>
          <w:szCs w:val="32"/>
        </w:rPr>
        <w:t>核心功能</w:t>
      </w:r>
      <w:r w:rsidR="00DE74B9" w:rsidRPr="00B6229B">
        <w:rPr>
          <w:rFonts w:ascii="仿宋" w:eastAsia="仿宋" w:hAnsi="仿宋" w:cs="仿宋" w:hint="eastAsia"/>
          <w:sz w:val="32"/>
          <w:szCs w:val="32"/>
        </w:rPr>
        <w:t>等因素进行综合判定</w:t>
      </w:r>
      <w:r w:rsidR="00DE74B9">
        <w:rPr>
          <w:rFonts w:ascii="仿宋" w:eastAsia="仿宋" w:hAnsi="仿宋" w:cs="仿宋"/>
          <w:sz w:val="32"/>
          <w:szCs w:val="32"/>
        </w:rPr>
        <w:t>。</w:t>
      </w:r>
      <w:r w:rsidR="00870D7D">
        <w:rPr>
          <w:rFonts w:ascii="仿宋" w:eastAsia="仿宋" w:hAnsi="仿宋" w:cs="仿宋" w:hint="eastAsia"/>
          <w:sz w:val="32"/>
          <w:szCs w:val="32"/>
        </w:rPr>
        <w:t>医疗器械分类技术委员会</w:t>
      </w:r>
      <w:r w:rsidR="00870D7D">
        <w:rPr>
          <w:rFonts w:ascii="仿宋" w:eastAsia="仿宋" w:hAnsi="仿宋" w:cs="仿宋"/>
          <w:sz w:val="32"/>
          <w:szCs w:val="32"/>
        </w:rPr>
        <w:t>医用软件专业组</w:t>
      </w:r>
      <w:r w:rsidR="00870D7D">
        <w:rPr>
          <w:rFonts w:ascii="仿宋" w:eastAsia="仿宋" w:hAnsi="仿宋" w:cs="仿宋" w:hint="eastAsia"/>
          <w:sz w:val="32"/>
          <w:szCs w:val="32"/>
        </w:rPr>
        <w:t>在梳理国内外</w:t>
      </w:r>
      <w:r w:rsidR="00DE74B9">
        <w:rPr>
          <w:rFonts w:ascii="仿宋" w:eastAsia="仿宋" w:hAnsi="仿宋" w:cs="仿宋" w:hint="eastAsia"/>
          <w:sz w:val="32"/>
          <w:szCs w:val="32"/>
        </w:rPr>
        <w:t>医用辅助决策</w:t>
      </w:r>
      <w:r w:rsidR="00870D7D">
        <w:rPr>
          <w:rFonts w:ascii="仿宋" w:eastAsia="仿宋" w:hAnsi="仿宋" w:cs="仿宋" w:hint="eastAsia"/>
          <w:sz w:val="32"/>
          <w:szCs w:val="32"/>
        </w:rPr>
        <w:t>医用软件注册产品现状及国内外关于医用软件类产品分类政策的基础上，</w:t>
      </w:r>
      <w:r w:rsidR="00DE74B9">
        <w:rPr>
          <w:rFonts w:ascii="仿宋" w:eastAsia="仿宋" w:hAnsi="仿宋" w:cs="仿宋" w:hint="eastAsia"/>
          <w:sz w:val="32"/>
          <w:szCs w:val="32"/>
        </w:rPr>
        <w:t>根据其</w:t>
      </w:r>
      <w:r w:rsidR="00870D7D">
        <w:rPr>
          <w:rFonts w:ascii="仿宋" w:eastAsia="仿宋" w:hAnsi="仿宋" w:cs="仿宋" w:hint="eastAsia"/>
          <w:sz w:val="32"/>
          <w:szCs w:val="32"/>
        </w:rPr>
        <w:t>技术特点和</w:t>
      </w:r>
      <w:r w:rsidR="00F06E6C">
        <w:rPr>
          <w:rFonts w:ascii="仿宋" w:eastAsia="仿宋" w:hAnsi="仿宋" w:cs="仿宋" w:hint="eastAsia"/>
          <w:sz w:val="32"/>
          <w:szCs w:val="32"/>
        </w:rPr>
        <w:t>监管中的</w:t>
      </w:r>
      <w:r w:rsidR="00870D7D">
        <w:rPr>
          <w:rFonts w:ascii="仿宋" w:eastAsia="仿宋" w:hAnsi="仿宋" w:cs="仿宋" w:hint="eastAsia"/>
          <w:sz w:val="32"/>
          <w:szCs w:val="32"/>
        </w:rPr>
        <w:t>风险程度</w:t>
      </w:r>
      <w:r w:rsidR="00F06E6C">
        <w:rPr>
          <w:rFonts w:ascii="仿宋" w:eastAsia="仿宋" w:hAnsi="仿宋" w:cs="仿宋" w:hint="eastAsia"/>
          <w:sz w:val="32"/>
          <w:szCs w:val="32"/>
        </w:rPr>
        <w:t>等</w:t>
      </w:r>
      <w:r w:rsidR="00870D7D">
        <w:rPr>
          <w:rFonts w:ascii="仿宋" w:eastAsia="仿宋" w:hAnsi="仿宋" w:cs="仿宋" w:hint="eastAsia"/>
          <w:sz w:val="32"/>
          <w:szCs w:val="32"/>
        </w:rPr>
        <w:t>，依据</w:t>
      </w:r>
      <w:r w:rsidR="00870D7D" w:rsidRPr="00B6229B">
        <w:rPr>
          <w:rFonts w:ascii="仿宋" w:eastAsia="仿宋" w:hAnsi="仿宋" w:cs="仿宋" w:hint="eastAsia"/>
          <w:sz w:val="32"/>
          <w:szCs w:val="32"/>
        </w:rPr>
        <w:t>《医疗器械监督管理条例》《医疗器械分类规则》</w:t>
      </w:r>
      <w:r w:rsidR="00F313E1" w:rsidRPr="00B6229B">
        <w:rPr>
          <w:rFonts w:ascii="仿宋" w:eastAsia="仿宋" w:hAnsi="仿宋" w:cs="仿宋" w:hint="eastAsia"/>
          <w:sz w:val="32"/>
          <w:szCs w:val="32"/>
        </w:rPr>
        <w:t>（国家</w:t>
      </w:r>
      <w:r w:rsidR="00F313E1" w:rsidRPr="00362241">
        <w:rPr>
          <w:rFonts w:ascii="仿宋" w:eastAsia="仿宋" w:hAnsi="仿宋" w:cs="仿宋" w:hint="eastAsia"/>
          <w:sz w:val="32"/>
          <w:szCs w:val="32"/>
        </w:rPr>
        <w:t>食品药品监督</w:t>
      </w:r>
      <w:r w:rsidR="00F313E1" w:rsidRPr="00362241">
        <w:rPr>
          <w:rFonts w:ascii="仿宋" w:eastAsia="仿宋" w:hAnsi="仿宋" w:cs="仿宋" w:hint="eastAsia"/>
          <w:sz w:val="32"/>
          <w:szCs w:val="32"/>
        </w:rPr>
        <w:lastRenderedPageBreak/>
        <w:t>管理总局令第15号）</w:t>
      </w:r>
      <w:r w:rsidR="00870D7D" w:rsidRPr="00362241">
        <w:rPr>
          <w:rFonts w:ascii="仿宋" w:eastAsia="仿宋" w:hAnsi="仿宋" w:cs="仿宋" w:hint="eastAsia"/>
          <w:sz w:val="32"/>
          <w:szCs w:val="32"/>
        </w:rPr>
        <w:t>《医疗器械分类目录》等编制</w:t>
      </w:r>
      <w:r w:rsidR="006332DD" w:rsidRPr="00362241">
        <w:rPr>
          <w:rFonts w:ascii="仿宋" w:eastAsia="仿宋" w:hAnsi="仿宋" w:cs="仿宋" w:hint="eastAsia"/>
          <w:sz w:val="32"/>
          <w:szCs w:val="32"/>
        </w:rPr>
        <w:t>了《医用</w:t>
      </w:r>
      <w:r w:rsidR="00DE74B9">
        <w:rPr>
          <w:rFonts w:ascii="仿宋" w:eastAsia="仿宋" w:hAnsi="仿宋" w:cs="仿宋" w:hint="eastAsia"/>
          <w:sz w:val="32"/>
          <w:szCs w:val="32"/>
        </w:rPr>
        <w:t>辅助决策</w:t>
      </w:r>
      <w:r w:rsidR="006332DD" w:rsidRPr="00362241">
        <w:rPr>
          <w:rFonts w:ascii="仿宋" w:eastAsia="仿宋" w:hAnsi="仿宋" w:cs="仿宋" w:hint="eastAsia"/>
          <w:sz w:val="32"/>
          <w:szCs w:val="32"/>
        </w:rPr>
        <w:t>软件分类界定</w:t>
      </w:r>
      <w:r w:rsidR="00DC15DB">
        <w:rPr>
          <w:rFonts w:ascii="仿宋" w:eastAsia="仿宋" w:hAnsi="仿宋" w:cs="仿宋" w:hint="eastAsia"/>
          <w:sz w:val="32"/>
          <w:szCs w:val="32"/>
        </w:rPr>
        <w:t>指导</w:t>
      </w:r>
      <w:r w:rsidR="006332DD" w:rsidRPr="00362241">
        <w:rPr>
          <w:rFonts w:ascii="仿宋" w:eastAsia="仿宋" w:hAnsi="仿宋" w:cs="仿宋" w:hint="eastAsia"/>
          <w:sz w:val="32"/>
          <w:szCs w:val="32"/>
        </w:rPr>
        <w:t>原则》。</w:t>
      </w:r>
      <w:r w:rsidR="00F313E1" w:rsidRPr="00362241">
        <w:rPr>
          <w:rFonts w:ascii="仿宋" w:eastAsia="仿宋" w:hAnsi="仿宋" w:cs="仿宋"/>
          <w:sz w:val="32"/>
          <w:szCs w:val="32"/>
        </w:rPr>
        <w:t>本</w:t>
      </w:r>
      <w:r w:rsidR="00F313E1" w:rsidRPr="00362241">
        <w:rPr>
          <w:rFonts w:ascii="仿宋" w:eastAsia="仿宋" w:hAnsi="仿宋" w:cs="仿宋" w:hint="eastAsia"/>
          <w:sz w:val="32"/>
          <w:szCs w:val="32"/>
        </w:rPr>
        <w:t>原则</w:t>
      </w:r>
      <w:r w:rsidR="00F313E1" w:rsidRPr="00362241">
        <w:rPr>
          <w:rFonts w:ascii="仿宋" w:eastAsia="仿宋" w:hAnsi="仿宋" w:cs="仿宋"/>
          <w:sz w:val="32"/>
          <w:szCs w:val="32"/>
        </w:rPr>
        <w:t>可用于规范</w:t>
      </w:r>
      <w:r w:rsidR="002D5879" w:rsidRPr="00B6229B">
        <w:rPr>
          <w:rFonts w:ascii="仿宋" w:eastAsia="仿宋" w:hAnsi="仿宋" w:cs="仿宋" w:hint="eastAsia"/>
          <w:sz w:val="32"/>
          <w:szCs w:val="32"/>
        </w:rPr>
        <w:t>医用辅助决策</w:t>
      </w:r>
      <w:r w:rsidR="002D5879">
        <w:rPr>
          <w:rFonts w:eastAsia="仿宋_GB2312" w:hint="eastAsia"/>
          <w:bCs/>
          <w:sz w:val="32"/>
          <w:szCs w:val="32"/>
        </w:rPr>
        <w:t>软件</w:t>
      </w:r>
      <w:r w:rsidR="00F313E1" w:rsidRPr="00362241">
        <w:rPr>
          <w:rFonts w:ascii="仿宋" w:eastAsia="仿宋" w:hAnsi="仿宋" w:cs="仿宋" w:hint="eastAsia"/>
          <w:sz w:val="32"/>
          <w:szCs w:val="32"/>
        </w:rPr>
        <w:t>的</w:t>
      </w:r>
      <w:r w:rsidR="00CE0DF7">
        <w:rPr>
          <w:rFonts w:ascii="仿宋" w:eastAsia="仿宋" w:hAnsi="仿宋" w:cs="仿宋" w:hint="eastAsia"/>
          <w:sz w:val="32"/>
          <w:szCs w:val="32"/>
        </w:rPr>
        <w:t>属性界定和类别划分</w:t>
      </w:r>
      <w:r w:rsidR="00F313E1" w:rsidRPr="00362241">
        <w:rPr>
          <w:rFonts w:ascii="仿宋" w:eastAsia="仿宋" w:hAnsi="仿宋" w:cs="仿宋"/>
          <w:sz w:val="32"/>
          <w:szCs w:val="32"/>
        </w:rPr>
        <w:t>，为产业和监管部门提供</w:t>
      </w:r>
      <w:r w:rsidR="00F313E1" w:rsidRPr="00362241">
        <w:rPr>
          <w:rFonts w:ascii="仿宋" w:eastAsia="仿宋" w:hAnsi="仿宋" w:cs="仿宋" w:hint="eastAsia"/>
          <w:sz w:val="32"/>
          <w:szCs w:val="32"/>
        </w:rPr>
        <w:t>注册和审批</w:t>
      </w:r>
      <w:r w:rsidR="00F313E1" w:rsidRPr="00362241">
        <w:rPr>
          <w:rFonts w:ascii="仿宋" w:eastAsia="仿宋" w:hAnsi="仿宋" w:cs="仿宋"/>
          <w:sz w:val="32"/>
          <w:szCs w:val="32"/>
        </w:rPr>
        <w:t>的技术指导。</w:t>
      </w:r>
    </w:p>
    <w:p w:rsidR="00E644F9" w:rsidRPr="0094435B" w:rsidRDefault="00E644F9" w:rsidP="00E644F9">
      <w:pPr>
        <w:pStyle w:val="ab"/>
        <w:spacing w:line="520" w:lineRule="exact"/>
        <w:ind w:firstLineChars="200" w:firstLine="640"/>
        <w:rPr>
          <w:rStyle w:val="new"/>
          <w:rFonts w:eastAsia="黑体"/>
          <w:sz w:val="32"/>
          <w:szCs w:val="32"/>
        </w:rPr>
      </w:pPr>
      <w:r w:rsidRPr="0094435B">
        <w:rPr>
          <w:rFonts w:eastAsia="黑体"/>
          <w:sz w:val="32"/>
          <w:szCs w:val="32"/>
        </w:rPr>
        <w:t>三、</w:t>
      </w:r>
      <w:r w:rsidR="00870D7D">
        <w:rPr>
          <w:rFonts w:eastAsia="黑体" w:hint="eastAsia"/>
          <w:sz w:val="32"/>
          <w:szCs w:val="32"/>
        </w:rPr>
        <w:t>重大问题讨论</w:t>
      </w:r>
    </w:p>
    <w:p w:rsidR="00E644F9" w:rsidRPr="00DE74B9" w:rsidRDefault="00003318" w:rsidP="00DE74B9">
      <w:pPr>
        <w:widowControl/>
        <w:spacing w:line="590" w:lineRule="exact"/>
        <w:ind w:firstLineChars="150" w:firstLine="480"/>
        <w:rPr>
          <w:rFonts w:ascii="仿宋" w:eastAsia="仿宋" w:hAnsi="仿宋" w:cs="仿宋"/>
          <w:sz w:val="32"/>
          <w:szCs w:val="32"/>
        </w:rPr>
      </w:pPr>
      <w:r w:rsidRPr="00362241">
        <w:rPr>
          <w:rFonts w:ascii="仿宋" w:eastAsia="仿宋" w:hAnsi="仿宋" w:cs="仿宋" w:hint="eastAsia"/>
          <w:sz w:val="32"/>
          <w:szCs w:val="32"/>
        </w:rPr>
        <w:t>经</w:t>
      </w:r>
      <w:r w:rsidR="006332DD" w:rsidRPr="00362241">
        <w:rPr>
          <w:rFonts w:ascii="仿宋" w:eastAsia="仿宋" w:hAnsi="仿宋" w:cs="仿宋" w:hint="eastAsia"/>
          <w:sz w:val="32"/>
          <w:szCs w:val="32"/>
        </w:rPr>
        <w:t>医疗器械分类技术委员会</w:t>
      </w:r>
      <w:r w:rsidR="006332DD" w:rsidRPr="00362241">
        <w:rPr>
          <w:rFonts w:ascii="仿宋" w:eastAsia="仿宋" w:hAnsi="仿宋" w:cs="仿宋"/>
          <w:sz w:val="32"/>
          <w:szCs w:val="32"/>
        </w:rPr>
        <w:t>医用软件专业组</w:t>
      </w:r>
      <w:r w:rsidRPr="00362241">
        <w:rPr>
          <w:rFonts w:ascii="仿宋" w:eastAsia="仿宋" w:hAnsi="仿宋" w:cs="仿宋" w:hint="eastAsia"/>
          <w:sz w:val="32"/>
          <w:szCs w:val="32"/>
        </w:rPr>
        <w:t>讨论</w:t>
      </w:r>
      <w:r w:rsidRPr="00362241">
        <w:rPr>
          <w:rFonts w:ascii="仿宋" w:eastAsia="仿宋" w:hAnsi="仿宋" w:cs="仿宋"/>
          <w:sz w:val="32"/>
          <w:szCs w:val="32"/>
        </w:rPr>
        <w:t>，</w:t>
      </w:r>
      <w:r w:rsidR="00DE0F4E">
        <w:rPr>
          <w:rFonts w:ascii="仿宋" w:eastAsia="仿宋" w:hAnsi="仿宋" w:cs="仿宋"/>
          <w:sz w:val="32"/>
          <w:szCs w:val="32"/>
        </w:rPr>
        <w:t>按照医疗器械管理</w:t>
      </w:r>
      <w:r w:rsidR="00DE0F4E">
        <w:rPr>
          <w:rFonts w:ascii="仿宋" w:eastAsia="仿宋" w:hAnsi="仿宋" w:cs="仿宋" w:hint="eastAsia"/>
          <w:sz w:val="32"/>
          <w:szCs w:val="32"/>
        </w:rPr>
        <w:t>的</w:t>
      </w:r>
      <w:r w:rsidR="00DE74B9">
        <w:rPr>
          <w:rFonts w:ascii="仿宋" w:eastAsia="仿宋" w:hAnsi="仿宋" w:cs="仿宋" w:hint="eastAsia"/>
          <w:sz w:val="32"/>
          <w:szCs w:val="32"/>
        </w:rPr>
        <w:t>辅助决策类</w:t>
      </w:r>
      <w:r w:rsidR="00DE74B9">
        <w:rPr>
          <w:rFonts w:ascii="仿宋" w:eastAsia="仿宋" w:hAnsi="仿宋" w:cs="仿宋"/>
          <w:sz w:val="32"/>
          <w:szCs w:val="32"/>
        </w:rPr>
        <w:t>软件产品，其处理对象需为</w:t>
      </w:r>
      <w:r w:rsidR="00DE74B9" w:rsidRPr="00DE74B9">
        <w:rPr>
          <w:rFonts w:ascii="仿宋" w:eastAsia="仿宋" w:hAnsi="仿宋" w:cs="仿宋" w:hint="eastAsia"/>
          <w:sz w:val="32"/>
          <w:szCs w:val="32"/>
        </w:rPr>
        <w:t>医疗器械或通用设备所产生的用于医疗用途的数据（即客观医疗数据）</w:t>
      </w:r>
      <w:r w:rsidR="00DE0F4E">
        <w:rPr>
          <w:rFonts w:ascii="仿宋" w:eastAsia="仿宋" w:hAnsi="仿宋" w:cs="仿宋" w:hint="eastAsia"/>
          <w:sz w:val="32"/>
          <w:szCs w:val="32"/>
        </w:rPr>
        <w:t>；而处理对象不包含客观医疗数据的软件产品，其算法、</w:t>
      </w:r>
      <w:r w:rsidR="00CC2F47">
        <w:rPr>
          <w:rFonts w:ascii="仿宋" w:eastAsia="仿宋" w:hAnsi="仿宋" w:cs="仿宋" w:hint="eastAsia"/>
          <w:sz w:val="32"/>
          <w:szCs w:val="32"/>
        </w:rPr>
        <w:t>核心功能、预期用途</w:t>
      </w:r>
      <w:r w:rsidR="00DE0F4E">
        <w:rPr>
          <w:rFonts w:ascii="仿宋" w:eastAsia="仿宋" w:hAnsi="仿宋" w:cs="仿宋" w:hint="eastAsia"/>
          <w:sz w:val="32"/>
          <w:szCs w:val="32"/>
        </w:rPr>
        <w:t>等</w:t>
      </w:r>
      <w:r w:rsidR="00CC2F47">
        <w:rPr>
          <w:rFonts w:ascii="仿宋" w:eastAsia="仿宋" w:hAnsi="仿宋" w:cs="仿宋" w:hint="eastAsia"/>
          <w:sz w:val="32"/>
          <w:szCs w:val="32"/>
        </w:rPr>
        <w:t>不符合医疗器械的定义，不作为医疗器械管理。</w:t>
      </w:r>
    </w:p>
    <w:sectPr w:rsidR="00E644F9" w:rsidRPr="00DE7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F6A" w:rsidRDefault="00062F6A" w:rsidP="00856FCC">
      <w:r>
        <w:separator/>
      </w:r>
    </w:p>
  </w:endnote>
  <w:endnote w:type="continuationSeparator" w:id="0">
    <w:p w:rsidR="00062F6A" w:rsidRDefault="00062F6A" w:rsidP="008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F6A" w:rsidRDefault="00062F6A" w:rsidP="00856FCC">
      <w:r>
        <w:separator/>
      </w:r>
    </w:p>
  </w:footnote>
  <w:footnote w:type="continuationSeparator" w:id="0">
    <w:p w:rsidR="00062F6A" w:rsidRDefault="00062F6A" w:rsidP="00856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47"/>
    <w:rsid w:val="00003318"/>
    <w:rsid w:val="00014BD0"/>
    <w:rsid w:val="000177AE"/>
    <w:rsid w:val="00062F6A"/>
    <w:rsid w:val="000B3171"/>
    <w:rsid w:val="000F33CB"/>
    <w:rsid w:val="00106D6B"/>
    <w:rsid w:val="00136DD5"/>
    <w:rsid w:val="0015780A"/>
    <w:rsid w:val="00166EB7"/>
    <w:rsid w:val="001914FD"/>
    <w:rsid w:val="001A000C"/>
    <w:rsid w:val="00210C4B"/>
    <w:rsid w:val="00220386"/>
    <w:rsid w:val="00264F86"/>
    <w:rsid w:val="00287F4C"/>
    <w:rsid w:val="002D1747"/>
    <w:rsid w:val="002D32FC"/>
    <w:rsid w:val="002D5879"/>
    <w:rsid w:val="002F4B51"/>
    <w:rsid w:val="00362241"/>
    <w:rsid w:val="0039167C"/>
    <w:rsid w:val="003D1A4C"/>
    <w:rsid w:val="003E46DD"/>
    <w:rsid w:val="004064AC"/>
    <w:rsid w:val="00422CB2"/>
    <w:rsid w:val="00432633"/>
    <w:rsid w:val="004329E3"/>
    <w:rsid w:val="00451884"/>
    <w:rsid w:val="0047151D"/>
    <w:rsid w:val="004C01B1"/>
    <w:rsid w:val="004D2654"/>
    <w:rsid w:val="004D56F7"/>
    <w:rsid w:val="004E01E2"/>
    <w:rsid w:val="004E7411"/>
    <w:rsid w:val="00515418"/>
    <w:rsid w:val="00517123"/>
    <w:rsid w:val="00584480"/>
    <w:rsid w:val="005C0372"/>
    <w:rsid w:val="005C0743"/>
    <w:rsid w:val="006332DD"/>
    <w:rsid w:val="006465D3"/>
    <w:rsid w:val="006559FE"/>
    <w:rsid w:val="006749FF"/>
    <w:rsid w:val="006E1F26"/>
    <w:rsid w:val="007073E8"/>
    <w:rsid w:val="0071412A"/>
    <w:rsid w:val="007245DE"/>
    <w:rsid w:val="00745835"/>
    <w:rsid w:val="0077699B"/>
    <w:rsid w:val="00787191"/>
    <w:rsid w:val="0079625C"/>
    <w:rsid w:val="007C3B7E"/>
    <w:rsid w:val="007E4D8F"/>
    <w:rsid w:val="007F3FA7"/>
    <w:rsid w:val="008063FC"/>
    <w:rsid w:val="00817ECD"/>
    <w:rsid w:val="00856FCC"/>
    <w:rsid w:val="00870D7D"/>
    <w:rsid w:val="00885FD8"/>
    <w:rsid w:val="008B673C"/>
    <w:rsid w:val="008E4A10"/>
    <w:rsid w:val="008F5537"/>
    <w:rsid w:val="00944A1C"/>
    <w:rsid w:val="00983FBF"/>
    <w:rsid w:val="00997806"/>
    <w:rsid w:val="009A3126"/>
    <w:rsid w:val="009C0FBD"/>
    <w:rsid w:val="00A23CF2"/>
    <w:rsid w:val="00A64D2D"/>
    <w:rsid w:val="00AC10CC"/>
    <w:rsid w:val="00AC4454"/>
    <w:rsid w:val="00AD0060"/>
    <w:rsid w:val="00B10938"/>
    <w:rsid w:val="00B2494B"/>
    <w:rsid w:val="00B35BF4"/>
    <w:rsid w:val="00B4740B"/>
    <w:rsid w:val="00B6229B"/>
    <w:rsid w:val="00B62F15"/>
    <w:rsid w:val="00BA1EF1"/>
    <w:rsid w:val="00C060B6"/>
    <w:rsid w:val="00C069EA"/>
    <w:rsid w:val="00C426AC"/>
    <w:rsid w:val="00C703DC"/>
    <w:rsid w:val="00C72D66"/>
    <w:rsid w:val="00C82646"/>
    <w:rsid w:val="00C9139C"/>
    <w:rsid w:val="00CB7ED7"/>
    <w:rsid w:val="00CC2F47"/>
    <w:rsid w:val="00CD17BF"/>
    <w:rsid w:val="00CE0DF7"/>
    <w:rsid w:val="00D41D19"/>
    <w:rsid w:val="00D4208E"/>
    <w:rsid w:val="00D66A35"/>
    <w:rsid w:val="00D67B18"/>
    <w:rsid w:val="00D74230"/>
    <w:rsid w:val="00D96EFA"/>
    <w:rsid w:val="00DC15DB"/>
    <w:rsid w:val="00DC644D"/>
    <w:rsid w:val="00DE0F4E"/>
    <w:rsid w:val="00DE29F9"/>
    <w:rsid w:val="00DE74B9"/>
    <w:rsid w:val="00E000E3"/>
    <w:rsid w:val="00E32642"/>
    <w:rsid w:val="00E54EB4"/>
    <w:rsid w:val="00E644F9"/>
    <w:rsid w:val="00E731C4"/>
    <w:rsid w:val="00E73801"/>
    <w:rsid w:val="00EE42BF"/>
    <w:rsid w:val="00EF53A6"/>
    <w:rsid w:val="00F06E6C"/>
    <w:rsid w:val="00F240D0"/>
    <w:rsid w:val="00F313E1"/>
    <w:rsid w:val="00F32C3D"/>
    <w:rsid w:val="00F40F3E"/>
    <w:rsid w:val="00F451B9"/>
    <w:rsid w:val="00F8484A"/>
    <w:rsid w:val="00FB2F4B"/>
    <w:rsid w:val="077122C8"/>
    <w:rsid w:val="10FF5607"/>
    <w:rsid w:val="63F86D4E"/>
    <w:rsid w:val="6412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54F50"/>
  <w15:docId w15:val="{CB4C9869-263D-4C47-B358-86189701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qFormat/>
    <w:pPr>
      <w:widowControl/>
    </w:pPr>
    <w:rPr>
      <w:kern w:val="0"/>
      <w:szCs w:val="21"/>
    </w:rPr>
  </w:style>
  <w:style w:type="paragraph" w:styleId="a3">
    <w:name w:val="List Paragraph"/>
    <w:basedOn w:val="a"/>
    <w:uiPriority w:val="34"/>
    <w:qFormat/>
    <w:pPr>
      <w:ind w:firstLineChars="200" w:firstLine="420"/>
    </w:pPr>
  </w:style>
  <w:style w:type="paragraph" w:styleId="a4">
    <w:name w:val="Balloon Text"/>
    <w:basedOn w:val="a"/>
    <w:link w:val="a5"/>
    <w:uiPriority w:val="99"/>
    <w:semiHidden/>
    <w:unhideWhenUsed/>
    <w:rsid w:val="00856FCC"/>
    <w:rPr>
      <w:sz w:val="18"/>
      <w:szCs w:val="18"/>
    </w:rPr>
  </w:style>
  <w:style w:type="character" w:customStyle="1" w:styleId="a5">
    <w:name w:val="批注框文本 字符"/>
    <w:basedOn w:val="a0"/>
    <w:link w:val="a4"/>
    <w:uiPriority w:val="99"/>
    <w:semiHidden/>
    <w:rsid w:val="00856FCC"/>
    <w:rPr>
      <w:rFonts w:ascii="Times New Roman" w:eastAsia="宋体" w:hAnsi="Times New Roman" w:cs="Times New Roman"/>
      <w:kern w:val="2"/>
      <w:sz w:val="18"/>
      <w:szCs w:val="18"/>
    </w:rPr>
  </w:style>
  <w:style w:type="paragraph" w:styleId="a6">
    <w:name w:val="header"/>
    <w:basedOn w:val="a"/>
    <w:link w:val="a7"/>
    <w:uiPriority w:val="99"/>
    <w:unhideWhenUsed/>
    <w:rsid w:val="00856FC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56FCC"/>
    <w:rPr>
      <w:rFonts w:ascii="Times New Roman" w:eastAsia="宋体" w:hAnsi="Times New Roman" w:cs="Times New Roman"/>
      <w:kern w:val="2"/>
      <w:sz w:val="18"/>
      <w:szCs w:val="18"/>
    </w:rPr>
  </w:style>
  <w:style w:type="paragraph" w:styleId="a8">
    <w:name w:val="footer"/>
    <w:basedOn w:val="a"/>
    <w:link w:val="a9"/>
    <w:uiPriority w:val="99"/>
    <w:unhideWhenUsed/>
    <w:rsid w:val="00856FCC"/>
    <w:pPr>
      <w:tabs>
        <w:tab w:val="center" w:pos="4153"/>
        <w:tab w:val="right" w:pos="8306"/>
      </w:tabs>
      <w:snapToGrid w:val="0"/>
      <w:jc w:val="left"/>
    </w:pPr>
    <w:rPr>
      <w:sz w:val="18"/>
      <w:szCs w:val="18"/>
    </w:rPr>
  </w:style>
  <w:style w:type="character" w:customStyle="1" w:styleId="a9">
    <w:name w:val="页脚 字符"/>
    <w:basedOn w:val="a0"/>
    <w:link w:val="a8"/>
    <w:uiPriority w:val="99"/>
    <w:rsid w:val="00856FCC"/>
    <w:rPr>
      <w:rFonts w:ascii="Times New Roman" w:eastAsia="宋体" w:hAnsi="Times New Roman" w:cs="Times New Roman"/>
      <w:kern w:val="2"/>
      <w:sz w:val="18"/>
      <w:szCs w:val="18"/>
    </w:rPr>
  </w:style>
  <w:style w:type="character" w:styleId="aa">
    <w:name w:val="annotation reference"/>
    <w:uiPriority w:val="99"/>
    <w:unhideWhenUsed/>
    <w:rsid w:val="00E644F9"/>
    <w:rPr>
      <w:sz w:val="21"/>
      <w:szCs w:val="21"/>
    </w:rPr>
  </w:style>
  <w:style w:type="character" w:customStyle="1" w:styleId="new">
    <w:name w:val="new"/>
    <w:basedOn w:val="a0"/>
    <w:rsid w:val="00E644F9"/>
  </w:style>
  <w:style w:type="paragraph" w:styleId="ab">
    <w:name w:val="Body Text"/>
    <w:basedOn w:val="a"/>
    <w:link w:val="ac"/>
    <w:uiPriority w:val="99"/>
    <w:unhideWhenUsed/>
    <w:rsid w:val="00E644F9"/>
    <w:pPr>
      <w:spacing w:after="120"/>
    </w:pPr>
  </w:style>
  <w:style w:type="character" w:customStyle="1" w:styleId="ac">
    <w:name w:val="正文文本 字符"/>
    <w:basedOn w:val="a0"/>
    <w:link w:val="ab"/>
    <w:uiPriority w:val="99"/>
    <w:rsid w:val="00E644F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80544">
      <w:bodyDiv w:val="1"/>
      <w:marLeft w:val="0"/>
      <w:marRight w:val="0"/>
      <w:marTop w:val="0"/>
      <w:marBottom w:val="0"/>
      <w:divBdr>
        <w:top w:val="none" w:sz="0" w:space="0" w:color="auto"/>
        <w:left w:val="none" w:sz="0" w:space="0" w:color="auto"/>
        <w:bottom w:val="none" w:sz="0" w:space="0" w:color="auto"/>
        <w:right w:val="none" w:sz="0" w:space="0" w:color="auto"/>
      </w:divBdr>
    </w:div>
    <w:div w:id="111555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4D675-4FEE-411E-9E38-AC5016CF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江潇</dc:creator>
  <cp:lastModifiedBy>江潇</cp:lastModifiedBy>
  <cp:revision>57</cp:revision>
  <cp:lastPrinted>2021-06-08T06:00:00Z</cp:lastPrinted>
  <dcterms:created xsi:type="dcterms:W3CDTF">2020-08-13T02:21:00Z</dcterms:created>
  <dcterms:modified xsi:type="dcterms:W3CDTF">2021-06-08T06:01:00Z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