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0"/>
          <w:szCs w:val="40"/>
        </w:rPr>
      </w:pPr>
    </w:p>
    <w:p>
      <w:pPr>
        <w:spacing w:line="560" w:lineRule="exact"/>
        <w:jc w:val="center"/>
        <w:rPr>
          <w:rFonts w:hint="eastAsia" w:eastAsia="方正小标宋简体"/>
          <w:sz w:val="44"/>
          <w:szCs w:val="44"/>
        </w:rPr>
      </w:pPr>
      <w:r>
        <w:rPr>
          <w:rFonts w:hint="eastAsia" w:eastAsia="方正小标宋简体"/>
          <w:sz w:val="44"/>
          <w:szCs w:val="44"/>
        </w:rPr>
        <w:t>重组胶原蛋白类医疗产品分类界定原则</w:t>
      </w:r>
    </w:p>
    <w:p>
      <w:pPr>
        <w:spacing w:line="560" w:lineRule="exact"/>
        <w:jc w:val="center"/>
        <w:rPr>
          <w:rFonts w:hint="eastAsia" w:eastAsia="方正小标宋简体"/>
          <w:sz w:val="44"/>
          <w:szCs w:val="44"/>
          <w:lang w:eastAsia="zh-CN"/>
        </w:rPr>
      </w:pPr>
      <w:r>
        <w:rPr>
          <w:rFonts w:hint="eastAsia" w:eastAsia="方正小标宋简体"/>
          <w:sz w:val="44"/>
          <w:szCs w:val="44"/>
          <w:lang w:eastAsia="zh-CN"/>
        </w:rPr>
        <w:t>（征求意见稿）</w:t>
      </w:r>
      <w:bookmarkStart w:id="0" w:name="_GoBack"/>
      <w:bookmarkEnd w:id="0"/>
    </w:p>
    <w:p>
      <w:pPr>
        <w:spacing w:line="560" w:lineRule="exact"/>
        <w:jc w:val="center"/>
        <w:rPr>
          <w:rFonts w:eastAsia="方正小标宋简体"/>
          <w:sz w:val="44"/>
          <w:szCs w:val="44"/>
        </w:rPr>
      </w:pPr>
    </w:p>
    <w:p>
      <w:pPr>
        <w:numPr>
          <w:ilvl w:val="0"/>
          <w:numId w:val="1"/>
        </w:numPr>
        <w:rPr>
          <w:rFonts w:ascii="黑体" w:hAnsi="黑体" w:eastAsia="黑体" w:cs="黑体"/>
          <w:sz w:val="32"/>
          <w:szCs w:val="32"/>
        </w:rPr>
      </w:pPr>
      <w:r>
        <w:rPr>
          <w:rFonts w:hint="eastAsia" w:ascii="黑体" w:hAnsi="黑体" w:eastAsia="黑体" w:cs="黑体"/>
          <w:sz w:val="32"/>
          <w:szCs w:val="32"/>
        </w:rPr>
        <w:t>目的</w:t>
      </w:r>
    </w:p>
    <w:p>
      <w:pPr>
        <w:numPr>
          <w:ilvl w:val="255"/>
          <w:numId w:val="0"/>
        </w:numPr>
        <w:ind w:firstLine="640" w:firstLineChars="200"/>
        <w:rPr>
          <w:rFonts w:eastAsia="仿宋_GB2312"/>
          <w:sz w:val="32"/>
          <w:szCs w:val="32"/>
        </w:rPr>
      </w:pPr>
      <w:r>
        <w:rPr>
          <w:rFonts w:hint="eastAsia" w:eastAsia="仿宋_GB2312"/>
          <w:sz w:val="32"/>
          <w:szCs w:val="32"/>
        </w:rPr>
        <w:t>为指导重组胶原蛋白类医疗产品管理属性和管理类别判定，根据《医疗器械监督管理条例》《医疗器械分类规则》《医疗器械分类目录》等制定本原则。</w:t>
      </w:r>
    </w:p>
    <w:p>
      <w:pPr>
        <w:numPr>
          <w:ilvl w:val="0"/>
          <w:numId w:val="1"/>
        </w:numPr>
        <w:rPr>
          <w:rFonts w:ascii="黑体" w:hAnsi="黑体" w:eastAsia="黑体" w:cs="黑体"/>
          <w:sz w:val="32"/>
          <w:szCs w:val="32"/>
        </w:rPr>
      </w:pPr>
      <w:r>
        <w:rPr>
          <w:rFonts w:hint="eastAsia" w:ascii="黑体" w:hAnsi="黑体" w:eastAsia="黑体" w:cs="黑体"/>
          <w:sz w:val="32"/>
          <w:szCs w:val="32"/>
        </w:rPr>
        <w:t>范围</w:t>
      </w:r>
    </w:p>
    <w:p>
      <w:pPr>
        <w:numPr>
          <w:ilvl w:val="255"/>
          <w:numId w:val="0"/>
        </w:numPr>
        <w:ind w:firstLine="640" w:firstLineChars="200"/>
        <w:rPr>
          <w:rFonts w:eastAsia="仿宋_GB2312"/>
          <w:sz w:val="32"/>
          <w:szCs w:val="32"/>
        </w:rPr>
      </w:pPr>
      <w:r>
        <w:rPr>
          <w:rFonts w:hint="eastAsia" w:eastAsia="仿宋_GB2312"/>
          <w:sz w:val="32"/>
          <w:szCs w:val="32"/>
        </w:rPr>
        <w:t>本原则中的重组胶原蛋白类医疗产品是指重组胶原蛋白为主要成分，以医疗为目的的产品。</w:t>
      </w:r>
    </w:p>
    <w:p>
      <w:pPr>
        <w:numPr>
          <w:ilvl w:val="0"/>
          <w:numId w:val="1"/>
        </w:numPr>
        <w:rPr>
          <w:rFonts w:ascii="黑体" w:hAnsi="黑体" w:eastAsia="黑体" w:cs="黑体"/>
          <w:sz w:val="32"/>
          <w:szCs w:val="32"/>
        </w:rPr>
      </w:pPr>
      <w:r>
        <w:rPr>
          <w:rFonts w:hint="eastAsia" w:ascii="黑体" w:hAnsi="黑体" w:eastAsia="黑体" w:cs="黑体"/>
          <w:sz w:val="32"/>
          <w:szCs w:val="32"/>
        </w:rPr>
        <w:t>管理属性界定</w:t>
      </w:r>
    </w:p>
    <w:p>
      <w:pPr>
        <w:ind w:firstLine="640" w:firstLineChars="200"/>
        <w:rPr>
          <w:rFonts w:ascii="黑体" w:hAnsi="黑体" w:eastAsia="黑体" w:cs="黑体"/>
          <w:sz w:val="32"/>
          <w:szCs w:val="32"/>
        </w:rPr>
      </w:pPr>
      <w:r>
        <w:rPr>
          <w:rFonts w:hint="eastAsia" w:eastAsia="仿宋_GB2312"/>
          <w:sz w:val="32"/>
          <w:szCs w:val="32"/>
        </w:rPr>
        <w:t>应依据产品的预期用途、作用机制等综合判定。</w:t>
      </w:r>
    </w:p>
    <w:p>
      <w:pPr>
        <w:rPr>
          <w:rFonts w:eastAsia="仿宋_GB2312"/>
          <w:sz w:val="32"/>
          <w:szCs w:val="32"/>
        </w:rPr>
      </w:pPr>
      <w:r>
        <w:rPr>
          <w:rFonts w:hint="eastAsia" w:eastAsia="仿宋_GB2312"/>
          <w:sz w:val="32"/>
          <w:szCs w:val="32"/>
        </w:rPr>
        <w:t>（一）不符合《医疗器械监督管理条例》规定的医疗器械含义的重组胶原蛋白类产品，不按医疗器械管理。例如用于改善阴道干涩状态或用于缓解皮炎、敏感性肌肤、痤疮等各种原因引起的皮肤炎症反应的重组胶原蛋白类产品。</w:t>
      </w:r>
    </w:p>
    <w:p>
      <w:pPr>
        <w:rPr>
          <w:rFonts w:eastAsia="仿宋_GB2312"/>
          <w:sz w:val="32"/>
          <w:szCs w:val="32"/>
        </w:rPr>
      </w:pPr>
      <w:r>
        <w:rPr>
          <w:rFonts w:hint="eastAsia" w:eastAsia="仿宋_GB2312"/>
          <w:sz w:val="32"/>
          <w:szCs w:val="32"/>
        </w:rPr>
        <w:t>（二）</w:t>
      </w:r>
      <w:r>
        <w:rPr>
          <w:rFonts w:hint="eastAsia" w:eastAsia="仿宋_GB2312"/>
          <w:sz w:val="32"/>
          <w:szCs w:val="32"/>
          <w:highlight w:val="none"/>
        </w:rPr>
        <w:t>产品发挥医疗器械效用，同时含有发挥</w:t>
      </w:r>
      <w:r>
        <w:rPr>
          <w:rFonts w:hint="eastAsia" w:eastAsia="仿宋_GB2312"/>
          <w:color w:val="auto"/>
          <w:sz w:val="32"/>
          <w:szCs w:val="32"/>
          <w:highlight w:val="none"/>
        </w:rPr>
        <w:t>药理学作用</w:t>
      </w:r>
      <w:r>
        <w:rPr>
          <w:rFonts w:hint="eastAsia" w:eastAsia="仿宋_GB2312"/>
          <w:sz w:val="32"/>
          <w:szCs w:val="32"/>
          <w:highlight w:val="none"/>
        </w:rPr>
        <w:t>的药物成分，</w:t>
      </w:r>
      <w:r>
        <w:rPr>
          <w:rFonts w:hint="eastAsia" w:eastAsia="仿宋_GB2312"/>
          <w:sz w:val="32"/>
          <w:szCs w:val="32"/>
        </w:rPr>
        <w:t>需根据产品主要作用机制判定为以药品为主或以医疗器械为主的药械组合产品。以药品为主的药械组合产品，按药品申报注册；以医疗器械为主的药械组合产品，按医疗器械申报注册。</w:t>
      </w:r>
    </w:p>
    <w:p>
      <w:pPr>
        <w:rPr>
          <w:rFonts w:eastAsia="仿宋_GB2312"/>
          <w:sz w:val="32"/>
          <w:szCs w:val="32"/>
        </w:rPr>
      </w:pPr>
      <w:r>
        <w:rPr>
          <w:rFonts w:hint="eastAsia" w:eastAsia="仿宋_GB2312"/>
          <w:sz w:val="32"/>
          <w:szCs w:val="32"/>
        </w:rPr>
        <w:t>（三）产品符合医疗器械含义且不含有发挥药理学作用的药物成分，按医疗器械管理。</w:t>
      </w:r>
    </w:p>
    <w:p>
      <w:pPr>
        <w:numPr>
          <w:ilvl w:val="0"/>
          <w:numId w:val="1"/>
        </w:numPr>
        <w:rPr>
          <w:rFonts w:ascii="黑体" w:hAnsi="黑体" w:eastAsia="黑体"/>
          <w:b w:val="0"/>
          <w:bCs/>
          <w:sz w:val="32"/>
          <w:szCs w:val="32"/>
        </w:rPr>
      </w:pPr>
      <w:r>
        <w:rPr>
          <w:rFonts w:hint="eastAsia" w:ascii="黑体" w:hAnsi="黑体" w:eastAsia="黑体"/>
          <w:b w:val="0"/>
          <w:bCs/>
          <w:sz w:val="32"/>
          <w:szCs w:val="32"/>
        </w:rPr>
        <w:t>医疗器械管理类别界定</w:t>
      </w:r>
    </w:p>
    <w:p>
      <w:pPr>
        <w:ind w:firstLine="640" w:firstLineChars="200"/>
        <w:rPr>
          <w:rFonts w:eastAsia="仿宋_GB2312"/>
          <w:sz w:val="32"/>
          <w:szCs w:val="32"/>
        </w:rPr>
      </w:pPr>
      <w:r>
        <w:rPr>
          <w:rFonts w:hint="eastAsia" w:eastAsia="仿宋_GB2312"/>
          <w:sz w:val="32"/>
          <w:szCs w:val="32"/>
        </w:rPr>
        <w:t>应依据产品的材料特性、结构特征、预期用途、使用形式等综合判定风险程度，进而确定管理类别。分类编码需根据具体产品的预期用途，参照现行《医疗器械分类目录》确定。</w:t>
      </w:r>
    </w:p>
    <w:p>
      <w:pPr>
        <w:rPr>
          <w:rFonts w:eastAsia="仿宋_GB2312"/>
          <w:sz w:val="32"/>
          <w:szCs w:val="32"/>
        </w:rPr>
      </w:pPr>
      <w:r>
        <w:rPr>
          <w:rFonts w:hint="eastAsia" w:eastAsia="仿宋_GB2312"/>
          <w:sz w:val="32"/>
          <w:szCs w:val="32"/>
        </w:rPr>
        <w:t>（一）重组胶原蛋白类医疗器械管理类别应不低于第二类。</w:t>
      </w:r>
    </w:p>
    <w:p>
      <w:pPr>
        <w:rPr>
          <w:rFonts w:eastAsia="仿宋_GB2312"/>
          <w:sz w:val="32"/>
          <w:szCs w:val="32"/>
          <w:highlight w:val="yellow"/>
        </w:rPr>
      </w:pPr>
      <w:r>
        <w:rPr>
          <w:rFonts w:hint="eastAsia" w:eastAsia="仿宋_GB2312"/>
          <w:sz w:val="32"/>
          <w:szCs w:val="32"/>
        </w:rPr>
        <w:t>（二）作为无源植入物应用时，按照第三类医疗器械管理。</w:t>
      </w:r>
    </w:p>
    <w:p>
      <w:pPr>
        <w:rPr>
          <w:rFonts w:eastAsia="仿宋_GB2312"/>
          <w:sz w:val="32"/>
          <w:szCs w:val="32"/>
        </w:rPr>
      </w:pPr>
      <w:r>
        <w:rPr>
          <w:rFonts w:hint="eastAsia" w:eastAsia="仿宋_GB2312"/>
          <w:sz w:val="32"/>
          <w:szCs w:val="32"/>
        </w:rPr>
        <w:t>（三）作为外科止血和防黏连材料应用时，依据产品的特性判定管理类别。若产品可部分或全部被人体吸收，按照第三类医疗器械管理；若产品不可被人体吸收，按照第二类医疗器械管理。</w:t>
      </w:r>
    </w:p>
    <w:p>
      <w:pPr>
        <w:rPr>
          <w:rFonts w:eastAsia="仿宋_GB2312"/>
          <w:sz w:val="32"/>
          <w:szCs w:val="32"/>
        </w:rPr>
      </w:pPr>
      <w:r>
        <w:rPr>
          <w:rFonts w:hint="eastAsia" w:eastAsia="仿宋_GB2312"/>
          <w:sz w:val="32"/>
          <w:szCs w:val="32"/>
        </w:rPr>
        <w:t>（四）作为医用敷料应用时，依据产品的特性、创面类型等判定管理类别。若产品可部分或全部被人体吸收，或用于慢性创面，按照第三类医疗器械管理；若产品不可被人体吸收且用于非慢性创面，按照第二类医疗器械管理。</w:t>
      </w:r>
    </w:p>
    <w:p>
      <w:pPr>
        <w:rPr>
          <w:rFonts w:eastAsia="仿宋_GB2312"/>
          <w:sz w:val="32"/>
          <w:szCs w:val="32"/>
        </w:rPr>
      </w:pPr>
      <w:r>
        <w:rPr>
          <w:rFonts w:hint="eastAsia" w:eastAsia="仿宋_GB2312"/>
          <w:sz w:val="32"/>
          <w:szCs w:val="32"/>
        </w:rPr>
        <w:t>（五）作为医用妇科阻菌凝胶应用时，依据产品的特性判定管理类别。若产品可部分或全部被人体吸收，按照第三类医疗器械管理；若产品不可被人体吸收，按照第二类医疗器械管理。</w:t>
      </w:r>
    </w:p>
    <w:p>
      <w:pPr>
        <w:numPr>
          <w:ilvl w:val="0"/>
          <w:numId w:val="1"/>
        </w:numPr>
        <w:rPr>
          <w:rFonts w:ascii="黑体" w:hAnsi="黑体" w:eastAsia="黑体"/>
          <w:sz w:val="32"/>
          <w:szCs w:val="32"/>
        </w:rPr>
      </w:pPr>
      <w:r>
        <w:rPr>
          <w:rFonts w:hint="eastAsia" w:ascii="黑体" w:hAnsi="黑体" w:eastAsia="黑体"/>
          <w:sz w:val="32"/>
          <w:szCs w:val="32"/>
        </w:rPr>
        <w:t>本原则自发布实施之日起施行。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LigatureSymbols">
    <w:altName w:val="Segoe Print"/>
    <w:panose1 w:val="00000000000000000000"/>
    <w:charset w:val="00"/>
    <w:family w:val="auto"/>
    <w:pitch w:val="default"/>
    <w:sig w:usb0="00000000" w:usb1="00000000" w:usb2="00000000" w:usb3="00000000" w:csb0="0000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E532"/>
    <w:multiLevelType w:val="singleLevel"/>
    <w:tmpl w:val="0974E532"/>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E5F5C"/>
    <w:rsid w:val="000112C1"/>
    <w:rsid w:val="000237C4"/>
    <w:rsid w:val="00041D9A"/>
    <w:rsid w:val="00072606"/>
    <w:rsid w:val="000841E3"/>
    <w:rsid w:val="000B1C26"/>
    <w:rsid w:val="001068FC"/>
    <w:rsid w:val="00151EE1"/>
    <w:rsid w:val="001C36EF"/>
    <w:rsid w:val="00277368"/>
    <w:rsid w:val="002B0D47"/>
    <w:rsid w:val="002F52F5"/>
    <w:rsid w:val="00315035"/>
    <w:rsid w:val="003242B4"/>
    <w:rsid w:val="0034303C"/>
    <w:rsid w:val="00364869"/>
    <w:rsid w:val="003937E1"/>
    <w:rsid w:val="003E1816"/>
    <w:rsid w:val="003E3CF9"/>
    <w:rsid w:val="00414651"/>
    <w:rsid w:val="00464F9E"/>
    <w:rsid w:val="004B2B69"/>
    <w:rsid w:val="004E49AB"/>
    <w:rsid w:val="00537043"/>
    <w:rsid w:val="005670F9"/>
    <w:rsid w:val="005876E9"/>
    <w:rsid w:val="005B40E4"/>
    <w:rsid w:val="005E5442"/>
    <w:rsid w:val="005F4941"/>
    <w:rsid w:val="00785DF1"/>
    <w:rsid w:val="007A35CC"/>
    <w:rsid w:val="007F0028"/>
    <w:rsid w:val="0080589E"/>
    <w:rsid w:val="00850987"/>
    <w:rsid w:val="00897E9E"/>
    <w:rsid w:val="00966FA6"/>
    <w:rsid w:val="00985AF4"/>
    <w:rsid w:val="00A07AAA"/>
    <w:rsid w:val="00A22683"/>
    <w:rsid w:val="00A25B5B"/>
    <w:rsid w:val="00A340A0"/>
    <w:rsid w:val="00A346B5"/>
    <w:rsid w:val="00A95B60"/>
    <w:rsid w:val="00AF3F97"/>
    <w:rsid w:val="00B21149"/>
    <w:rsid w:val="00B26DF5"/>
    <w:rsid w:val="00B424EE"/>
    <w:rsid w:val="00B42F90"/>
    <w:rsid w:val="00B654C6"/>
    <w:rsid w:val="00BD0532"/>
    <w:rsid w:val="00C56C27"/>
    <w:rsid w:val="00C66677"/>
    <w:rsid w:val="00D2240E"/>
    <w:rsid w:val="00DA3226"/>
    <w:rsid w:val="00DD4AD7"/>
    <w:rsid w:val="00DD64CD"/>
    <w:rsid w:val="00DF275D"/>
    <w:rsid w:val="00E22943"/>
    <w:rsid w:val="00E263AF"/>
    <w:rsid w:val="00E72709"/>
    <w:rsid w:val="00EE1958"/>
    <w:rsid w:val="00EF706F"/>
    <w:rsid w:val="00F6549F"/>
    <w:rsid w:val="00F74206"/>
    <w:rsid w:val="00F908BB"/>
    <w:rsid w:val="00FA0348"/>
    <w:rsid w:val="00FE04F1"/>
    <w:rsid w:val="00FE4172"/>
    <w:rsid w:val="01253F00"/>
    <w:rsid w:val="01346A31"/>
    <w:rsid w:val="01410E73"/>
    <w:rsid w:val="01E10DC7"/>
    <w:rsid w:val="02574D10"/>
    <w:rsid w:val="026619EC"/>
    <w:rsid w:val="026D1FF8"/>
    <w:rsid w:val="02753921"/>
    <w:rsid w:val="02AE5F5C"/>
    <w:rsid w:val="02B34DD6"/>
    <w:rsid w:val="035C10CE"/>
    <w:rsid w:val="036753E8"/>
    <w:rsid w:val="036D5CE9"/>
    <w:rsid w:val="03A74914"/>
    <w:rsid w:val="04110A58"/>
    <w:rsid w:val="04E92EC3"/>
    <w:rsid w:val="050D387A"/>
    <w:rsid w:val="0547324E"/>
    <w:rsid w:val="05565833"/>
    <w:rsid w:val="05923B42"/>
    <w:rsid w:val="0593377C"/>
    <w:rsid w:val="05C25620"/>
    <w:rsid w:val="05D70116"/>
    <w:rsid w:val="06634F81"/>
    <w:rsid w:val="06B20DBA"/>
    <w:rsid w:val="06B77969"/>
    <w:rsid w:val="06E76A14"/>
    <w:rsid w:val="077A57DB"/>
    <w:rsid w:val="07810C65"/>
    <w:rsid w:val="07825ACE"/>
    <w:rsid w:val="07C947B9"/>
    <w:rsid w:val="08143856"/>
    <w:rsid w:val="0853230C"/>
    <w:rsid w:val="08883597"/>
    <w:rsid w:val="08906505"/>
    <w:rsid w:val="08A84D89"/>
    <w:rsid w:val="08F537C0"/>
    <w:rsid w:val="09960FEF"/>
    <w:rsid w:val="099C72DE"/>
    <w:rsid w:val="099D3F97"/>
    <w:rsid w:val="0A3F3092"/>
    <w:rsid w:val="0A695941"/>
    <w:rsid w:val="0A8E73E7"/>
    <w:rsid w:val="0AE81242"/>
    <w:rsid w:val="0B1430D6"/>
    <w:rsid w:val="0B2F6E10"/>
    <w:rsid w:val="0B690AC0"/>
    <w:rsid w:val="0B950C7C"/>
    <w:rsid w:val="0BC45CBF"/>
    <w:rsid w:val="0BCE5FEF"/>
    <w:rsid w:val="0BE23D50"/>
    <w:rsid w:val="0BEE0A8E"/>
    <w:rsid w:val="0BF8657E"/>
    <w:rsid w:val="0C052649"/>
    <w:rsid w:val="0C3026C0"/>
    <w:rsid w:val="0C5B5E9A"/>
    <w:rsid w:val="0C8272C7"/>
    <w:rsid w:val="0C8D3A21"/>
    <w:rsid w:val="0CBD5889"/>
    <w:rsid w:val="0CC87F4B"/>
    <w:rsid w:val="0CED2917"/>
    <w:rsid w:val="0D925767"/>
    <w:rsid w:val="0D9D0C38"/>
    <w:rsid w:val="0E167790"/>
    <w:rsid w:val="0E7F04B6"/>
    <w:rsid w:val="0E8A0617"/>
    <w:rsid w:val="0EF85984"/>
    <w:rsid w:val="0F27351D"/>
    <w:rsid w:val="0F626B15"/>
    <w:rsid w:val="0F7E42A9"/>
    <w:rsid w:val="0FF3334D"/>
    <w:rsid w:val="0FF5051D"/>
    <w:rsid w:val="100650D7"/>
    <w:rsid w:val="102C6FD2"/>
    <w:rsid w:val="108D3735"/>
    <w:rsid w:val="11114AB6"/>
    <w:rsid w:val="11A13B1D"/>
    <w:rsid w:val="11E84907"/>
    <w:rsid w:val="121F130A"/>
    <w:rsid w:val="127B623D"/>
    <w:rsid w:val="133A2AF2"/>
    <w:rsid w:val="138A1740"/>
    <w:rsid w:val="13C12EBE"/>
    <w:rsid w:val="13DC5753"/>
    <w:rsid w:val="13EB315C"/>
    <w:rsid w:val="14150B00"/>
    <w:rsid w:val="141B5140"/>
    <w:rsid w:val="148720FA"/>
    <w:rsid w:val="14EF6EA6"/>
    <w:rsid w:val="152D71FA"/>
    <w:rsid w:val="158D3138"/>
    <w:rsid w:val="159250E6"/>
    <w:rsid w:val="159E1448"/>
    <w:rsid w:val="160C1F89"/>
    <w:rsid w:val="16417F5A"/>
    <w:rsid w:val="16451224"/>
    <w:rsid w:val="166F03A8"/>
    <w:rsid w:val="169209FE"/>
    <w:rsid w:val="16B046DE"/>
    <w:rsid w:val="16DE298B"/>
    <w:rsid w:val="172B61E0"/>
    <w:rsid w:val="174502C3"/>
    <w:rsid w:val="179B7A58"/>
    <w:rsid w:val="17E45A2C"/>
    <w:rsid w:val="17ED4406"/>
    <w:rsid w:val="182B453B"/>
    <w:rsid w:val="1846136C"/>
    <w:rsid w:val="18891A86"/>
    <w:rsid w:val="18951C6E"/>
    <w:rsid w:val="18C9213C"/>
    <w:rsid w:val="1909321E"/>
    <w:rsid w:val="1933051F"/>
    <w:rsid w:val="19BA2342"/>
    <w:rsid w:val="19D4783E"/>
    <w:rsid w:val="1A09498D"/>
    <w:rsid w:val="1A0D31CF"/>
    <w:rsid w:val="1A2A5207"/>
    <w:rsid w:val="1B046FF8"/>
    <w:rsid w:val="1B297079"/>
    <w:rsid w:val="1B5120E5"/>
    <w:rsid w:val="1B9043F1"/>
    <w:rsid w:val="1BD23320"/>
    <w:rsid w:val="1BD93D40"/>
    <w:rsid w:val="1C151F20"/>
    <w:rsid w:val="1C310EA3"/>
    <w:rsid w:val="1C4A4B44"/>
    <w:rsid w:val="1C7C727C"/>
    <w:rsid w:val="1C97689D"/>
    <w:rsid w:val="1CD70A21"/>
    <w:rsid w:val="1CDF6EF5"/>
    <w:rsid w:val="1CF26A57"/>
    <w:rsid w:val="1CF51BD7"/>
    <w:rsid w:val="1D060BA6"/>
    <w:rsid w:val="1D203E71"/>
    <w:rsid w:val="1D43491D"/>
    <w:rsid w:val="1D55624E"/>
    <w:rsid w:val="1D580171"/>
    <w:rsid w:val="1DAD1ECE"/>
    <w:rsid w:val="1DF7555D"/>
    <w:rsid w:val="1E3D18FE"/>
    <w:rsid w:val="1E681FDD"/>
    <w:rsid w:val="1EF204B7"/>
    <w:rsid w:val="1F1476D0"/>
    <w:rsid w:val="1F665EF8"/>
    <w:rsid w:val="1F772A72"/>
    <w:rsid w:val="1FA32904"/>
    <w:rsid w:val="1FC67E35"/>
    <w:rsid w:val="1FF63ABF"/>
    <w:rsid w:val="20456C19"/>
    <w:rsid w:val="209D4A84"/>
    <w:rsid w:val="21246928"/>
    <w:rsid w:val="2149386D"/>
    <w:rsid w:val="214E2653"/>
    <w:rsid w:val="217E688B"/>
    <w:rsid w:val="21D34230"/>
    <w:rsid w:val="23004AA5"/>
    <w:rsid w:val="23B51DA2"/>
    <w:rsid w:val="23D5126C"/>
    <w:rsid w:val="24A77D2D"/>
    <w:rsid w:val="24DB345B"/>
    <w:rsid w:val="250F7AFC"/>
    <w:rsid w:val="25160609"/>
    <w:rsid w:val="25207789"/>
    <w:rsid w:val="25A65222"/>
    <w:rsid w:val="26837D5C"/>
    <w:rsid w:val="26A3643E"/>
    <w:rsid w:val="26CB59D5"/>
    <w:rsid w:val="26E827FD"/>
    <w:rsid w:val="26EF03B3"/>
    <w:rsid w:val="26F22751"/>
    <w:rsid w:val="27B94FD4"/>
    <w:rsid w:val="2843253E"/>
    <w:rsid w:val="28DE39D0"/>
    <w:rsid w:val="290A2E13"/>
    <w:rsid w:val="291B2532"/>
    <w:rsid w:val="29795633"/>
    <w:rsid w:val="29B62EF7"/>
    <w:rsid w:val="2A1922C8"/>
    <w:rsid w:val="2A3E6FCA"/>
    <w:rsid w:val="2A751F0D"/>
    <w:rsid w:val="2B22116D"/>
    <w:rsid w:val="2B726D18"/>
    <w:rsid w:val="2B7A799F"/>
    <w:rsid w:val="2B895BEC"/>
    <w:rsid w:val="2B8C68A4"/>
    <w:rsid w:val="2BE46C19"/>
    <w:rsid w:val="2C305BF4"/>
    <w:rsid w:val="2CC56EC5"/>
    <w:rsid w:val="2CFB4F94"/>
    <w:rsid w:val="2D0C5F35"/>
    <w:rsid w:val="2D527CF5"/>
    <w:rsid w:val="2E313BC5"/>
    <w:rsid w:val="2E4B0BEF"/>
    <w:rsid w:val="2F1D47CC"/>
    <w:rsid w:val="30045D98"/>
    <w:rsid w:val="302E761A"/>
    <w:rsid w:val="303C185D"/>
    <w:rsid w:val="30436E97"/>
    <w:rsid w:val="304C6194"/>
    <w:rsid w:val="31092FA5"/>
    <w:rsid w:val="3136422F"/>
    <w:rsid w:val="319024D9"/>
    <w:rsid w:val="31E13D94"/>
    <w:rsid w:val="31ED0757"/>
    <w:rsid w:val="320A216F"/>
    <w:rsid w:val="32226CEB"/>
    <w:rsid w:val="32822F92"/>
    <w:rsid w:val="328A60C9"/>
    <w:rsid w:val="32946CB5"/>
    <w:rsid w:val="32C91BCA"/>
    <w:rsid w:val="32CA5979"/>
    <w:rsid w:val="33006662"/>
    <w:rsid w:val="332566A3"/>
    <w:rsid w:val="33A46B30"/>
    <w:rsid w:val="3413504B"/>
    <w:rsid w:val="34184148"/>
    <w:rsid w:val="3430045C"/>
    <w:rsid w:val="34397A7E"/>
    <w:rsid w:val="3451285E"/>
    <w:rsid w:val="34571E19"/>
    <w:rsid w:val="34862BEF"/>
    <w:rsid w:val="34A959BB"/>
    <w:rsid w:val="34CB53D7"/>
    <w:rsid w:val="34E14284"/>
    <w:rsid w:val="34E62F5D"/>
    <w:rsid w:val="34E867A7"/>
    <w:rsid w:val="354F2B1F"/>
    <w:rsid w:val="35676AE6"/>
    <w:rsid w:val="35CF45EA"/>
    <w:rsid w:val="36376971"/>
    <w:rsid w:val="36632CE2"/>
    <w:rsid w:val="37000F94"/>
    <w:rsid w:val="37173E65"/>
    <w:rsid w:val="371F1764"/>
    <w:rsid w:val="372E1149"/>
    <w:rsid w:val="378D1D07"/>
    <w:rsid w:val="37AA558E"/>
    <w:rsid w:val="37AE7147"/>
    <w:rsid w:val="37E255A7"/>
    <w:rsid w:val="381C3104"/>
    <w:rsid w:val="38BE155E"/>
    <w:rsid w:val="38F36707"/>
    <w:rsid w:val="395225EC"/>
    <w:rsid w:val="396D6BE3"/>
    <w:rsid w:val="39794436"/>
    <w:rsid w:val="39B97E95"/>
    <w:rsid w:val="39CB7FD5"/>
    <w:rsid w:val="3A084909"/>
    <w:rsid w:val="3A093344"/>
    <w:rsid w:val="3A427F5E"/>
    <w:rsid w:val="3A452B24"/>
    <w:rsid w:val="3A5C015B"/>
    <w:rsid w:val="3AA7643F"/>
    <w:rsid w:val="3AB3140E"/>
    <w:rsid w:val="3AC91D95"/>
    <w:rsid w:val="3B3A2AE4"/>
    <w:rsid w:val="3BA53FC3"/>
    <w:rsid w:val="3BA6173A"/>
    <w:rsid w:val="3BC37CD2"/>
    <w:rsid w:val="3BC42A04"/>
    <w:rsid w:val="3BE16F29"/>
    <w:rsid w:val="3C0712D5"/>
    <w:rsid w:val="3C2764AB"/>
    <w:rsid w:val="3C47789B"/>
    <w:rsid w:val="3C9263F5"/>
    <w:rsid w:val="3C950390"/>
    <w:rsid w:val="3CC41F51"/>
    <w:rsid w:val="3CD6435A"/>
    <w:rsid w:val="3D1C37EF"/>
    <w:rsid w:val="3D1C3E19"/>
    <w:rsid w:val="3D2D2E53"/>
    <w:rsid w:val="3D4E1025"/>
    <w:rsid w:val="3D882932"/>
    <w:rsid w:val="3DB7441C"/>
    <w:rsid w:val="3E557856"/>
    <w:rsid w:val="3E7B7080"/>
    <w:rsid w:val="3EA47279"/>
    <w:rsid w:val="3EFA1A59"/>
    <w:rsid w:val="3F474EC9"/>
    <w:rsid w:val="3FB404B7"/>
    <w:rsid w:val="40847CF7"/>
    <w:rsid w:val="408A6FD2"/>
    <w:rsid w:val="409E4FAA"/>
    <w:rsid w:val="40B62B10"/>
    <w:rsid w:val="4104329B"/>
    <w:rsid w:val="41297091"/>
    <w:rsid w:val="416447F9"/>
    <w:rsid w:val="41CB25E3"/>
    <w:rsid w:val="41EF44F3"/>
    <w:rsid w:val="42352F3A"/>
    <w:rsid w:val="42471CD0"/>
    <w:rsid w:val="42A244A7"/>
    <w:rsid w:val="42C33F43"/>
    <w:rsid w:val="431314C7"/>
    <w:rsid w:val="432A4B67"/>
    <w:rsid w:val="434F3DCF"/>
    <w:rsid w:val="435470E3"/>
    <w:rsid w:val="436F2F92"/>
    <w:rsid w:val="43C62A01"/>
    <w:rsid w:val="43D94997"/>
    <w:rsid w:val="43E571BB"/>
    <w:rsid w:val="43EA6343"/>
    <w:rsid w:val="449D7742"/>
    <w:rsid w:val="44AF440D"/>
    <w:rsid w:val="459E355A"/>
    <w:rsid w:val="46181983"/>
    <w:rsid w:val="461845F4"/>
    <w:rsid w:val="46584041"/>
    <w:rsid w:val="46A23E97"/>
    <w:rsid w:val="46A91EF8"/>
    <w:rsid w:val="46FE476C"/>
    <w:rsid w:val="47450B7C"/>
    <w:rsid w:val="475834FB"/>
    <w:rsid w:val="47AB1AC5"/>
    <w:rsid w:val="4807584A"/>
    <w:rsid w:val="488B403A"/>
    <w:rsid w:val="48A4670F"/>
    <w:rsid w:val="48DE36D8"/>
    <w:rsid w:val="48EA5E75"/>
    <w:rsid w:val="48F744BF"/>
    <w:rsid w:val="491E7B8E"/>
    <w:rsid w:val="497F43B1"/>
    <w:rsid w:val="49A324F9"/>
    <w:rsid w:val="49E454FF"/>
    <w:rsid w:val="49FA0112"/>
    <w:rsid w:val="4A474A44"/>
    <w:rsid w:val="4B2E731D"/>
    <w:rsid w:val="4B795042"/>
    <w:rsid w:val="4BF91F12"/>
    <w:rsid w:val="4C0B3F96"/>
    <w:rsid w:val="4C1C3916"/>
    <w:rsid w:val="4CB13CD3"/>
    <w:rsid w:val="4CC44A8F"/>
    <w:rsid w:val="4CF5779B"/>
    <w:rsid w:val="4CFE496A"/>
    <w:rsid w:val="4DC63C19"/>
    <w:rsid w:val="4E5651B3"/>
    <w:rsid w:val="4E6046F0"/>
    <w:rsid w:val="4E923F2B"/>
    <w:rsid w:val="4EA55D35"/>
    <w:rsid w:val="4EE361F2"/>
    <w:rsid w:val="4F223CB9"/>
    <w:rsid w:val="4F5430A2"/>
    <w:rsid w:val="501B7691"/>
    <w:rsid w:val="505C41D9"/>
    <w:rsid w:val="51085CB2"/>
    <w:rsid w:val="51515C00"/>
    <w:rsid w:val="51594E70"/>
    <w:rsid w:val="51A5015D"/>
    <w:rsid w:val="51AB4F15"/>
    <w:rsid w:val="51CE1886"/>
    <w:rsid w:val="51CF38E7"/>
    <w:rsid w:val="51DC17BE"/>
    <w:rsid w:val="52230BA4"/>
    <w:rsid w:val="5226318A"/>
    <w:rsid w:val="52787564"/>
    <w:rsid w:val="52D024CD"/>
    <w:rsid w:val="52E2695B"/>
    <w:rsid w:val="52EF7280"/>
    <w:rsid w:val="52FE33F2"/>
    <w:rsid w:val="53062217"/>
    <w:rsid w:val="53450C91"/>
    <w:rsid w:val="53611D85"/>
    <w:rsid w:val="53DC460D"/>
    <w:rsid w:val="53EB3E98"/>
    <w:rsid w:val="5493171A"/>
    <w:rsid w:val="54BE03CA"/>
    <w:rsid w:val="54C61DFC"/>
    <w:rsid w:val="558D04BB"/>
    <w:rsid w:val="55BA5146"/>
    <w:rsid w:val="55DE5E03"/>
    <w:rsid w:val="560F07A9"/>
    <w:rsid w:val="562137CD"/>
    <w:rsid w:val="562276BF"/>
    <w:rsid w:val="567923CF"/>
    <w:rsid w:val="57017CFD"/>
    <w:rsid w:val="571C6953"/>
    <w:rsid w:val="576A65BE"/>
    <w:rsid w:val="577021B8"/>
    <w:rsid w:val="57895047"/>
    <w:rsid w:val="57D25FB6"/>
    <w:rsid w:val="58023249"/>
    <w:rsid w:val="587075ED"/>
    <w:rsid w:val="58926D52"/>
    <w:rsid w:val="58DE0F50"/>
    <w:rsid w:val="59243B71"/>
    <w:rsid w:val="594E3EBB"/>
    <w:rsid w:val="5977042B"/>
    <w:rsid w:val="59B35B2E"/>
    <w:rsid w:val="5A1F1D75"/>
    <w:rsid w:val="5A27011B"/>
    <w:rsid w:val="5A5E52D8"/>
    <w:rsid w:val="5AC6330A"/>
    <w:rsid w:val="5B035AB5"/>
    <w:rsid w:val="5B2F42EB"/>
    <w:rsid w:val="5B697018"/>
    <w:rsid w:val="5B7F3878"/>
    <w:rsid w:val="5BD21441"/>
    <w:rsid w:val="5BFF523B"/>
    <w:rsid w:val="5C2E0CFB"/>
    <w:rsid w:val="5C6F4749"/>
    <w:rsid w:val="5CD05181"/>
    <w:rsid w:val="5D29568D"/>
    <w:rsid w:val="5D457FC3"/>
    <w:rsid w:val="5DD24C40"/>
    <w:rsid w:val="5DE64D2C"/>
    <w:rsid w:val="5E5210CB"/>
    <w:rsid w:val="5EC86B28"/>
    <w:rsid w:val="5ECA0278"/>
    <w:rsid w:val="5F215BFB"/>
    <w:rsid w:val="5F5F47E8"/>
    <w:rsid w:val="5FBF0A3C"/>
    <w:rsid w:val="5FCE04BB"/>
    <w:rsid w:val="605B5414"/>
    <w:rsid w:val="60605555"/>
    <w:rsid w:val="609B3760"/>
    <w:rsid w:val="60AC77B1"/>
    <w:rsid w:val="611D16C9"/>
    <w:rsid w:val="616E5300"/>
    <w:rsid w:val="61835008"/>
    <w:rsid w:val="61D010BF"/>
    <w:rsid w:val="625445DA"/>
    <w:rsid w:val="62563760"/>
    <w:rsid w:val="62677368"/>
    <w:rsid w:val="62E5272E"/>
    <w:rsid w:val="632D5EDF"/>
    <w:rsid w:val="63FE413A"/>
    <w:rsid w:val="64687AEB"/>
    <w:rsid w:val="64E44D69"/>
    <w:rsid w:val="650830BD"/>
    <w:rsid w:val="653E6D2B"/>
    <w:rsid w:val="658F710E"/>
    <w:rsid w:val="65C85A6A"/>
    <w:rsid w:val="65CB2D6A"/>
    <w:rsid w:val="65D2382A"/>
    <w:rsid w:val="65E22512"/>
    <w:rsid w:val="66065850"/>
    <w:rsid w:val="662D4616"/>
    <w:rsid w:val="666B4508"/>
    <w:rsid w:val="66805932"/>
    <w:rsid w:val="668C1311"/>
    <w:rsid w:val="66922B54"/>
    <w:rsid w:val="66974A1E"/>
    <w:rsid w:val="66FE6B72"/>
    <w:rsid w:val="67106F2B"/>
    <w:rsid w:val="67B0055D"/>
    <w:rsid w:val="67C9029D"/>
    <w:rsid w:val="67E44F81"/>
    <w:rsid w:val="68160F13"/>
    <w:rsid w:val="683305FC"/>
    <w:rsid w:val="683658DB"/>
    <w:rsid w:val="689239E3"/>
    <w:rsid w:val="68A944CC"/>
    <w:rsid w:val="69795065"/>
    <w:rsid w:val="6A1332B9"/>
    <w:rsid w:val="6A5A2777"/>
    <w:rsid w:val="6A7C557D"/>
    <w:rsid w:val="6A99175E"/>
    <w:rsid w:val="6AB73EDC"/>
    <w:rsid w:val="6AD70134"/>
    <w:rsid w:val="6B2564F1"/>
    <w:rsid w:val="6BCC11A5"/>
    <w:rsid w:val="6BDE4C73"/>
    <w:rsid w:val="6C3736F4"/>
    <w:rsid w:val="6C5A3BC1"/>
    <w:rsid w:val="6C603804"/>
    <w:rsid w:val="6CB54AC4"/>
    <w:rsid w:val="6CD03C6B"/>
    <w:rsid w:val="6D72475A"/>
    <w:rsid w:val="6DBA097C"/>
    <w:rsid w:val="6E020F0F"/>
    <w:rsid w:val="6E4512B1"/>
    <w:rsid w:val="6E74596C"/>
    <w:rsid w:val="6E870493"/>
    <w:rsid w:val="6E917B14"/>
    <w:rsid w:val="6ED9427D"/>
    <w:rsid w:val="6EF86F49"/>
    <w:rsid w:val="6F0A2068"/>
    <w:rsid w:val="6F802E48"/>
    <w:rsid w:val="6F98537E"/>
    <w:rsid w:val="6FC97097"/>
    <w:rsid w:val="70630596"/>
    <w:rsid w:val="70804BF9"/>
    <w:rsid w:val="70845D3A"/>
    <w:rsid w:val="70990BB1"/>
    <w:rsid w:val="7104679E"/>
    <w:rsid w:val="710B4F77"/>
    <w:rsid w:val="715E56A1"/>
    <w:rsid w:val="718865AF"/>
    <w:rsid w:val="71F626D3"/>
    <w:rsid w:val="72085AFE"/>
    <w:rsid w:val="72183D2B"/>
    <w:rsid w:val="72F85456"/>
    <w:rsid w:val="7316354E"/>
    <w:rsid w:val="733C0E2D"/>
    <w:rsid w:val="734F3741"/>
    <w:rsid w:val="73853B6C"/>
    <w:rsid w:val="73FF7686"/>
    <w:rsid w:val="74125B68"/>
    <w:rsid w:val="749E2120"/>
    <w:rsid w:val="75195E68"/>
    <w:rsid w:val="756A1817"/>
    <w:rsid w:val="76074CF2"/>
    <w:rsid w:val="760F1D03"/>
    <w:rsid w:val="76D31CE4"/>
    <w:rsid w:val="76DC12CF"/>
    <w:rsid w:val="77046080"/>
    <w:rsid w:val="770B02AF"/>
    <w:rsid w:val="770D47CD"/>
    <w:rsid w:val="77435D88"/>
    <w:rsid w:val="778A1791"/>
    <w:rsid w:val="779E08FD"/>
    <w:rsid w:val="781A0584"/>
    <w:rsid w:val="78405853"/>
    <w:rsid w:val="78C45FC2"/>
    <w:rsid w:val="78D208EF"/>
    <w:rsid w:val="78D967E9"/>
    <w:rsid w:val="79112F97"/>
    <w:rsid w:val="79290E63"/>
    <w:rsid w:val="798267C9"/>
    <w:rsid w:val="79B2136B"/>
    <w:rsid w:val="7A395281"/>
    <w:rsid w:val="7AB26FD6"/>
    <w:rsid w:val="7B456605"/>
    <w:rsid w:val="7B8B513A"/>
    <w:rsid w:val="7B94153F"/>
    <w:rsid w:val="7C145FD5"/>
    <w:rsid w:val="7C4C5616"/>
    <w:rsid w:val="7CE64C72"/>
    <w:rsid w:val="7D0759DF"/>
    <w:rsid w:val="7E2B0ADC"/>
    <w:rsid w:val="7E40746D"/>
    <w:rsid w:val="7E665497"/>
    <w:rsid w:val="7E8C2C8B"/>
    <w:rsid w:val="7F4F217A"/>
    <w:rsid w:val="7F8C381E"/>
    <w:rsid w:val="7F9359C5"/>
    <w:rsid w:val="7FD841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rPr>
      <w:kern w:val="0"/>
      <w:sz w:val="20"/>
    </w:rPr>
  </w:style>
  <w:style w:type="paragraph" w:styleId="3">
    <w:name w:val="Balloon Text"/>
    <w:basedOn w:val="1"/>
    <w:link w:val="14"/>
    <w:semiHidden/>
    <w:qFormat/>
    <w:uiPriority w:val="99"/>
    <w:rPr>
      <w:kern w:val="0"/>
      <w:sz w:val="2"/>
    </w:r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paragraph" w:styleId="7">
    <w:name w:val="annotation subject"/>
    <w:basedOn w:val="2"/>
    <w:next w:val="2"/>
    <w:link w:val="22"/>
    <w:semiHidden/>
    <w:unhideWhenUsed/>
    <w:uiPriority w:val="99"/>
    <w:rPr>
      <w:b/>
      <w:bCs/>
      <w:kern w:val="2"/>
      <w:sz w:val="21"/>
    </w:rPr>
  </w:style>
  <w:style w:type="character" w:styleId="10">
    <w:name w:val="FollowedHyperlink"/>
    <w:qFormat/>
    <w:uiPriority w:val="99"/>
    <w:rPr>
      <w:rFonts w:ascii="微软雅黑" w:hAnsi="微软雅黑" w:eastAsia="微软雅黑" w:cs="Times New Roman"/>
      <w:color w:val="333333"/>
      <w:u w:val="none"/>
    </w:rPr>
  </w:style>
  <w:style w:type="character" w:styleId="11">
    <w:name w:val="Hyperlink"/>
    <w:qFormat/>
    <w:uiPriority w:val="99"/>
    <w:rPr>
      <w:rFonts w:ascii="微软雅黑" w:hAnsi="微软雅黑" w:eastAsia="微软雅黑" w:cs="Times New Roman"/>
      <w:color w:val="333333"/>
      <w:u w:val="none"/>
    </w:rPr>
  </w:style>
  <w:style w:type="character" w:styleId="12">
    <w:name w:val="annotation reference"/>
    <w:qFormat/>
    <w:uiPriority w:val="99"/>
    <w:rPr>
      <w:rFonts w:cs="Times New Roman"/>
      <w:sz w:val="21"/>
    </w:rPr>
  </w:style>
  <w:style w:type="character" w:customStyle="1" w:styleId="13">
    <w:name w:val="批注文字 Char"/>
    <w:link w:val="2"/>
    <w:semiHidden/>
    <w:qFormat/>
    <w:locked/>
    <w:uiPriority w:val="99"/>
    <w:rPr>
      <w:rFonts w:ascii="Times New Roman" w:hAnsi="Times New Roman"/>
      <w:sz w:val="24"/>
    </w:rPr>
  </w:style>
  <w:style w:type="character" w:customStyle="1" w:styleId="14">
    <w:name w:val="批注框文本 Char"/>
    <w:link w:val="3"/>
    <w:semiHidden/>
    <w:qFormat/>
    <w:locked/>
    <w:uiPriority w:val="99"/>
    <w:rPr>
      <w:rFonts w:ascii="Times New Roman" w:hAnsi="Times New Roman"/>
      <w:sz w:val="2"/>
    </w:rPr>
  </w:style>
  <w:style w:type="character" w:customStyle="1" w:styleId="15">
    <w:name w:val="span-title"/>
    <w:qFormat/>
    <w:uiPriority w:val="99"/>
    <w:rPr>
      <w:bdr w:val="single" w:color="CCCCCC" w:sz="6" w:space="0"/>
      <w:shd w:val="clear" w:color="auto" w:fill="FFFFFF"/>
    </w:rPr>
  </w:style>
  <w:style w:type="character" w:customStyle="1" w:styleId="16">
    <w:name w:val="active2"/>
    <w:qFormat/>
    <w:uiPriority w:val="99"/>
    <w:rPr>
      <w:b/>
      <w:color w:val="FF861B"/>
    </w:rPr>
  </w:style>
  <w:style w:type="character" w:customStyle="1" w:styleId="17">
    <w:name w:val="before"/>
    <w:qFormat/>
    <w:uiPriority w:val="99"/>
    <w:rPr>
      <w:rFonts w:ascii="LigatureSymbols" w:hAnsi="LigatureSymbols"/>
      <w:sz w:val="120"/>
    </w:rPr>
  </w:style>
  <w:style w:type="character" w:customStyle="1" w:styleId="18">
    <w:name w:val="in2"/>
    <w:uiPriority w:val="99"/>
  </w:style>
  <w:style w:type="character" w:customStyle="1" w:styleId="19">
    <w:name w:val="in"/>
    <w:qFormat/>
    <w:uiPriority w:val="99"/>
  </w:style>
  <w:style w:type="character" w:customStyle="1" w:styleId="20">
    <w:name w:val="页眉 Char"/>
    <w:link w:val="5"/>
    <w:qFormat/>
    <w:uiPriority w:val="99"/>
    <w:rPr>
      <w:rFonts w:ascii="Times New Roman" w:hAnsi="Times New Roman"/>
      <w:sz w:val="18"/>
      <w:szCs w:val="18"/>
    </w:rPr>
  </w:style>
  <w:style w:type="character" w:customStyle="1" w:styleId="21">
    <w:name w:val="页脚 Char"/>
    <w:link w:val="4"/>
    <w:qFormat/>
    <w:uiPriority w:val="99"/>
    <w:rPr>
      <w:rFonts w:ascii="Times New Roman" w:hAnsi="Times New Roman"/>
      <w:sz w:val="18"/>
      <w:szCs w:val="18"/>
    </w:rPr>
  </w:style>
  <w:style w:type="character" w:customStyle="1" w:styleId="22">
    <w:name w:val="批注主题 Char"/>
    <w:link w:val="7"/>
    <w:semiHidden/>
    <w:qFormat/>
    <w:uiPriority w:val="99"/>
    <w:rPr>
      <w:rFonts w:ascii="Times New Roman" w:hAnsi="Times New Roman"/>
      <w:b/>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132</Words>
  <Characters>757</Characters>
  <Lines>6</Lines>
  <Paragraphs>1</Paragraphs>
  <TotalTime>64</TotalTime>
  <ScaleCrop>false</ScaleCrop>
  <LinksUpToDate>false</LinksUpToDate>
  <CharactersWithSpaces>888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2021-03-04T02:48:00Z</dcterms:created>
  <dc:creator>马立翠</dc:creator>
  <cp:lastModifiedBy>马立翠</cp:lastModifiedBy>
  <dcterms:modified xsi:type="dcterms:W3CDTF">2021-03-05T07:34:19Z</dcterms:modified>
  <dc:title>重组胶原蛋白类医疗产品分类界定原则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