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E80629" w:rsidRPr="00E80629" w:rsidRDefault="00E80629" w:rsidP="00E80629">
      <w:pPr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E80629">
        <w:rPr>
          <w:rFonts w:asciiTheme="minorEastAsia" w:eastAsiaTheme="minorEastAsia" w:hAnsiTheme="minorEastAsia"/>
          <w:sz w:val="28"/>
          <w:szCs w:val="28"/>
        </w:rPr>
        <w:fldChar w:fldCharType="begin"/>
      </w:r>
      <w:r w:rsidRPr="00E80629">
        <w:rPr>
          <w:rFonts w:asciiTheme="minorEastAsia" w:eastAsiaTheme="minorEastAsia" w:hAnsiTheme="minorEastAsia"/>
          <w:sz w:val="28"/>
          <w:szCs w:val="28"/>
        </w:rPr>
        <w:instrText>HYPERLINK "http://www.nifdc.org.cn/directory/web/WS02/CL0883/9456.html"</w:instrText>
      </w:r>
      <w:r w:rsidRPr="00E80629">
        <w:rPr>
          <w:rFonts w:asciiTheme="minorEastAsia" w:eastAsiaTheme="minorEastAsia" w:hAnsiTheme="minorEastAsia"/>
          <w:sz w:val="28"/>
          <w:szCs w:val="28"/>
        </w:rPr>
        <w:fldChar w:fldCharType="separate"/>
      </w:r>
      <w:r w:rsidRPr="00E80629">
        <w:rPr>
          <w:rFonts w:asciiTheme="minorEastAsia" w:eastAsiaTheme="minorEastAsia" w:hAnsiTheme="minorEastAsia" w:hint="eastAsia"/>
          <w:b/>
          <w:sz w:val="28"/>
          <w:szCs w:val="28"/>
        </w:rPr>
        <w:t>丁</w:t>
      </w:r>
      <w:proofErr w:type="gramStart"/>
      <w:r w:rsidRPr="00E80629">
        <w:rPr>
          <w:rFonts w:asciiTheme="minorEastAsia" w:eastAsiaTheme="minorEastAsia" w:hAnsiTheme="minorEastAsia" w:hint="eastAsia"/>
          <w:b/>
          <w:sz w:val="28"/>
          <w:szCs w:val="28"/>
        </w:rPr>
        <w:t>蔻</w:t>
      </w:r>
      <w:proofErr w:type="gramEnd"/>
      <w:r w:rsidRPr="00E80629">
        <w:rPr>
          <w:rFonts w:asciiTheme="minorEastAsia" w:eastAsiaTheme="minorEastAsia" w:hAnsiTheme="minorEastAsia" w:hint="eastAsia"/>
          <w:b/>
          <w:sz w:val="28"/>
          <w:szCs w:val="28"/>
        </w:rPr>
        <w:t>理中丸中</w:t>
      </w:r>
      <w:r w:rsidRPr="00E80629">
        <w:rPr>
          <w:rFonts w:asciiTheme="minorEastAsia" w:eastAsiaTheme="minorEastAsia" w:hAnsiTheme="minorEastAsia"/>
          <w:sz w:val="28"/>
          <w:szCs w:val="28"/>
        </w:rPr>
        <w:fldChar w:fldCharType="end"/>
      </w:r>
      <w:r w:rsidRPr="00E80629">
        <w:rPr>
          <w:rFonts w:asciiTheme="minorEastAsia" w:eastAsiaTheme="minorEastAsia" w:hAnsiTheme="minorEastAsia" w:hint="eastAsia"/>
          <w:b/>
          <w:sz w:val="28"/>
          <w:szCs w:val="28"/>
        </w:rPr>
        <w:t>丁香酚</w:t>
      </w:r>
      <w:r w:rsidRPr="00E80629">
        <w:rPr>
          <w:rFonts w:asciiTheme="minorEastAsia" w:eastAsiaTheme="minorEastAsia" w:hAnsiTheme="minorEastAsia"/>
          <w:b/>
          <w:sz w:val="28"/>
          <w:szCs w:val="28"/>
        </w:rPr>
        <w:t>含量测定</w:t>
      </w:r>
      <w:r w:rsidRPr="00E80629">
        <w:rPr>
          <w:rFonts w:asciiTheme="minorEastAsia" w:eastAsiaTheme="minorEastAsia" w:hAnsiTheme="minorEastAsia" w:hint="eastAsia"/>
          <w:b/>
          <w:sz w:val="28"/>
          <w:szCs w:val="28"/>
        </w:rPr>
        <w:t>方法</w:t>
      </w:r>
    </w:p>
    <w:bookmarkEnd w:id="0"/>
    <w:p w:rsidR="00E80629" w:rsidRDefault="00E80629" w:rsidP="00E80629">
      <w:pPr>
        <w:spacing w:line="360" w:lineRule="auto"/>
        <w:ind w:firstLineChars="196" w:firstLine="472"/>
        <w:rPr>
          <w:sz w:val="24"/>
        </w:rPr>
      </w:pPr>
      <w:r>
        <w:rPr>
          <w:rStyle w:val="a5"/>
          <w:color w:val="000000"/>
          <w:sz w:val="24"/>
        </w:rPr>
        <w:t>【</w:t>
      </w:r>
      <w:r>
        <w:rPr>
          <w:rStyle w:val="a5"/>
          <w:rFonts w:eastAsia="黑体" w:hAnsi="黑体"/>
          <w:b w:val="0"/>
          <w:color w:val="000000"/>
          <w:sz w:val="24"/>
        </w:rPr>
        <w:t>含量测定</w:t>
      </w:r>
      <w:r>
        <w:rPr>
          <w:rStyle w:val="a5"/>
          <w:color w:val="000000"/>
          <w:sz w:val="24"/>
        </w:rPr>
        <w:t>】</w:t>
      </w:r>
      <w:r>
        <w:rPr>
          <w:rStyle w:val="a5"/>
          <w:color w:val="000000"/>
          <w:sz w:val="24"/>
        </w:rPr>
        <w:t xml:space="preserve"> </w:t>
      </w:r>
      <w:r>
        <w:rPr>
          <w:rFonts w:hint="eastAsia"/>
          <w:sz w:val="24"/>
        </w:rPr>
        <w:t>照气相色谱法（通则</w:t>
      </w:r>
      <w:r>
        <w:rPr>
          <w:rFonts w:hint="eastAsia"/>
          <w:sz w:val="24"/>
        </w:rPr>
        <w:t>0521</w:t>
      </w:r>
      <w:r>
        <w:rPr>
          <w:rFonts w:hint="eastAsia"/>
          <w:sz w:val="24"/>
        </w:rPr>
        <w:t>）测定。</w:t>
      </w:r>
    </w:p>
    <w:p w:rsidR="00E80629" w:rsidRDefault="00E80629" w:rsidP="00E80629">
      <w:pPr>
        <w:spacing w:line="360" w:lineRule="auto"/>
        <w:ind w:firstLineChars="200" w:firstLine="482"/>
        <w:rPr>
          <w:bCs/>
          <w:sz w:val="24"/>
        </w:rPr>
      </w:pPr>
      <w:r>
        <w:rPr>
          <w:b/>
          <w:sz w:val="24"/>
        </w:rPr>
        <w:t>色谱条件与系统适用性试验</w:t>
      </w:r>
      <w:r>
        <w:rPr>
          <w:b/>
          <w:sz w:val="24"/>
        </w:rPr>
        <w:t xml:space="preserve"> </w:t>
      </w:r>
      <w:r>
        <w:rPr>
          <w:bCs/>
          <w:sz w:val="24"/>
        </w:rPr>
        <w:t>聚乙二醇</w:t>
      </w:r>
      <w:r>
        <w:rPr>
          <w:bCs/>
          <w:sz w:val="24"/>
        </w:rPr>
        <w:t xml:space="preserve">20000 (PEG-20M) </w:t>
      </w:r>
      <w:r>
        <w:rPr>
          <w:bCs/>
          <w:sz w:val="24"/>
        </w:rPr>
        <w:t>毛细管色谱柱（内径为</w:t>
      </w:r>
      <w:r>
        <w:rPr>
          <w:bCs/>
          <w:sz w:val="24"/>
        </w:rPr>
        <w:t xml:space="preserve">0.32mm, </w:t>
      </w:r>
      <w:r>
        <w:rPr>
          <w:bCs/>
          <w:sz w:val="24"/>
        </w:rPr>
        <w:t>柱长为</w:t>
      </w:r>
      <w:r>
        <w:rPr>
          <w:bCs/>
          <w:sz w:val="24"/>
        </w:rPr>
        <w:t xml:space="preserve">30m, </w:t>
      </w:r>
      <w:r>
        <w:rPr>
          <w:bCs/>
          <w:sz w:val="24"/>
        </w:rPr>
        <w:t>膜厚度为</w:t>
      </w:r>
      <w:r>
        <w:rPr>
          <w:bCs/>
          <w:sz w:val="24"/>
        </w:rPr>
        <w:t xml:space="preserve">0. 25μm); </w:t>
      </w:r>
      <w:proofErr w:type="gramStart"/>
      <w:r>
        <w:rPr>
          <w:bCs/>
          <w:sz w:val="24"/>
        </w:rPr>
        <w:t>柱温为</w:t>
      </w:r>
      <w:proofErr w:type="gramEnd"/>
      <w:r>
        <w:rPr>
          <w:bCs/>
          <w:sz w:val="24"/>
        </w:rPr>
        <w:t>程序升温，温度为</w:t>
      </w:r>
      <w:r>
        <w:rPr>
          <w:bCs/>
          <w:sz w:val="24"/>
        </w:rPr>
        <w:t>180°C</w:t>
      </w:r>
      <w:r>
        <w:rPr>
          <w:bCs/>
          <w:sz w:val="24"/>
        </w:rPr>
        <w:t>。理论板数按丁香</w:t>
      </w:r>
      <w:proofErr w:type="gramStart"/>
      <w:r>
        <w:rPr>
          <w:bCs/>
          <w:sz w:val="24"/>
        </w:rPr>
        <w:t>酚峰计算</w:t>
      </w:r>
      <w:proofErr w:type="gramEnd"/>
      <w:r>
        <w:rPr>
          <w:bCs/>
          <w:sz w:val="24"/>
        </w:rPr>
        <w:t>应不低于</w:t>
      </w:r>
      <w:r>
        <w:rPr>
          <w:bCs/>
          <w:sz w:val="24"/>
        </w:rPr>
        <w:t>8000</w:t>
      </w:r>
      <w:r>
        <w:rPr>
          <w:bCs/>
          <w:sz w:val="24"/>
        </w:rPr>
        <w:t>。</w:t>
      </w:r>
    </w:p>
    <w:p w:rsidR="00E80629" w:rsidRDefault="00E80629" w:rsidP="00E80629">
      <w:pPr>
        <w:spacing w:line="360" w:lineRule="auto"/>
        <w:ind w:firstLineChars="200" w:firstLine="482"/>
        <w:rPr>
          <w:sz w:val="24"/>
        </w:rPr>
      </w:pPr>
      <w:r>
        <w:rPr>
          <w:b/>
          <w:bCs/>
          <w:sz w:val="24"/>
        </w:rPr>
        <w:t>校正因子的测定</w:t>
      </w:r>
      <w:r>
        <w:rPr>
          <w:sz w:val="24"/>
        </w:rPr>
        <w:t xml:space="preserve">  </w:t>
      </w:r>
      <w:r>
        <w:rPr>
          <w:sz w:val="24"/>
        </w:rPr>
        <w:t>取丁香</w:t>
      </w:r>
      <w:proofErr w:type="gramStart"/>
      <w:r>
        <w:rPr>
          <w:sz w:val="24"/>
        </w:rPr>
        <w:t>酚</w:t>
      </w:r>
      <w:proofErr w:type="gramEnd"/>
      <w:r>
        <w:rPr>
          <w:sz w:val="24"/>
        </w:rPr>
        <w:t>对照品及桂皮</w:t>
      </w:r>
      <w:proofErr w:type="gramStart"/>
      <w:r>
        <w:rPr>
          <w:sz w:val="24"/>
        </w:rPr>
        <w:t>醛</w:t>
      </w:r>
      <w:proofErr w:type="gramEnd"/>
      <w:r>
        <w:rPr>
          <w:sz w:val="24"/>
        </w:rPr>
        <w:t>内标物质适量，精密称定，分别加正已烷制成每</w:t>
      </w:r>
      <w:r>
        <w:rPr>
          <w:sz w:val="24"/>
        </w:rPr>
        <w:t xml:space="preserve">1ml </w:t>
      </w:r>
      <w:r>
        <w:rPr>
          <w:sz w:val="24"/>
        </w:rPr>
        <w:t>含</w:t>
      </w:r>
      <w:r>
        <w:rPr>
          <w:sz w:val="24"/>
        </w:rPr>
        <w:t>1mg</w:t>
      </w:r>
      <w:r>
        <w:rPr>
          <w:sz w:val="24"/>
        </w:rPr>
        <w:t>的对照品溶液及内标溶液，精密量取上述两种溶液各</w:t>
      </w:r>
      <w:r>
        <w:rPr>
          <w:sz w:val="24"/>
        </w:rPr>
        <w:t>2 ml</w:t>
      </w:r>
      <w:r>
        <w:rPr>
          <w:sz w:val="24"/>
        </w:rPr>
        <w:t>，置</w:t>
      </w:r>
      <w:r>
        <w:rPr>
          <w:sz w:val="24"/>
        </w:rPr>
        <w:t>50ml</w:t>
      </w:r>
      <w:r>
        <w:rPr>
          <w:sz w:val="24"/>
        </w:rPr>
        <w:t>量瓶中，加正已烷稀释至刻度，摇匀，吸取</w:t>
      </w:r>
      <w:r>
        <w:rPr>
          <w:sz w:val="24"/>
        </w:rPr>
        <w:t xml:space="preserve">1μl </w:t>
      </w:r>
      <w:r>
        <w:rPr>
          <w:sz w:val="24"/>
        </w:rPr>
        <w:t>，注入气相色谱仪，计算校正因子。</w:t>
      </w:r>
    </w:p>
    <w:p w:rsidR="00E80629" w:rsidRDefault="00E80629" w:rsidP="00E80629">
      <w:pPr>
        <w:spacing w:line="360" w:lineRule="auto"/>
        <w:ind w:firstLineChars="200" w:firstLine="482"/>
        <w:rPr>
          <w:bCs/>
          <w:sz w:val="24"/>
        </w:rPr>
      </w:pPr>
      <w:proofErr w:type="gramStart"/>
      <w:r>
        <w:rPr>
          <w:b/>
          <w:sz w:val="24"/>
        </w:rPr>
        <w:t>供试品溶液</w:t>
      </w:r>
      <w:proofErr w:type="gramEnd"/>
      <w:r>
        <w:rPr>
          <w:b/>
          <w:sz w:val="24"/>
        </w:rPr>
        <w:t>的制备</w:t>
      </w:r>
      <w:r>
        <w:rPr>
          <w:b/>
          <w:sz w:val="24"/>
        </w:rPr>
        <w:t xml:space="preserve">  </w:t>
      </w:r>
      <w:r>
        <w:rPr>
          <w:bCs/>
          <w:sz w:val="24"/>
        </w:rPr>
        <w:t>取重量差异项下的大蜜丸，剪碎，或取装量差异项下的水丸，粉碎，取约</w:t>
      </w:r>
      <w:r>
        <w:rPr>
          <w:bCs/>
          <w:sz w:val="24"/>
        </w:rPr>
        <w:t>1g</w:t>
      </w:r>
      <w:r>
        <w:rPr>
          <w:bCs/>
          <w:sz w:val="24"/>
        </w:rPr>
        <w:t>，精密称定，</w:t>
      </w:r>
      <w:proofErr w:type="gramStart"/>
      <w:r>
        <w:rPr>
          <w:bCs/>
          <w:sz w:val="24"/>
        </w:rPr>
        <w:t>置具塞</w:t>
      </w:r>
      <w:proofErr w:type="gramEnd"/>
      <w:r>
        <w:rPr>
          <w:bCs/>
          <w:sz w:val="24"/>
        </w:rPr>
        <w:t>锥形瓶中，加水</w:t>
      </w:r>
      <w:r>
        <w:rPr>
          <w:bCs/>
          <w:sz w:val="24"/>
        </w:rPr>
        <w:t>20 ml</w:t>
      </w:r>
      <w:r>
        <w:rPr>
          <w:bCs/>
          <w:sz w:val="24"/>
        </w:rPr>
        <w:t>，浸泡</w:t>
      </w:r>
      <w:r>
        <w:rPr>
          <w:bCs/>
          <w:sz w:val="24"/>
        </w:rPr>
        <w:t>20</w:t>
      </w:r>
      <w:r>
        <w:rPr>
          <w:bCs/>
          <w:sz w:val="24"/>
        </w:rPr>
        <w:t>分钟，超声处理（功率</w:t>
      </w:r>
      <w:r>
        <w:rPr>
          <w:bCs/>
          <w:sz w:val="24"/>
        </w:rPr>
        <w:t>250W</w:t>
      </w:r>
      <w:r>
        <w:rPr>
          <w:bCs/>
          <w:sz w:val="24"/>
        </w:rPr>
        <w:t>，频率</w:t>
      </w:r>
      <w:r>
        <w:rPr>
          <w:bCs/>
          <w:sz w:val="24"/>
        </w:rPr>
        <w:t>53KHz</w:t>
      </w:r>
      <w:r>
        <w:rPr>
          <w:bCs/>
          <w:sz w:val="24"/>
        </w:rPr>
        <w:t>）</w:t>
      </w:r>
      <w:r>
        <w:rPr>
          <w:bCs/>
          <w:sz w:val="24"/>
        </w:rPr>
        <w:t>30</w:t>
      </w:r>
      <w:r>
        <w:rPr>
          <w:bCs/>
          <w:sz w:val="24"/>
        </w:rPr>
        <w:t>分钟，放冷，移至分液漏斗中，用正</w:t>
      </w:r>
      <w:proofErr w:type="gramStart"/>
      <w:r>
        <w:rPr>
          <w:bCs/>
          <w:sz w:val="24"/>
        </w:rPr>
        <w:t>已烷振摇</w:t>
      </w:r>
      <w:proofErr w:type="gramEnd"/>
      <w:r>
        <w:rPr>
          <w:bCs/>
          <w:sz w:val="24"/>
        </w:rPr>
        <w:t>提取</w:t>
      </w:r>
      <w:r>
        <w:rPr>
          <w:bCs/>
          <w:sz w:val="24"/>
        </w:rPr>
        <w:t>3</w:t>
      </w:r>
      <w:r>
        <w:rPr>
          <w:bCs/>
          <w:sz w:val="24"/>
        </w:rPr>
        <w:t>次（</w:t>
      </w:r>
      <w:r>
        <w:rPr>
          <w:bCs/>
          <w:sz w:val="24"/>
        </w:rPr>
        <w:t>20ml</w:t>
      </w:r>
      <w:r>
        <w:rPr>
          <w:bCs/>
          <w:sz w:val="24"/>
        </w:rPr>
        <w:t>，</w:t>
      </w:r>
      <w:r>
        <w:rPr>
          <w:bCs/>
          <w:sz w:val="24"/>
        </w:rPr>
        <w:t>10ml</w:t>
      </w:r>
      <w:r>
        <w:rPr>
          <w:bCs/>
          <w:sz w:val="24"/>
        </w:rPr>
        <w:t>，</w:t>
      </w:r>
      <w:r>
        <w:rPr>
          <w:bCs/>
          <w:sz w:val="24"/>
        </w:rPr>
        <w:t>10ml</w:t>
      </w:r>
      <w:r>
        <w:rPr>
          <w:bCs/>
          <w:sz w:val="24"/>
        </w:rPr>
        <w:t>），</w:t>
      </w:r>
      <w:proofErr w:type="gramStart"/>
      <w:r>
        <w:rPr>
          <w:bCs/>
          <w:sz w:val="24"/>
        </w:rPr>
        <w:t>合并正</w:t>
      </w:r>
      <w:proofErr w:type="gramEnd"/>
      <w:r>
        <w:rPr>
          <w:bCs/>
          <w:sz w:val="24"/>
        </w:rPr>
        <w:t>已烷液，置</w:t>
      </w:r>
      <w:r>
        <w:rPr>
          <w:bCs/>
          <w:sz w:val="24"/>
        </w:rPr>
        <w:t>50 ml</w:t>
      </w:r>
      <w:r>
        <w:rPr>
          <w:bCs/>
          <w:sz w:val="24"/>
        </w:rPr>
        <w:t>量瓶中，精密加入内标溶液</w:t>
      </w:r>
      <w:r>
        <w:rPr>
          <w:bCs/>
          <w:sz w:val="24"/>
        </w:rPr>
        <w:t>2ml</w:t>
      </w:r>
      <w:r>
        <w:rPr>
          <w:bCs/>
          <w:sz w:val="24"/>
        </w:rPr>
        <w:t>，加正已烷稀释至刻度，摇匀，滤过，</w:t>
      </w:r>
      <w:proofErr w:type="gramStart"/>
      <w:r>
        <w:rPr>
          <w:bCs/>
          <w:sz w:val="24"/>
        </w:rPr>
        <w:t>取续滤液</w:t>
      </w:r>
      <w:proofErr w:type="gramEnd"/>
      <w:r>
        <w:rPr>
          <w:bCs/>
          <w:sz w:val="24"/>
        </w:rPr>
        <w:t>，即得。</w:t>
      </w:r>
    </w:p>
    <w:p w:rsidR="00E80629" w:rsidRDefault="00E80629" w:rsidP="00E80629">
      <w:pPr>
        <w:spacing w:line="360" w:lineRule="auto"/>
        <w:ind w:firstLineChars="200" w:firstLine="482"/>
        <w:rPr>
          <w:bCs/>
          <w:sz w:val="24"/>
        </w:rPr>
      </w:pPr>
      <w:r>
        <w:rPr>
          <w:b/>
          <w:sz w:val="24"/>
        </w:rPr>
        <w:t>测定法</w:t>
      </w:r>
      <w:r>
        <w:rPr>
          <w:bCs/>
          <w:sz w:val="24"/>
        </w:rPr>
        <w:t xml:space="preserve">  </w:t>
      </w:r>
      <w:r>
        <w:rPr>
          <w:bCs/>
          <w:sz w:val="24"/>
        </w:rPr>
        <w:t>分别精密吸取对照品溶液与</w:t>
      </w:r>
      <w:proofErr w:type="gramStart"/>
      <w:r>
        <w:rPr>
          <w:bCs/>
          <w:sz w:val="24"/>
        </w:rPr>
        <w:t>供试品溶液</w:t>
      </w:r>
      <w:proofErr w:type="gramEnd"/>
      <w:r>
        <w:rPr>
          <w:bCs/>
          <w:sz w:val="24"/>
        </w:rPr>
        <w:t>各</w:t>
      </w:r>
      <w:r>
        <w:rPr>
          <w:bCs/>
          <w:sz w:val="24"/>
        </w:rPr>
        <w:t xml:space="preserve">1μl </w:t>
      </w:r>
      <w:r>
        <w:rPr>
          <w:bCs/>
          <w:sz w:val="24"/>
        </w:rPr>
        <w:t>，注入气相色谱仪，测定，即得。</w:t>
      </w:r>
    </w:p>
    <w:p w:rsidR="00E80629" w:rsidRDefault="00E80629" w:rsidP="00E80629">
      <w:pPr>
        <w:spacing w:line="360" w:lineRule="auto"/>
        <w:ind w:firstLine="480"/>
        <w:rPr>
          <w:bCs/>
          <w:sz w:val="24"/>
        </w:rPr>
      </w:pPr>
      <w:r>
        <w:rPr>
          <w:bCs/>
          <w:sz w:val="24"/>
        </w:rPr>
        <w:t>本品每丸含丁香以丁香</w:t>
      </w:r>
      <w:proofErr w:type="gramStart"/>
      <w:r>
        <w:rPr>
          <w:bCs/>
          <w:sz w:val="24"/>
        </w:rPr>
        <w:t>酚</w:t>
      </w:r>
      <w:proofErr w:type="gramEnd"/>
      <w:r>
        <w:rPr>
          <w:bCs/>
          <w:sz w:val="24"/>
        </w:rPr>
        <w:t>（</w:t>
      </w:r>
      <w:r>
        <w:rPr>
          <w:bCs/>
          <w:sz w:val="24"/>
        </w:rPr>
        <w:t>C</w:t>
      </w:r>
      <w:r>
        <w:rPr>
          <w:bCs/>
          <w:sz w:val="24"/>
          <w:vertAlign w:val="subscript"/>
        </w:rPr>
        <w:t>10</w:t>
      </w:r>
      <w:r>
        <w:rPr>
          <w:bCs/>
          <w:sz w:val="24"/>
        </w:rPr>
        <w:t>H</w:t>
      </w:r>
      <w:r>
        <w:rPr>
          <w:bCs/>
          <w:sz w:val="24"/>
          <w:vertAlign w:val="subscript"/>
        </w:rPr>
        <w:t>10</w:t>
      </w:r>
      <w:r>
        <w:rPr>
          <w:bCs/>
          <w:sz w:val="24"/>
        </w:rPr>
        <w:t>O</w:t>
      </w:r>
      <w:r>
        <w:rPr>
          <w:bCs/>
          <w:sz w:val="24"/>
          <w:vertAlign w:val="subscript"/>
        </w:rPr>
        <w:t>2</w:t>
      </w:r>
      <w:r>
        <w:rPr>
          <w:bCs/>
          <w:sz w:val="24"/>
        </w:rPr>
        <w:t>）计，不得少于</w:t>
      </w:r>
      <w:r>
        <w:rPr>
          <w:bCs/>
          <w:sz w:val="24"/>
        </w:rPr>
        <w:t>11.6mg[</w:t>
      </w:r>
      <w:r>
        <w:rPr>
          <w:bCs/>
          <w:sz w:val="24"/>
        </w:rPr>
        <w:t>规格（</w:t>
      </w:r>
      <w:r>
        <w:rPr>
          <w:bCs/>
          <w:sz w:val="24"/>
        </w:rPr>
        <w:t>1</w:t>
      </w:r>
      <w:r>
        <w:rPr>
          <w:bCs/>
          <w:sz w:val="24"/>
        </w:rPr>
        <w:t>）</w:t>
      </w:r>
      <w:r>
        <w:rPr>
          <w:bCs/>
          <w:sz w:val="24"/>
        </w:rPr>
        <w:t>]</w:t>
      </w:r>
      <w:r>
        <w:rPr>
          <w:bCs/>
          <w:sz w:val="24"/>
        </w:rPr>
        <w:t>；每</w:t>
      </w:r>
      <w:r>
        <w:rPr>
          <w:bCs/>
          <w:sz w:val="24"/>
        </w:rPr>
        <w:t>g</w:t>
      </w:r>
      <w:r>
        <w:rPr>
          <w:bCs/>
          <w:sz w:val="24"/>
        </w:rPr>
        <w:t>含丁香以丁香</w:t>
      </w:r>
      <w:proofErr w:type="gramStart"/>
      <w:r>
        <w:rPr>
          <w:bCs/>
          <w:sz w:val="24"/>
        </w:rPr>
        <w:t>酚</w:t>
      </w:r>
      <w:proofErr w:type="gramEnd"/>
      <w:r>
        <w:rPr>
          <w:bCs/>
          <w:sz w:val="24"/>
        </w:rPr>
        <w:t>（</w:t>
      </w:r>
      <w:r>
        <w:rPr>
          <w:bCs/>
          <w:sz w:val="24"/>
        </w:rPr>
        <w:t>C</w:t>
      </w:r>
      <w:r>
        <w:rPr>
          <w:bCs/>
          <w:sz w:val="24"/>
          <w:vertAlign w:val="subscript"/>
        </w:rPr>
        <w:t>10</w:t>
      </w:r>
      <w:r>
        <w:rPr>
          <w:bCs/>
          <w:sz w:val="24"/>
        </w:rPr>
        <w:t>H</w:t>
      </w:r>
      <w:r>
        <w:rPr>
          <w:bCs/>
          <w:sz w:val="24"/>
          <w:vertAlign w:val="subscript"/>
        </w:rPr>
        <w:t>10</w:t>
      </w:r>
      <w:r>
        <w:rPr>
          <w:bCs/>
          <w:sz w:val="24"/>
        </w:rPr>
        <w:t>O</w:t>
      </w:r>
      <w:r>
        <w:rPr>
          <w:bCs/>
          <w:sz w:val="24"/>
          <w:vertAlign w:val="subscript"/>
        </w:rPr>
        <w:t>2</w:t>
      </w:r>
      <w:r>
        <w:rPr>
          <w:bCs/>
          <w:sz w:val="24"/>
        </w:rPr>
        <w:t>）计，不得少于</w:t>
      </w:r>
      <w:r>
        <w:rPr>
          <w:bCs/>
          <w:sz w:val="24"/>
        </w:rPr>
        <w:t>3.1mg[</w:t>
      </w:r>
      <w:r>
        <w:rPr>
          <w:bCs/>
          <w:sz w:val="24"/>
        </w:rPr>
        <w:t>规格（</w:t>
      </w:r>
      <w:r>
        <w:rPr>
          <w:bCs/>
          <w:sz w:val="24"/>
        </w:rPr>
        <w:t>2</w:t>
      </w:r>
      <w:r>
        <w:rPr>
          <w:bCs/>
          <w:sz w:val="24"/>
        </w:rPr>
        <w:t>）</w:t>
      </w:r>
      <w:r>
        <w:rPr>
          <w:bCs/>
          <w:sz w:val="24"/>
        </w:rPr>
        <w:t>]</w:t>
      </w:r>
      <w:r>
        <w:rPr>
          <w:bCs/>
          <w:sz w:val="24"/>
        </w:rPr>
        <w:t>。</w:t>
      </w:r>
    </w:p>
    <w:p w:rsidR="000215F8" w:rsidRPr="00E80629" w:rsidRDefault="000215F8"/>
    <w:sectPr w:rsidR="000215F8" w:rsidRPr="00E80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08" w:rsidRDefault="00CE4308" w:rsidP="00E80629">
      <w:r>
        <w:separator/>
      </w:r>
    </w:p>
  </w:endnote>
  <w:endnote w:type="continuationSeparator" w:id="0">
    <w:p w:rsidR="00CE4308" w:rsidRDefault="00CE4308" w:rsidP="00E8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08" w:rsidRDefault="00CE4308" w:rsidP="00E80629">
      <w:r>
        <w:separator/>
      </w:r>
    </w:p>
  </w:footnote>
  <w:footnote w:type="continuationSeparator" w:id="0">
    <w:p w:rsidR="00CE4308" w:rsidRDefault="00CE4308" w:rsidP="00E806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5C"/>
    <w:rsid w:val="000215F8"/>
    <w:rsid w:val="000B3422"/>
    <w:rsid w:val="00105599"/>
    <w:rsid w:val="008F785C"/>
    <w:rsid w:val="00CE4308"/>
    <w:rsid w:val="00E8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6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06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629"/>
    <w:rPr>
      <w:sz w:val="18"/>
      <w:szCs w:val="18"/>
    </w:rPr>
  </w:style>
  <w:style w:type="character" w:styleId="a5">
    <w:name w:val="Strong"/>
    <w:uiPriority w:val="22"/>
    <w:qFormat/>
    <w:rsid w:val="00E806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6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06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629"/>
    <w:rPr>
      <w:sz w:val="18"/>
      <w:szCs w:val="18"/>
    </w:rPr>
  </w:style>
  <w:style w:type="character" w:styleId="a5">
    <w:name w:val="Strong"/>
    <w:uiPriority w:val="22"/>
    <w:qFormat/>
    <w:rsid w:val="00E806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>P R C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2023-02-24T08:39:00Z</dcterms:created>
  <dcterms:modified xsi:type="dcterms:W3CDTF">2023-02-24T08:39:00Z</dcterms:modified>
</cp:coreProperties>
</file>