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B7" w:rsidRPr="00C22AEF" w:rsidRDefault="007549D7" w:rsidP="00C22AEF">
      <w:pPr>
        <w:pStyle w:val="3"/>
        <w:ind w:firstLine="562"/>
        <w:jc w:val="center"/>
        <w:rPr>
          <w:sz w:val="28"/>
        </w:rPr>
      </w:pPr>
      <w:r w:rsidRPr="00C22AEF">
        <w:rPr>
          <w:rFonts w:hint="eastAsia"/>
          <w:sz w:val="28"/>
        </w:rPr>
        <w:t>川贝止咳糖浆中氢氰酸的含量测定</w:t>
      </w:r>
      <w:r w:rsidR="00C22AEF" w:rsidRPr="00C22AEF">
        <w:rPr>
          <w:rFonts w:hint="eastAsia"/>
          <w:sz w:val="28"/>
        </w:rPr>
        <w:t>方法</w:t>
      </w:r>
    </w:p>
    <w:p w:rsidR="003D1FB7" w:rsidRDefault="007549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Chars="200" w:left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宋体"/>
          <w:b/>
          <w:bCs/>
          <w:kern w:val="0"/>
          <w:sz w:val="24"/>
        </w:rPr>
        <w:t>【</w:t>
      </w:r>
      <w:r>
        <w:rPr>
          <w:rFonts w:ascii="Times New Roman" w:eastAsia="宋体" w:hAnsi="Times New Roman" w:cs="宋体" w:hint="eastAsia"/>
          <w:b/>
          <w:bCs/>
          <w:kern w:val="0"/>
          <w:sz w:val="24"/>
        </w:rPr>
        <w:t>含量测定</w:t>
      </w:r>
      <w:bookmarkStart w:id="0" w:name="_GoBack"/>
      <w:bookmarkEnd w:id="0"/>
      <w:r>
        <w:rPr>
          <w:rFonts w:ascii="Times New Roman" w:eastAsia="宋体" w:hAnsi="Times New Roman" w:cs="宋体"/>
          <w:b/>
          <w:bCs/>
          <w:kern w:val="0"/>
          <w:sz w:val="24"/>
        </w:rPr>
        <w:t>】</w:t>
      </w:r>
      <w:r>
        <w:rPr>
          <w:rFonts w:ascii="Times New Roman" w:eastAsia="宋体" w:hAnsi="Times New Roman" w:cs="宋体"/>
          <w:kern w:val="0"/>
          <w:sz w:val="24"/>
        </w:rPr>
        <w:t>氢氰酸</w:t>
      </w:r>
      <w:r>
        <w:rPr>
          <w:rFonts w:ascii="Times New Roman" w:eastAsia="宋体" w:hAnsi="Times New Roman" w:cs="宋体" w:hint="eastAsia"/>
          <w:b/>
          <w:bCs/>
          <w:kern w:val="0"/>
          <w:sz w:val="24"/>
        </w:rPr>
        <w:t xml:space="preserve"> </w:t>
      </w:r>
      <w:r>
        <w:rPr>
          <w:rFonts w:ascii="Times New Roman" w:eastAsia="宋体" w:hAnsi="Times New Roman" w:cs="宋体"/>
          <w:b/>
          <w:bCs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色谱法（通则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0521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）测定。</w:t>
      </w:r>
    </w:p>
    <w:p w:rsidR="003D1FB7" w:rsidRDefault="007549D7">
      <w:pPr>
        <w:pStyle w:val="HTML"/>
        <w:shd w:val="clear" w:color="auto" w:fill="FFFFFF"/>
        <w:spacing w:before="150" w:after="150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色谱条件与系统适用性试验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 xml:space="preserve">  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采用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键合聚苯乙烯</w:t>
      </w:r>
      <w:proofErr w:type="gramEnd"/>
      <w:r>
        <w:rPr>
          <w:rFonts w:ascii="Times New Roman" w:eastAsia="宋体" w:hAnsi="Times New Roman" w:hint="eastAsia"/>
          <w:color w:val="000000"/>
          <w:sz w:val="24"/>
          <w:szCs w:val="24"/>
        </w:rPr>
        <w:t>-</w:t>
      </w:r>
      <w:r>
        <w:rPr>
          <w:rFonts w:ascii="Times New Roman" w:eastAsia="宋体" w:hAnsi="Times New Roman" w:hint="eastAsia"/>
          <w:color w:val="000000"/>
          <w:sz w:val="24"/>
          <w:szCs w:val="24"/>
        </w:rPr>
        <w:t>二乙烯基苯毛细管柱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（柱长为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30m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，柱内径为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0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.32mm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，膜厚度为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20μm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起始温度为</w:t>
      </w:r>
      <w:r>
        <w:rPr>
          <w:rFonts w:ascii="Times New Roman" w:eastAsia="宋体" w:hAnsi="Times New Roman" w:hint="eastAsia"/>
          <w:sz w:val="24"/>
          <w:szCs w:val="24"/>
        </w:rPr>
        <w:t>40</w:t>
      </w:r>
      <w:r>
        <w:rPr>
          <w:rFonts w:ascii="Times New Roman" w:eastAsia="宋体" w:hAnsi="Times New Roman" w:hint="eastAsia"/>
          <w:sz w:val="24"/>
          <w:szCs w:val="24"/>
        </w:rPr>
        <w:t>℃，保持</w:t>
      </w:r>
      <w:r>
        <w:rPr>
          <w:rFonts w:ascii="Times New Roman" w:eastAsia="宋体" w:hAnsi="Times New Roman" w:hint="eastAsia"/>
          <w:sz w:val="24"/>
          <w:szCs w:val="24"/>
        </w:rPr>
        <w:t>1min</w:t>
      </w:r>
      <w:r>
        <w:rPr>
          <w:rFonts w:ascii="Times New Roman" w:eastAsia="宋体" w:hAnsi="Times New Roman" w:hint="eastAsia"/>
          <w:sz w:val="24"/>
          <w:szCs w:val="24"/>
        </w:rPr>
        <w:t>；再以</w:t>
      </w:r>
      <w:r>
        <w:rPr>
          <w:rFonts w:ascii="Times New Roman" w:eastAsia="宋体" w:hAnsi="Times New Roman" w:hint="eastAsia"/>
          <w:sz w:val="24"/>
          <w:szCs w:val="24"/>
        </w:rPr>
        <w:t>24</w:t>
      </w:r>
      <w:r>
        <w:rPr>
          <w:rFonts w:ascii="Times New Roman" w:eastAsia="宋体" w:hAnsi="Times New Roman" w:hint="eastAsia"/>
          <w:sz w:val="24"/>
          <w:szCs w:val="24"/>
        </w:rPr>
        <w:t>℃</w:t>
      </w:r>
      <w:r>
        <w:rPr>
          <w:rFonts w:ascii="Times New Roman" w:eastAsia="宋体" w:hAnsi="Times New Roman" w:hint="eastAsia"/>
          <w:sz w:val="24"/>
          <w:szCs w:val="24"/>
        </w:rPr>
        <w:t>/min</w:t>
      </w:r>
      <w:r>
        <w:rPr>
          <w:rFonts w:ascii="Times New Roman" w:eastAsia="宋体" w:hAnsi="Times New Roman" w:hint="eastAsia"/>
          <w:sz w:val="24"/>
          <w:szCs w:val="24"/>
        </w:rPr>
        <w:t>，升温至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6</w:t>
      </w:r>
      <w:r>
        <w:rPr>
          <w:rFonts w:ascii="Times New Roman" w:eastAsia="宋体" w:hAnsi="Times New Roman" w:hint="eastAsia"/>
          <w:sz w:val="24"/>
          <w:szCs w:val="24"/>
        </w:rPr>
        <w:t>0</w:t>
      </w:r>
      <w:r>
        <w:rPr>
          <w:rFonts w:ascii="Times New Roman" w:eastAsia="宋体" w:hAnsi="Times New Roman" w:hint="eastAsia"/>
          <w:sz w:val="24"/>
          <w:szCs w:val="24"/>
        </w:rPr>
        <w:t>℃，保持</w:t>
      </w:r>
      <w:r>
        <w:rPr>
          <w:rFonts w:ascii="Times New Roman" w:eastAsia="宋体" w:hAnsi="Times New Roman" w:hint="eastAsia"/>
          <w:sz w:val="24"/>
          <w:szCs w:val="24"/>
        </w:rPr>
        <w:t>7min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；进样口温度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℃；检测器（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FID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）温度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7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℃；采用顶空分流进样，分流比为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5:1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；顶空瓶平衡温度为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℃，平衡时间为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30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分钟。</w:t>
      </w:r>
    </w:p>
    <w:p w:rsidR="003D1FB7" w:rsidRDefault="007549D7">
      <w:pPr>
        <w:spacing w:line="360" w:lineRule="auto"/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对照品溶液的制备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取水中</w:t>
      </w:r>
      <w:proofErr w:type="gramStart"/>
      <w:r>
        <w:rPr>
          <w:rFonts w:ascii="Times New Roman" w:eastAsia="宋体" w:hAnsi="Times New Roman"/>
          <w:sz w:val="24"/>
        </w:rPr>
        <w:t>氰</w:t>
      </w:r>
      <w:proofErr w:type="gramEnd"/>
      <w:r>
        <w:rPr>
          <w:rFonts w:ascii="Times New Roman" w:eastAsia="宋体" w:hAnsi="Times New Roman"/>
          <w:sz w:val="24"/>
        </w:rPr>
        <w:t>成分分析标准物质适量，分置</w:t>
      </w:r>
      <w:r>
        <w:rPr>
          <w:rFonts w:ascii="Times New Roman" w:eastAsia="宋体" w:hAnsi="Times New Roman"/>
          <w:sz w:val="24"/>
        </w:rPr>
        <w:t>25mL</w:t>
      </w:r>
      <w:r>
        <w:rPr>
          <w:rFonts w:ascii="Times New Roman" w:eastAsia="宋体" w:hAnsi="Times New Roman"/>
          <w:sz w:val="24"/>
        </w:rPr>
        <w:t>量瓶中，加水</w:t>
      </w:r>
      <w:r>
        <w:rPr>
          <w:rFonts w:ascii="Times New Roman" w:eastAsia="宋体" w:hAnsi="Times New Roman"/>
          <w:sz w:val="24"/>
        </w:rPr>
        <w:t>5mL</w:t>
      </w:r>
      <w:r>
        <w:rPr>
          <w:rFonts w:ascii="Times New Roman" w:eastAsia="宋体" w:hAnsi="Times New Roman"/>
          <w:sz w:val="24"/>
        </w:rPr>
        <w:t>，分别用</w:t>
      </w:r>
      <w:r>
        <w:rPr>
          <w:rFonts w:ascii="Times New Roman" w:eastAsia="宋体" w:hAnsi="Times New Roman"/>
          <w:sz w:val="24"/>
        </w:rPr>
        <w:t>0.1mol/L</w:t>
      </w:r>
      <w:r>
        <w:rPr>
          <w:rFonts w:ascii="Times New Roman" w:eastAsia="宋体" w:hAnsi="Times New Roman"/>
          <w:sz w:val="24"/>
        </w:rPr>
        <w:t>氢氧化钠溶液稀释至刻度，缓缓摇匀，制成每</w:t>
      </w:r>
      <w:r>
        <w:rPr>
          <w:rFonts w:ascii="Times New Roman" w:eastAsia="宋体" w:hAnsi="Times New Roman"/>
          <w:sz w:val="24"/>
        </w:rPr>
        <w:t>1mL</w:t>
      </w:r>
      <w:r>
        <w:rPr>
          <w:rFonts w:ascii="Times New Roman" w:eastAsia="宋体" w:hAnsi="Times New Roman"/>
          <w:sz w:val="24"/>
        </w:rPr>
        <w:t>分别含氢氰酸</w:t>
      </w:r>
      <w:r>
        <w:rPr>
          <w:rFonts w:ascii="Times New Roman" w:eastAsia="宋体" w:hAnsi="Times New Roman" w:hint="eastAsia"/>
          <w:sz w:val="24"/>
        </w:rPr>
        <w:t>0</w:t>
      </w:r>
      <w:r>
        <w:rPr>
          <w:rFonts w:ascii="Times New Roman" w:eastAsia="宋体" w:hAnsi="Times New Roman"/>
          <w:sz w:val="24"/>
        </w:rPr>
        <w:t>.208</w:t>
      </w:r>
      <w:r>
        <w:rPr>
          <w:rFonts w:ascii="Times New Roman" w:eastAsia="宋体" w:hAnsi="Times New Roman" w:hint="eastAsia"/>
          <w:sz w:val="24"/>
        </w:rPr>
        <w:t>、</w:t>
      </w:r>
      <w:r>
        <w:rPr>
          <w:rFonts w:ascii="Times New Roman" w:eastAsia="宋体" w:hAnsi="Times New Roman"/>
          <w:sz w:val="24"/>
        </w:rPr>
        <w:t>0.519</w:t>
      </w:r>
      <w:r>
        <w:rPr>
          <w:rFonts w:ascii="Times New Roman" w:eastAsia="宋体" w:hAnsi="Times New Roman"/>
          <w:sz w:val="24"/>
        </w:rPr>
        <w:t>、</w:t>
      </w:r>
      <w:r>
        <w:rPr>
          <w:rFonts w:ascii="Times New Roman" w:eastAsia="宋体" w:hAnsi="Times New Roman"/>
          <w:sz w:val="24"/>
        </w:rPr>
        <w:t>1.039</w:t>
      </w:r>
      <w:r>
        <w:rPr>
          <w:rFonts w:ascii="Times New Roman" w:eastAsia="宋体" w:hAnsi="Times New Roman"/>
          <w:sz w:val="24"/>
        </w:rPr>
        <w:t>、</w:t>
      </w:r>
      <w:r>
        <w:rPr>
          <w:rFonts w:ascii="Times New Roman" w:eastAsia="宋体" w:hAnsi="Times New Roman"/>
          <w:sz w:val="24"/>
        </w:rPr>
        <w:t>2.077</w:t>
      </w:r>
      <w:r>
        <w:rPr>
          <w:rFonts w:ascii="Times New Roman" w:eastAsia="宋体" w:hAnsi="Times New Roman"/>
          <w:sz w:val="24"/>
        </w:rPr>
        <w:t>、</w:t>
      </w:r>
      <w:r>
        <w:rPr>
          <w:rFonts w:ascii="Times New Roman" w:eastAsia="宋体" w:hAnsi="Times New Roman"/>
          <w:sz w:val="24"/>
        </w:rPr>
        <w:t>5.194</w:t>
      </w:r>
      <w:r>
        <w:rPr>
          <w:rFonts w:ascii="Times New Roman" w:eastAsia="宋体" w:hAnsi="Times New Roman"/>
          <w:sz w:val="24"/>
        </w:rPr>
        <w:t>、</w:t>
      </w:r>
      <w:r>
        <w:rPr>
          <w:rFonts w:ascii="Times New Roman" w:eastAsia="宋体" w:hAnsi="Times New Roman"/>
          <w:sz w:val="24"/>
        </w:rPr>
        <w:t>10.387</w:t>
      </w:r>
      <w:r>
        <w:rPr>
          <w:rFonts w:ascii="Times New Roman" w:eastAsia="宋体" w:hAnsi="Times New Roman"/>
          <w:sz w:val="24"/>
        </w:rPr>
        <w:t>、</w:t>
      </w:r>
      <w:r>
        <w:rPr>
          <w:rFonts w:ascii="Times New Roman" w:eastAsia="宋体" w:hAnsi="Times New Roman"/>
          <w:sz w:val="24"/>
        </w:rPr>
        <w:t>15.581μg</w:t>
      </w:r>
      <w:r>
        <w:rPr>
          <w:rFonts w:ascii="Times New Roman" w:eastAsia="宋体" w:hAnsi="Times New Roman"/>
          <w:sz w:val="24"/>
        </w:rPr>
        <w:t>的系列浓度对照品溶液。</w:t>
      </w:r>
      <w:r>
        <w:rPr>
          <w:rFonts w:ascii="Times New Roman" w:eastAsia="宋体" w:hAnsi="Times New Roman" w:hint="eastAsia"/>
          <w:sz w:val="24"/>
        </w:rPr>
        <w:t>分别精密量取上述</w:t>
      </w:r>
      <w:r>
        <w:rPr>
          <w:rFonts w:ascii="Times New Roman" w:eastAsia="宋体" w:hAnsi="Times New Roman"/>
          <w:sz w:val="24"/>
        </w:rPr>
        <w:t>系列浓度对照品溶液</w:t>
      </w:r>
      <w:r>
        <w:rPr>
          <w:rFonts w:ascii="Times New Roman" w:eastAsia="宋体" w:hAnsi="Times New Roman"/>
          <w:sz w:val="24"/>
        </w:rPr>
        <w:t>2 mL</w:t>
      </w:r>
      <w:r>
        <w:rPr>
          <w:rFonts w:ascii="Times New Roman" w:eastAsia="宋体" w:hAnsi="Times New Roman"/>
          <w:sz w:val="24"/>
        </w:rPr>
        <w:t>，置</w:t>
      </w:r>
      <w:r>
        <w:rPr>
          <w:rFonts w:ascii="Times New Roman" w:eastAsia="宋体" w:hAnsi="Times New Roman"/>
          <w:sz w:val="24"/>
        </w:rPr>
        <w:t>10 mL</w:t>
      </w:r>
      <w:r>
        <w:rPr>
          <w:rFonts w:ascii="Times New Roman" w:eastAsia="宋体" w:hAnsi="Times New Roman"/>
          <w:sz w:val="24"/>
        </w:rPr>
        <w:t>顶空瓶中，加入</w:t>
      </w:r>
      <w:r>
        <w:rPr>
          <w:rFonts w:ascii="Times New Roman" w:eastAsia="宋体" w:hAnsi="Times New Roman"/>
          <w:sz w:val="24"/>
        </w:rPr>
        <w:t>10%</w:t>
      </w:r>
      <w:r>
        <w:rPr>
          <w:rFonts w:ascii="Times New Roman" w:eastAsia="宋体" w:hAnsi="Times New Roman"/>
          <w:sz w:val="24"/>
        </w:rPr>
        <w:t>磷酸溶液</w:t>
      </w:r>
      <w:r>
        <w:rPr>
          <w:rFonts w:ascii="Times New Roman" w:eastAsia="宋体" w:hAnsi="Times New Roman"/>
          <w:sz w:val="24"/>
        </w:rPr>
        <w:t>0.2mL</w:t>
      </w:r>
      <w:r>
        <w:rPr>
          <w:rFonts w:ascii="Times New Roman" w:eastAsia="宋体" w:hAnsi="Times New Roman"/>
          <w:sz w:val="24"/>
        </w:rPr>
        <w:t>，迅速密封，摇匀，即得</w:t>
      </w:r>
      <w:r>
        <w:rPr>
          <w:rFonts w:ascii="Times New Roman" w:eastAsia="宋体" w:hAnsi="Times New Roman"/>
          <w:color w:val="000000"/>
          <w:sz w:val="24"/>
        </w:rPr>
        <w:t>。</w:t>
      </w:r>
    </w:p>
    <w:p w:rsidR="003D1FB7" w:rsidRDefault="007549D7">
      <w:pPr>
        <w:spacing w:line="360" w:lineRule="auto"/>
        <w:ind w:firstLineChars="200" w:firstLine="480"/>
        <w:rPr>
          <w:rFonts w:ascii="Times New Roman" w:eastAsia="宋体" w:hAnsi="Times New Roman"/>
          <w:sz w:val="24"/>
        </w:rPr>
      </w:pPr>
      <w:proofErr w:type="gramStart"/>
      <w:r>
        <w:rPr>
          <w:rFonts w:ascii="Times New Roman" w:eastAsia="宋体" w:hAnsi="Times New Roman"/>
          <w:sz w:val="24"/>
        </w:rPr>
        <w:t>供试品溶液</w:t>
      </w:r>
      <w:proofErr w:type="gramEnd"/>
      <w:r>
        <w:rPr>
          <w:rFonts w:ascii="Times New Roman" w:eastAsia="宋体" w:hAnsi="Times New Roman"/>
          <w:sz w:val="24"/>
        </w:rPr>
        <w:t>的制备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取本品</w:t>
      </w:r>
      <w:r>
        <w:rPr>
          <w:rFonts w:ascii="Times New Roman" w:eastAsia="宋体" w:hAnsi="Times New Roman"/>
          <w:sz w:val="24"/>
        </w:rPr>
        <w:t>5mL</w:t>
      </w:r>
      <w:r>
        <w:rPr>
          <w:rFonts w:ascii="Times New Roman" w:eastAsia="宋体" w:hAnsi="Times New Roman"/>
          <w:sz w:val="24"/>
        </w:rPr>
        <w:t>，置</w:t>
      </w:r>
      <w:r>
        <w:rPr>
          <w:rFonts w:ascii="Times New Roman" w:eastAsia="宋体" w:hAnsi="Times New Roman"/>
          <w:sz w:val="24"/>
        </w:rPr>
        <w:t>25mL</w:t>
      </w:r>
      <w:r>
        <w:rPr>
          <w:rFonts w:ascii="Times New Roman" w:eastAsia="宋体" w:hAnsi="Times New Roman"/>
          <w:sz w:val="24"/>
        </w:rPr>
        <w:t>量瓶中，加</w:t>
      </w:r>
      <w:r>
        <w:rPr>
          <w:rFonts w:ascii="Times New Roman" w:eastAsia="宋体" w:hAnsi="Times New Roman" w:hint="eastAsia"/>
          <w:sz w:val="24"/>
        </w:rPr>
        <w:t>0</w:t>
      </w:r>
      <w:r>
        <w:rPr>
          <w:rFonts w:ascii="Times New Roman" w:eastAsia="宋体" w:hAnsi="Times New Roman"/>
          <w:sz w:val="24"/>
        </w:rPr>
        <w:t>.1</w:t>
      </w:r>
      <w:r>
        <w:rPr>
          <w:rFonts w:ascii="Times New Roman" w:eastAsia="宋体" w:hAnsi="Times New Roman" w:hint="eastAsia"/>
          <w:sz w:val="24"/>
        </w:rPr>
        <w:t>mol</w:t>
      </w:r>
      <w:r>
        <w:rPr>
          <w:rFonts w:ascii="Times New Roman" w:eastAsia="宋体" w:hAnsi="Times New Roman"/>
          <w:sz w:val="24"/>
        </w:rPr>
        <w:t>/</w:t>
      </w:r>
      <w:r>
        <w:rPr>
          <w:rFonts w:ascii="Times New Roman" w:eastAsia="宋体" w:hAnsi="Times New Roman" w:hint="eastAsia"/>
          <w:sz w:val="24"/>
        </w:rPr>
        <w:t>L</w:t>
      </w:r>
      <w:r>
        <w:rPr>
          <w:rFonts w:ascii="Times New Roman" w:eastAsia="宋体" w:hAnsi="Times New Roman" w:hint="eastAsia"/>
          <w:sz w:val="24"/>
        </w:rPr>
        <w:t>氢氧化钠溶液</w:t>
      </w:r>
      <w:r>
        <w:rPr>
          <w:rFonts w:ascii="Times New Roman" w:eastAsia="宋体" w:hAnsi="Times New Roman"/>
          <w:sz w:val="24"/>
        </w:rPr>
        <w:t>稀释至刻度，摇匀，</w:t>
      </w:r>
      <w:r>
        <w:rPr>
          <w:rFonts w:ascii="Times New Roman" w:eastAsia="宋体" w:hAnsi="Times New Roman" w:hint="eastAsia"/>
          <w:sz w:val="24"/>
        </w:rPr>
        <w:t>立即精密量取</w:t>
      </w:r>
      <w:r>
        <w:rPr>
          <w:rFonts w:ascii="Times New Roman" w:eastAsia="宋体" w:hAnsi="Times New Roman"/>
          <w:sz w:val="24"/>
        </w:rPr>
        <w:t>2 mL</w:t>
      </w:r>
      <w:r>
        <w:rPr>
          <w:rFonts w:ascii="Times New Roman" w:eastAsia="宋体" w:hAnsi="Times New Roman"/>
          <w:sz w:val="24"/>
        </w:rPr>
        <w:t>，置</w:t>
      </w:r>
      <w:r>
        <w:rPr>
          <w:rFonts w:ascii="Times New Roman" w:eastAsia="宋体" w:hAnsi="Times New Roman"/>
          <w:sz w:val="24"/>
        </w:rPr>
        <w:t>10 mL</w:t>
      </w:r>
      <w:r>
        <w:rPr>
          <w:rFonts w:ascii="Times New Roman" w:eastAsia="宋体" w:hAnsi="Times New Roman"/>
          <w:sz w:val="24"/>
        </w:rPr>
        <w:t>顶</w:t>
      </w:r>
      <w:r>
        <w:rPr>
          <w:rFonts w:ascii="Times New Roman" w:eastAsia="宋体" w:hAnsi="Times New Roman"/>
          <w:sz w:val="24"/>
        </w:rPr>
        <w:t>空瓶中，加入</w:t>
      </w:r>
      <w:r>
        <w:rPr>
          <w:rFonts w:ascii="Times New Roman" w:eastAsia="宋体" w:hAnsi="Times New Roman"/>
          <w:sz w:val="24"/>
        </w:rPr>
        <w:t>10%</w:t>
      </w:r>
      <w:r>
        <w:rPr>
          <w:rFonts w:ascii="Times New Roman" w:eastAsia="宋体" w:hAnsi="Times New Roman"/>
          <w:sz w:val="24"/>
        </w:rPr>
        <w:t>磷酸溶液</w:t>
      </w:r>
      <w:r>
        <w:rPr>
          <w:rFonts w:ascii="Times New Roman" w:eastAsia="宋体" w:hAnsi="Times New Roman"/>
          <w:sz w:val="24"/>
        </w:rPr>
        <w:t>0.2mL</w:t>
      </w:r>
      <w:r>
        <w:rPr>
          <w:rFonts w:ascii="Times New Roman" w:eastAsia="宋体" w:hAnsi="Times New Roman"/>
          <w:sz w:val="24"/>
        </w:rPr>
        <w:t>，迅速密封，摇匀，即得</w:t>
      </w:r>
      <w:r>
        <w:rPr>
          <w:rFonts w:ascii="Times New Roman" w:eastAsia="宋体" w:hAnsi="Times New Roman"/>
          <w:color w:val="000000"/>
          <w:sz w:val="24"/>
        </w:rPr>
        <w:t>。</w:t>
      </w:r>
    </w:p>
    <w:p w:rsidR="003D1FB7" w:rsidRDefault="007549D7">
      <w:pPr>
        <w:pStyle w:val="HTML"/>
        <w:shd w:val="clear" w:color="auto" w:fill="FFFFFF"/>
        <w:spacing w:before="100" w:after="100"/>
        <w:jc w:val="both"/>
        <w:rPr>
          <w:rFonts w:ascii="Times New Roman" w:eastAsia="宋体" w:hAnsi="Times New Roman"/>
          <w:color w:val="000000"/>
          <w:sz w:val="24"/>
        </w:rPr>
      </w:pPr>
      <w:r>
        <w:rPr>
          <w:rFonts w:ascii="Times New Roman" w:eastAsia="宋体" w:hAnsi="Times New Roman" w:cs="宋体" w:hint="eastAsia"/>
          <w:color w:val="000000"/>
          <w:sz w:val="24"/>
          <w:szCs w:val="24"/>
          <w:shd w:val="clear" w:color="auto" w:fill="FFFFFF"/>
        </w:rPr>
        <w:t>测定法</w:t>
      </w:r>
      <w:r>
        <w:rPr>
          <w:rFonts w:ascii="Times New Roman" w:eastAsia="宋体" w:hAnsi="Times New Roman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Times New Roman" w:eastAsia="宋体" w:hAnsi="Times New Roman" w:cs="宋体" w:hint="eastAsia"/>
          <w:sz w:val="24"/>
          <w:szCs w:val="24"/>
        </w:rPr>
        <w:t>按上述方法制备对照品溶液、</w:t>
      </w:r>
      <w:proofErr w:type="gramStart"/>
      <w:r>
        <w:rPr>
          <w:rFonts w:ascii="Times New Roman" w:eastAsia="宋体" w:hAnsi="Times New Roman" w:cs="宋体" w:hint="eastAsia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 w:cs="宋体" w:hint="eastAsia"/>
          <w:sz w:val="24"/>
          <w:szCs w:val="24"/>
        </w:rPr>
        <w:t>，装入顶空瓶中，平衡、进样。</w:t>
      </w:r>
    </w:p>
    <w:p w:rsidR="003D1FB7" w:rsidRDefault="007549D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00" w:firstLine="48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本品每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1ml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含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杏仁以氢氰酸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（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HCN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1"/>
        </w:rPr>
        <w:t>计，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应不得</w:t>
      </w:r>
      <w:proofErr w:type="gramEnd"/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少于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1.5μg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1"/>
        </w:rPr>
        <w:t>。</w:t>
      </w:r>
    </w:p>
    <w:p w:rsidR="003D1FB7" w:rsidRDefault="003D1FB7">
      <w:pPr>
        <w:pStyle w:val="HTML"/>
        <w:shd w:val="clear" w:color="auto" w:fill="FFFFFF"/>
        <w:ind w:firstLine="420"/>
        <w:rPr>
          <w:rFonts w:ascii="Times New Roman" w:eastAsia="宋体" w:hAnsi="Times New Roman"/>
        </w:rPr>
      </w:pPr>
    </w:p>
    <w:p w:rsidR="003D1FB7" w:rsidRDefault="003D1FB7">
      <w:pPr>
        <w:pStyle w:val="HTML"/>
        <w:shd w:val="clear" w:color="auto" w:fill="FFFFFF"/>
        <w:ind w:firstLineChars="0" w:firstLine="0"/>
        <w:rPr>
          <w:rFonts w:ascii="Times New Roman" w:eastAsia="宋体" w:hAnsi="Times New Roman"/>
        </w:rPr>
      </w:pPr>
    </w:p>
    <w:p w:rsidR="003D1FB7" w:rsidRDefault="003D1FB7">
      <w:pPr>
        <w:widowControl/>
        <w:jc w:val="left"/>
        <w:rPr>
          <w:rFonts w:ascii="Times New Roman" w:eastAsia="宋体" w:hAnsi="Times New Roman"/>
          <w:szCs w:val="22"/>
        </w:rPr>
      </w:pPr>
    </w:p>
    <w:sectPr w:rsidR="003D1F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D7" w:rsidRDefault="007549D7">
      <w:r>
        <w:separator/>
      </w:r>
    </w:p>
  </w:endnote>
  <w:endnote w:type="continuationSeparator" w:id="0">
    <w:p w:rsidR="007549D7" w:rsidRDefault="0075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cuminPro-Light">
    <w:altName w:val="Cambria"/>
    <w:charset w:val="00"/>
    <w:family w:val="roman"/>
    <w:pitch w:val="default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D7" w:rsidRDefault="007549D7">
      <w:r>
        <w:separator/>
      </w:r>
    </w:p>
  </w:footnote>
  <w:footnote w:type="continuationSeparator" w:id="0">
    <w:p w:rsidR="007549D7" w:rsidRDefault="00754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d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FB7" w:rsidRDefault="003D1FB7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00C60155"/>
    <w:rsid w:val="000045D1"/>
    <w:rsid w:val="00015442"/>
    <w:rsid w:val="00020B03"/>
    <w:rsid w:val="0002460F"/>
    <w:rsid w:val="00027B94"/>
    <w:rsid w:val="0003610C"/>
    <w:rsid w:val="000407B5"/>
    <w:rsid w:val="000526A8"/>
    <w:rsid w:val="00061AE7"/>
    <w:rsid w:val="00064B58"/>
    <w:rsid w:val="00075722"/>
    <w:rsid w:val="000860B7"/>
    <w:rsid w:val="000911F8"/>
    <w:rsid w:val="000A4837"/>
    <w:rsid w:val="000A51E1"/>
    <w:rsid w:val="000A7DEA"/>
    <w:rsid w:val="000B24E0"/>
    <w:rsid w:val="000B36B6"/>
    <w:rsid w:val="000B5B46"/>
    <w:rsid w:val="000C1DD4"/>
    <w:rsid w:val="000E0C90"/>
    <w:rsid w:val="001068BF"/>
    <w:rsid w:val="0011395F"/>
    <w:rsid w:val="00121A24"/>
    <w:rsid w:val="00123A99"/>
    <w:rsid w:val="0013562E"/>
    <w:rsid w:val="00157058"/>
    <w:rsid w:val="00197553"/>
    <w:rsid w:val="001A1006"/>
    <w:rsid w:val="001A160C"/>
    <w:rsid w:val="001B4B99"/>
    <w:rsid w:val="001B7121"/>
    <w:rsid w:val="001C65FC"/>
    <w:rsid w:val="001D07B4"/>
    <w:rsid w:val="001D4CDF"/>
    <w:rsid w:val="001E27F4"/>
    <w:rsid w:val="001E4477"/>
    <w:rsid w:val="001E64C9"/>
    <w:rsid w:val="001F6690"/>
    <w:rsid w:val="00202C72"/>
    <w:rsid w:val="00215856"/>
    <w:rsid w:val="0022188C"/>
    <w:rsid w:val="002236D5"/>
    <w:rsid w:val="002448DB"/>
    <w:rsid w:val="00247389"/>
    <w:rsid w:val="00261F65"/>
    <w:rsid w:val="002726BE"/>
    <w:rsid w:val="002824C4"/>
    <w:rsid w:val="00283001"/>
    <w:rsid w:val="002854B0"/>
    <w:rsid w:val="00296197"/>
    <w:rsid w:val="002A165E"/>
    <w:rsid w:val="002A21DA"/>
    <w:rsid w:val="002A529D"/>
    <w:rsid w:val="002D76A4"/>
    <w:rsid w:val="002E42B8"/>
    <w:rsid w:val="002F6F87"/>
    <w:rsid w:val="002F7636"/>
    <w:rsid w:val="00302FC4"/>
    <w:rsid w:val="0030413E"/>
    <w:rsid w:val="003072CC"/>
    <w:rsid w:val="003115B2"/>
    <w:rsid w:val="00323914"/>
    <w:rsid w:val="003363D7"/>
    <w:rsid w:val="00343349"/>
    <w:rsid w:val="00343647"/>
    <w:rsid w:val="00343ED8"/>
    <w:rsid w:val="003462A5"/>
    <w:rsid w:val="00352EAC"/>
    <w:rsid w:val="00353D60"/>
    <w:rsid w:val="00365875"/>
    <w:rsid w:val="00372FC2"/>
    <w:rsid w:val="00375063"/>
    <w:rsid w:val="00382F05"/>
    <w:rsid w:val="00382FE6"/>
    <w:rsid w:val="003A62CA"/>
    <w:rsid w:val="003C4F70"/>
    <w:rsid w:val="003D1FB7"/>
    <w:rsid w:val="003F4D2F"/>
    <w:rsid w:val="00404EFE"/>
    <w:rsid w:val="0041738A"/>
    <w:rsid w:val="00434960"/>
    <w:rsid w:val="00437915"/>
    <w:rsid w:val="004435B6"/>
    <w:rsid w:val="00445F95"/>
    <w:rsid w:val="00452F62"/>
    <w:rsid w:val="004557DA"/>
    <w:rsid w:val="00463D67"/>
    <w:rsid w:val="00475E9E"/>
    <w:rsid w:val="00486EF9"/>
    <w:rsid w:val="00492E38"/>
    <w:rsid w:val="004A115D"/>
    <w:rsid w:val="004A5B30"/>
    <w:rsid w:val="004B1787"/>
    <w:rsid w:val="004B6493"/>
    <w:rsid w:val="004D1DED"/>
    <w:rsid w:val="004D49F7"/>
    <w:rsid w:val="004E61A4"/>
    <w:rsid w:val="004F1B25"/>
    <w:rsid w:val="005065EF"/>
    <w:rsid w:val="00541DC4"/>
    <w:rsid w:val="005474E5"/>
    <w:rsid w:val="00553DEC"/>
    <w:rsid w:val="00575CE5"/>
    <w:rsid w:val="0059640E"/>
    <w:rsid w:val="005B28F6"/>
    <w:rsid w:val="005B56B8"/>
    <w:rsid w:val="005C1743"/>
    <w:rsid w:val="005C326B"/>
    <w:rsid w:val="005C3F90"/>
    <w:rsid w:val="005C5F34"/>
    <w:rsid w:val="005E15EA"/>
    <w:rsid w:val="005E52B1"/>
    <w:rsid w:val="00600766"/>
    <w:rsid w:val="0060216A"/>
    <w:rsid w:val="00617240"/>
    <w:rsid w:val="00635455"/>
    <w:rsid w:val="0063695C"/>
    <w:rsid w:val="00637249"/>
    <w:rsid w:val="00642C55"/>
    <w:rsid w:val="006502E2"/>
    <w:rsid w:val="00651C71"/>
    <w:rsid w:val="00664761"/>
    <w:rsid w:val="00670093"/>
    <w:rsid w:val="00673870"/>
    <w:rsid w:val="00686B05"/>
    <w:rsid w:val="00694CB4"/>
    <w:rsid w:val="006A00F9"/>
    <w:rsid w:val="006B4D96"/>
    <w:rsid w:val="006E2973"/>
    <w:rsid w:val="006E7637"/>
    <w:rsid w:val="00702825"/>
    <w:rsid w:val="00703EC3"/>
    <w:rsid w:val="00711972"/>
    <w:rsid w:val="00725544"/>
    <w:rsid w:val="007348C3"/>
    <w:rsid w:val="007352E6"/>
    <w:rsid w:val="00735723"/>
    <w:rsid w:val="00743592"/>
    <w:rsid w:val="00744C99"/>
    <w:rsid w:val="007549D7"/>
    <w:rsid w:val="00783009"/>
    <w:rsid w:val="007902D9"/>
    <w:rsid w:val="0079219A"/>
    <w:rsid w:val="007B05B3"/>
    <w:rsid w:val="007B7715"/>
    <w:rsid w:val="007C2B1D"/>
    <w:rsid w:val="007D0EC5"/>
    <w:rsid w:val="007D5447"/>
    <w:rsid w:val="007F7E79"/>
    <w:rsid w:val="00802433"/>
    <w:rsid w:val="00807773"/>
    <w:rsid w:val="00811F70"/>
    <w:rsid w:val="00816511"/>
    <w:rsid w:val="00820415"/>
    <w:rsid w:val="00826657"/>
    <w:rsid w:val="008279DF"/>
    <w:rsid w:val="008532CB"/>
    <w:rsid w:val="00856534"/>
    <w:rsid w:val="008611DC"/>
    <w:rsid w:val="00865ED0"/>
    <w:rsid w:val="00870C89"/>
    <w:rsid w:val="008719A0"/>
    <w:rsid w:val="00873633"/>
    <w:rsid w:val="008A0743"/>
    <w:rsid w:val="008A1905"/>
    <w:rsid w:val="008B0166"/>
    <w:rsid w:val="008B1019"/>
    <w:rsid w:val="008B79F3"/>
    <w:rsid w:val="008C2A60"/>
    <w:rsid w:val="008C7A60"/>
    <w:rsid w:val="008D09BC"/>
    <w:rsid w:val="008D257D"/>
    <w:rsid w:val="008D3A5C"/>
    <w:rsid w:val="008D5860"/>
    <w:rsid w:val="008E3330"/>
    <w:rsid w:val="008F394B"/>
    <w:rsid w:val="00910819"/>
    <w:rsid w:val="00917A87"/>
    <w:rsid w:val="00943689"/>
    <w:rsid w:val="00952763"/>
    <w:rsid w:val="00967762"/>
    <w:rsid w:val="00982D8F"/>
    <w:rsid w:val="009A6308"/>
    <w:rsid w:val="009B5203"/>
    <w:rsid w:val="009C5903"/>
    <w:rsid w:val="009C5F85"/>
    <w:rsid w:val="009C6B5E"/>
    <w:rsid w:val="009E0A08"/>
    <w:rsid w:val="009E2839"/>
    <w:rsid w:val="009E4A53"/>
    <w:rsid w:val="009F2DA9"/>
    <w:rsid w:val="00A03F05"/>
    <w:rsid w:val="00A22918"/>
    <w:rsid w:val="00A30B1A"/>
    <w:rsid w:val="00A3629E"/>
    <w:rsid w:val="00A4024D"/>
    <w:rsid w:val="00A56CED"/>
    <w:rsid w:val="00A56DB4"/>
    <w:rsid w:val="00A6189D"/>
    <w:rsid w:val="00A64EAB"/>
    <w:rsid w:val="00A67F4A"/>
    <w:rsid w:val="00A85444"/>
    <w:rsid w:val="00A9798C"/>
    <w:rsid w:val="00AD6CC1"/>
    <w:rsid w:val="00AE16AA"/>
    <w:rsid w:val="00AE5916"/>
    <w:rsid w:val="00AE7DEF"/>
    <w:rsid w:val="00AF2AB6"/>
    <w:rsid w:val="00AF780D"/>
    <w:rsid w:val="00B22010"/>
    <w:rsid w:val="00B44083"/>
    <w:rsid w:val="00B478BF"/>
    <w:rsid w:val="00B5612A"/>
    <w:rsid w:val="00B56E3B"/>
    <w:rsid w:val="00B62DBA"/>
    <w:rsid w:val="00B6421D"/>
    <w:rsid w:val="00B941B8"/>
    <w:rsid w:val="00B97F00"/>
    <w:rsid w:val="00BA349F"/>
    <w:rsid w:val="00BB1D9A"/>
    <w:rsid w:val="00BB2813"/>
    <w:rsid w:val="00BB384C"/>
    <w:rsid w:val="00BB7FBC"/>
    <w:rsid w:val="00BC03A1"/>
    <w:rsid w:val="00BC159E"/>
    <w:rsid w:val="00BC20D9"/>
    <w:rsid w:val="00BC6DFB"/>
    <w:rsid w:val="00BD0BB2"/>
    <w:rsid w:val="00BE3B6E"/>
    <w:rsid w:val="00C00235"/>
    <w:rsid w:val="00C00CE7"/>
    <w:rsid w:val="00C01BB7"/>
    <w:rsid w:val="00C10A2E"/>
    <w:rsid w:val="00C202D9"/>
    <w:rsid w:val="00C22AEF"/>
    <w:rsid w:val="00C22F63"/>
    <w:rsid w:val="00C24C94"/>
    <w:rsid w:val="00C306A0"/>
    <w:rsid w:val="00C30A20"/>
    <w:rsid w:val="00C36D09"/>
    <w:rsid w:val="00C441B9"/>
    <w:rsid w:val="00C44E77"/>
    <w:rsid w:val="00C51CA8"/>
    <w:rsid w:val="00C54004"/>
    <w:rsid w:val="00C57E79"/>
    <w:rsid w:val="00C60155"/>
    <w:rsid w:val="00C6425C"/>
    <w:rsid w:val="00C65FBF"/>
    <w:rsid w:val="00C835B7"/>
    <w:rsid w:val="00C856EB"/>
    <w:rsid w:val="00C9310D"/>
    <w:rsid w:val="00C94BD0"/>
    <w:rsid w:val="00CA78ED"/>
    <w:rsid w:val="00CB5ECD"/>
    <w:rsid w:val="00CD3253"/>
    <w:rsid w:val="00CE38F2"/>
    <w:rsid w:val="00CF2172"/>
    <w:rsid w:val="00D00763"/>
    <w:rsid w:val="00D0600A"/>
    <w:rsid w:val="00D06A80"/>
    <w:rsid w:val="00D1588A"/>
    <w:rsid w:val="00D1602D"/>
    <w:rsid w:val="00D1647A"/>
    <w:rsid w:val="00D24B7F"/>
    <w:rsid w:val="00D2587E"/>
    <w:rsid w:val="00D36058"/>
    <w:rsid w:val="00D46870"/>
    <w:rsid w:val="00D56462"/>
    <w:rsid w:val="00D65A42"/>
    <w:rsid w:val="00D65B0C"/>
    <w:rsid w:val="00D748C3"/>
    <w:rsid w:val="00D801EC"/>
    <w:rsid w:val="00D8043A"/>
    <w:rsid w:val="00D84FB7"/>
    <w:rsid w:val="00D85DB2"/>
    <w:rsid w:val="00D91F2B"/>
    <w:rsid w:val="00DA0F22"/>
    <w:rsid w:val="00DC00C0"/>
    <w:rsid w:val="00DD4798"/>
    <w:rsid w:val="00DE2254"/>
    <w:rsid w:val="00DF0E41"/>
    <w:rsid w:val="00DF4211"/>
    <w:rsid w:val="00DF6479"/>
    <w:rsid w:val="00E001D9"/>
    <w:rsid w:val="00E115B6"/>
    <w:rsid w:val="00E21B20"/>
    <w:rsid w:val="00E26B34"/>
    <w:rsid w:val="00E26F18"/>
    <w:rsid w:val="00E3498E"/>
    <w:rsid w:val="00E44E0D"/>
    <w:rsid w:val="00E654CE"/>
    <w:rsid w:val="00E67FF7"/>
    <w:rsid w:val="00E70860"/>
    <w:rsid w:val="00EB55D8"/>
    <w:rsid w:val="00EC65B7"/>
    <w:rsid w:val="00ED17F8"/>
    <w:rsid w:val="00EE1014"/>
    <w:rsid w:val="00EE2553"/>
    <w:rsid w:val="00EF3AC7"/>
    <w:rsid w:val="00EF55AB"/>
    <w:rsid w:val="00F01244"/>
    <w:rsid w:val="00F03942"/>
    <w:rsid w:val="00F05D0A"/>
    <w:rsid w:val="00F152B4"/>
    <w:rsid w:val="00F23AB3"/>
    <w:rsid w:val="00F25241"/>
    <w:rsid w:val="00F26BAC"/>
    <w:rsid w:val="00F31A69"/>
    <w:rsid w:val="00F3772C"/>
    <w:rsid w:val="00F50655"/>
    <w:rsid w:val="00F572A6"/>
    <w:rsid w:val="00F65F8C"/>
    <w:rsid w:val="00F72D5B"/>
    <w:rsid w:val="00F8639E"/>
    <w:rsid w:val="00FA25C1"/>
    <w:rsid w:val="00FA2F14"/>
    <w:rsid w:val="00FD7758"/>
    <w:rsid w:val="00FE1375"/>
    <w:rsid w:val="00FF247D"/>
    <w:rsid w:val="00FF4479"/>
    <w:rsid w:val="00FF5724"/>
    <w:rsid w:val="03127D49"/>
    <w:rsid w:val="3389154E"/>
    <w:rsid w:val="3CA733D2"/>
    <w:rsid w:val="4F53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note text" w:qFormat="1"/>
    <w:lsdException w:name="annotation text" w:unhideWhenUsed="1" w:qFormat="1"/>
    <w:lsdException w:name="header" w:uiPriority="99" w:qFormat="1"/>
    <w:lsdException w:name="footer" w:uiPriority="99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note text" w:qFormat="1"/>
    <w:lsdException w:name="annotation text" w:unhideWhenUsed="1" w:qFormat="1"/>
    <w:lsdException w:name="header" w:uiPriority="99" w:qFormat="1"/>
    <w:lsdException w:name="footer" w:uiPriority="99"/>
    <w:lsdException w:name="caption" w:qFormat="1"/>
    <w:lsdException w:name="footnote reference" w:qFormat="1"/>
    <w:lsdException w:name="annotation reference" w:uiPriority="99" w:unhideWhenUsed="1" w:qFormat="1"/>
    <w:lsdException w:name="page number" w:qFormat="1"/>
    <w:lsdException w:name="toa heading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First Indent" w:uiPriority="99" w:unhideWhenUsed="1" w:qFormat="1"/>
    <w:lsdException w:name="Body Text Indent 2" w:qFormat="1"/>
    <w:lsdException w:name="Hyperlink" w:uiPriority="99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 w:qFormat="1"/>
    <w:lsdException w:name="Normal Table" w:semiHidden="1" w:uiPriority="99" w:unhideWhenUsed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line="360" w:lineRule="auto"/>
      <w:ind w:firstLineChars="200" w:firstLine="723"/>
      <w:jc w:val="center"/>
      <w:outlineLvl w:val="0"/>
    </w:pPr>
    <w:rPr>
      <w:rFonts w:ascii="Times New Roman" w:eastAsia="宋体" w:hAnsi="Times New Roman" w:cs="Times New Roman"/>
      <w:b/>
      <w:kern w:val="44"/>
      <w:sz w:val="36"/>
      <w:szCs w:val="20"/>
    </w:rPr>
  </w:style>
  <w:style w:type="paragraph" w:styleId="2">
    <w:name w:val="heading 2"/>
    <w:basedOn w:val="a"/>
    <w:next w:val="a"/>
    <w:link w:val="2Char"/>
    <w:qFormat/>
    <w:pPr>
      <w:keepNext/>
      <w:keepLines/>
      <w:spacing w:line="360" w:lineRule="auto"/>
      <w:ind w:firstLineChars="200" w:firstLine="198"/>
      <w:outlineLvl w:val="1"/>
    </w:pPr>
    <w:rPr>
      <w:rFonts w:ascii="Times New Roman" w:eastAsia="宋体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ind w:firstLineChars="200" w:firstLine="480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60" w:lineRule="auto"/>
      <w:ind w:firstLineChars="200" w:firstLine="480"/>
      <w:outlineLvl w:val="3"/>
    </w:pPr>
    <w:rPr>
      <w:rFonts w:ascii="Arial" w:eastAsia="黑体" w:hAnsi="Arial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Times New Roman"/>
      <w:sz w:val="20"/>
      <w:szCs w:val="20"/>
    </w:rPr>
  </w:style>
  <w:style w:type="paragraph" w:styleId="a4">
    <w:name w:val="Document Map"/>
    <w:basedOn w:val="a"/>
    <w:link w:val="Char"/>
    <w:pPr>
      <w:shd w:val="clear" w:color="auto" w:fill="000080"/>
      <w:spacing w:line="360" w:lineRule="auto"/>
      <w:ind w:firstLineChars="200" w:firstLine="480"/>
    </w:pPr>
    <w:rPr>
      <w:rFonts w:eastAsia="宋体"/>
      <w:sz w:val="24"/>
      <w:szCs w:val="22"/>
    </w:rPr>
  </w:style>
  <w:style w:type="paragraph" w:styleId="a5">
    <w:name w:val="toa heading"/>
    <w:basedOn w:val="a"/>
    <w:next w:val="a"/>
    <w:qFormat/>
    <w:pPr>
      <w:spacing w:before="120" w:line="360" w:lineRule="auto"/>
      <w:ind w:firstLineChars="200" w:firstLine="480"/>
    </w:pPr>
    <w:rPr>
      <w:rFonts w:ascii="Arial" w:eastAsia="宋体" w:hAnsi="Arial" w:cs="Arial"/>
      <w:b/>
      <w:sz w:val="24"/>
    </w:rPr>
  </w:style>
  <w:style w:type="paragraph" w:styleId="a6">
    <w:name w:val="annotation text"/>
    <w:basedOn w:val="a"/>
    <w:link w:val="Char0"/>
    <w:unhideWhenUsed/>
    <w:qFormat/>
    <w:pPr>
      <w:widowControl/>
      <w:adjustRightInd w:val="0"/>
      <w:snapToGrid w:val="0"/>
      <w:spacing w:after="20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7">
    <w:name w:val="Body Text"/>
    <w:basedOn w:val="a"/>
    <w:link w:val="Char1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8">
    <w:name w:val="Body Text Indent"/>
    <w:basedOn w:val="a"/>
    <w:link w:val="Char2"/>
    <w:pPr>
      <w:spacing w:after="120" w:line="360" w:lineRule="auto"/>
      <w:ind w:leftChars="200" w:left="420" w:firstLineChars="200" w:firstLine="480"/>
    </w:pPr>
    <w:rPr>
      <w:rFonts w:eastAsia="宋体"/>
      <w:szCs w:val="22"/>
    </w:rPr>
  </w:style>
  <w:style w:type="paragraph" w:styleId="30">
    <w:name w:val="toc 3"/>
    <w:basedOn w:val="a"/>
    <w:next w:val="a"/>
    <w:uiPriority w:val="39"/>
    <w:pPr>
      <w:ind w:leftChars="400" w:left="840"/>
    </w:pPr>
  </w:style>
  <w:style w:type="paragraph" w:styleId="a9">
    <w:name w:val="Plain Text"/>
    <w:basedOn w:val="a"/>
    <w:link w:val="Char3"/>
    <w:qFormat/>
    <w:rPr>
      <w:rFonts w:ascii="宋体" w:eastAsia="宋体" w:hAnsi="Courier New" w:cs="Courier New"/>
      <w:szCs w:val="21"/>
    </w:rPr>
  </w:style>
  <w:style w:type="paragraph" w:styleId="aa">
    <w:name w:val="Date"/>
    <w:basedOn w:val="a"/>
    <w:next w:val="a"/>
    <w:link w:val="Char4"/>
    <w:qFormat/>
    <w:pPr>
      <w:spacing w:line="360" w:lineRule="auto"/>
      <w:ind w:leftChars="2500" w:left="100" w:firstLineChars="200" w:firstLine="480"/>
    </w:pPr>
    <w:rPr>
      <w:rFonts w:eastAsia="宋体"/>
      <w:sz w:val="24"/>
      <w:szCs w:val="22"/>
    </w:rPr>
  </w:style>
  <w:style w:type="paragraph" w:styleId="20">
    <w:name w:val="Body Text Indent 2"/>
    <w:basedOn w:val="a"/>
    <w:link w:val="2Char0"/>
    <w:qFormat/>
    <w:pPr>
      <w:spacing w:after="120" w:line="360" w:lineRule="auto"/>
      <w:ind w:firstLineChars="200" w:firstLine="480"/>
    </w:pPr>
    <w:rPr>
      <w:rFonts w:eastAsia="宋体"/>
      <w:sz w:val="24"/>
      <w:szCs w:val="22"/>
    </w:rPr>
  </w:style>
  <w:style w:type="paragraph" w:styleId="ab">
    <w:name w:val="Balloon Text"/>
    <w:basedOn w:val="a"/>
    <w:link w:val="Char5"/>
    <w:unhideWhenUsed/>
    <w:pPr>
      <w:widowControl/>
      <w:adjustRightInd w:val="0"/>
      <w:snapToGrid w:val="0"/>
      <w:jc w:val="left"/>
    </w:pPr>
    <w:rPr>
      <w:rFonts w:ascii="Tahoma" w:eastAsia="微软雅黑" w:hAnsi="Tahoma"/>
      <w:kern w:val="0"/>
      <w:sz w:val="18"/>
      <w:szCs w:val="18"/>
    </w:rPr>
  </w:style>
  <w:style w:type="paragraph" w:styleId="ac">
    <w:name w:val="footer"/>
    <w:basedOn w:val="a"/>
    <w:link w:val="Char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Char8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footnote text"/>
    <w:basedOn w:val="a"/>
    <w:link w:val="Char9"/>
    <w:qFormat/>
    <w:pPr>
      <w:snapToGrid w:val="0"/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  <w:ind w:firstLineChars="200" w:firstLine="480"/>
      <w:jc w:val="left"/>
    </w:pPr>
    <w:rPr>
      <w:rFonts w:ascii="黑体" w:eastAsia="黑体" w:hAnsi="Courier New"/>
      <w:szCs w:val="22"/>
    </w:rPr>
  </w:style>
  <w:style w:type="paragraph" w:styleId="af0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1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paragraph" w:styleId="af2">
    <w:name w:val="annotation subject"/>
    <w:basedOn w:val="a6"/>
    <w:next w:val="a6"/>
    <w:link w:val="Chara"/>
    <w:uiPriority w:val="99"/>
    <w:unhideWhenUsed/>
    <w:qFormat/>
    <w:rPr>
      <w:b/>
      <w:bCs/>
    </w:rPr>
  </w:style>
  <w:style w:type="paragraph" w:styleId="af3">
    <w:name w:val="Body Text First Indent"/>
    <w:basedOn w:val="a7"/>
    <w:link w:val="Charb"/>
    <w:uiPriority w:val="99"/>
    <w:unhideWhenUsed/>
    <w:qFormat/>
    <w:pPr>
      <w:ind w:firstLineChars="100" w:firstLine="420"/>
    </w:pPr>
  </w:style>
  <w:style w:type="table" w:styleId="af4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List 3"/>
    <w:basedOn w:val="a1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5">
    <w:name w:val="page number"/>
    <w:basedOn w:val="a0"/>
    <w:qFormat/>
  </w:style>
  <w:style w:type="character" w:styleId="af6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uiPriority w:val="99"/>
    <w:unhideWhenUsed/>
    <w:qFormat/>
    <w:rPr>
      <w:sz w:val="21"/>
      <w:szCs w:val="21"/>
    </w:rPr>
  </w:style>
  <w:style w:type="character" w:styleId="af9">
    <w:name w:val="footnote reference"/>
    <w:basedOn w:val="a0"/>
    <w:qFormat/>
    <w:rPr>
      <w:vertAlign w:val="superscript"/>
    </w:rPr>
  </w:style>
  <w:style w:type="character" w:customStyle="1" w:styleId="Char7">
    <w:name w:val="页眉 Char"/>
    <w:basedOn w:val="a0"/>
    <w:link w:val="ad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6">
    <w:name w:val="页脚 Char"/>
    <w:basedOn w:val="a0"/>
    <w:link w:val="ac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Pr>
      <w:rFonts w:ascii="Tahoma" w:eastAsia="微软雅黑" w:hAnsi="Tahoma" w:cstheme="minorBidi"/>
      <w:sz w:val="22"/>
      <w:szCs w:val="22"/>
    </w:rPr>
  </w:style>
  <w:style w:type="character" w:customStyle="1" w:styleId="Chara">
    <w:name w:val="批注主题 Char"/>
    <w:basedOn w:val="Char0"/>
    <w:link w:val="af2"/>
    <w:uiPriority w:val="99"/>
    <w:qFormat/>
    <w:rPr>
      <w:rFonts w:ascii="Tahoma" w:eastAsia="微软雅黑" w:hAnsi="Tahoma" w:cstheme="minorBidi"/>
      <w:b/>
      <w:bCs/>
      <w:sz w:val="22"/>
      <w:szCs w:val="22"/>
    </w:rPr>
  </w:style>
  <w:style w:type="character" w:customStyle="1" w:styleId="Char5">
    <w:name w:val="批注框文本 Char"/>
    <w:basedOn w:val="a0"/>
    <w:link w:val="ab"/>
    <w:uiPriority w:val="99"/>
    <w:qFormat/>
    <w:rPr>
      <w:rFonts w:ascii="Tahoma" w:eastAsia="微软雅黑" w:hAnsi="Tahoma" w:cstheme="minorBidi"/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2">
    <w:name w:val="标题 3 字符"/>
    <w:basedOn w:val="a0"/>
    <w:uiPriority w:val="9"/>
    <w:semiHidden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fa">
    <w:name w:val="文档结构图 字符"/>
    <w:basedOn w:val="a0"/>
    <w:uiPriority w:val="99"/>
    <w:qFormat/>
    <w:rPr>
      <w:rFonts w:ascii="Microsoft YaHei UI" w:eastAsia="Microsoft YaHei UI" w:hAnsiTheme="minorHAnsi" w:cstheme="minorBidi"/>
      <w:kern w:val="2"/>
      <w:sz w:val="18"/>
      <w:szCs w:val="18"/>
    </w:rPr>
  </w:style>
  <w:style w:type="character" w:customStyle="1" w:styleId="afb">
    <w:name w:val="正文文本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c">
    <w:name w:val="正文文本缩进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纯文本 Char"/>
    <w:basedOn w:val="a0"/>
    <w:link w:val="a9"/>
    <w:qFormat/>
    <w:rPr>
      <w:rFonts w:ascii="宋体" w:hAnsi="Courier New" w:cs="Courier New"/>
      <w:kern w:val="2"/>
      <w:sz w:val="21"/>
      <w:szCs w:val="21"/>
    </w:rPr>
  </w:style>
  <w:style w:type="character" w:customStyle="1" w:styleId="afd">
    <w:name w:val="日期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22">
    <w:name w:val="正文文本缩进 2 字符"/>
    <w:basedOn w:val="a0"/>
    <w:uiPriority w:val="99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8">
    <w:name w:val="副标题 Char"/>
    <w:basedOn w:val="a0"/>
    <w:link w:val="ae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9">
    <w:name w:val="脚注文本 Char"/>
    <w:basedOn w:val="a0"/>
    <w:link w:val="af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uiPriority w:val="99"/>
    <w:qFormat/>
    <w:rPr>
      <w:rFonts w:ascii="Courier New" w:eastAsiaTheme="minorEastAsia" w:hAnsi="Courier New" w:cs="Courier New"/>
      <w:kern w:val="2"/>
    </w:rPr>
  </w:style>
  <w:style w:type="character" w:customStyle="1" w:styleId="Char10">
    <w:name w:val="标题 Char1"/>
    <w:basedOn w:val="a0"/>
    <w:link w:val="af1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b">
    <w:name w:val="正文首行缩进 Char"/>
    <w:basedOn w:val="afb"/>
    <w:link w:val="af3"/>
    <w:uiPriority w:val="99"/>
    <w:qFormat/>
    <w:rPr>
      <w:rFonts w:asciiTheme="minorHAnsi" w:eastAsiaTheme="minorEastAsia" w:hAnsiTheme="minorHAnsi" w:cstheme="minorBidi"/>
      <w:kern w:val="2"/>
      <w:sz w:val="24"/>
      <w:szCs w:val="22"/>
    </w:rPr>
  </w:style>
  <w:style w:type="character" w:customStyle="1" w:styleId="1Char">
    <w:name w:val="标题 1 Char"/>
    <w:basedOn w:val="a0"/>
    <w:link w:val="1"/>
    <w:qFormat/>
    <w:rPr>
      <w:b/>
      <w:kern w:val="44"/>
      <w:sz w:val="36"/>
    </w:rPr>
  </w:style>
  <w:style w:type="character" w:customStyle="1" w:styleId="2Char">
    <w:name w:val="标题 2 Char"/>
    <w:basedOn w:val="a0"/>
    <w:link w:val="2"/>
    <w:qFormat/>
    <w:rPr>
      <w:b/>
      <w:kern w:val="2"/>
      <w:sz w:val="24"/>
    </w:rPr>
  </w:style>
  <w:style w:type="character" w:customStyle="1" w:styleId="3Char">
    <w:name w:val="标题 3 Char"/>
    <w:basedOn w:val="a0"/>
    <w:link w:val="3"/>
    <w:qFormat/>
    <w:rPr>
      <w:b/>
      <w:kern w:val="2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</w:rPr>
  </w:style>
  <w:style w:type="character" w:customStyle="1" w:styleId="4Char0">
    <w:name w:val="标题4 Char"/>
    <w:link w:val="41"/>
    <w:qFormat/>
    <w:rPr>
      <w:sz w:val="24"/>
    </w:rPr>
  </w:style>
  <w:style w:type="paragraph" w:customStyle="1" w:styleId="41">
    <w:name w:val="标题4"/>
    <w:basedOn w:val="4"/>
    <w:link w:val="4Char0"/>
    <w:qFormat/>
    <w:rPr>
      <w:rFonts w:ascii="Times New Roman" w:eastAsia="宋体" w:hAnsi="Times New Roman"/>
      <w:b w:val="0"/>
      <w:kern w:val="0"/>
      <w:sz w:val="24"/>
    </w:rPr>
  </w:style>
  <w:style w:type="character" w:customStyle="1" w:styleId="Char2">
    <w:name w:val="正文文本缩进 Char"/>
    <w:basedOn w:val="a0"/>
    <w:link w:val="a8"/>
    <w:qFormat/>
    <w:rPr>
      <w:rFonts w:asciiTheme="minorHAnsi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黑体" w:eastAsia="黑体" w:hAnsi="Courier New" w:cstheme="minorBidi"/>
      <w:kern w:val="2"/>
      <w:sz w:val="21"/>
      <w:szCs w:val="22"/>
    </w:rPr>
  </w:style>
  <w:style w:type="character" w:customStyle="1" w:styleId="Char4">
    <w:name w:val="日期 Char"/>
    <w:basedOn w:val="a0"/>
    <w:link w:val="aa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1">
    <w:name w:val="正文文本 Char"/>
    <w:basedOn w:val="a0"/>
    <w:link w:val="a7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2Char0">
    <w:name w:val="正文文本缩进 2 Char"/>
    <w:basedOn w:val="a0"/>
    <w:link w:val="20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Char">
    <w:name w:val="文档结构图 Char"/>
    <w:basedOn w:val="a0"/>
    <w:link w:val="a4"/>
    <w:qFormat/>
    <w:rPr>
      <w:rFonts w:asciiTheme="minorHAnsi" w:hAnsiTheme="minorHAnsi" w:cstheme="minorBidi"/>
      <w:kern w:val="2"/>
      <w:sz w:val="24"/>
      <w:szCs w:val="22"/>
      <w:shd w:val="clear" w:color="auto" w:fill="000080"/>
    </w:rPr>
  </w:style>
  <w:style w:type="character" w:customStyle="1" w:styleId="11">
    <w:name w:val="批注框文本 字符1"/>
    <w:basedOn w:val="a0"/>
    <w:qFormat/>
    <w:rPr>
      <w:rFonts w:eastAsia="宋体"/>
      <w:sz w:val="18"/>
    </w:rPr>
  </w:style>
  <w:style w:type="character" w:customStyle="1" w:styleId="12">
    <w:name w:val="页眉 字符1"/>
    <w:basedOn w:val="a0"/>
    <w:qFormat/>
    <w:rPr>
      <w:rFonts w:eastAsia="宋体"/>
      <w:sz w:val="18"/>
    </w:rPr>
  </w:style>
  <w:style w:type="character" w:customStyle="1" w:styleId="13">
    <w:name w:val="页脚 字符1"/>
    <w:basedOn w:val="a0"/>
    <w:uiPriority w:val="99"/>
    <w:qFormat/>
    <w:rPr>
      <w:rFonts w:eastAsia="宋体"/>
      <w:sz w:val="18"/>
    </w:rPr>
  </w:style>
  <w:style w:type="character" w:customStyle="1" w:styleId="14">
    <w:name w:val="批注文字 字符1"/>
    <w:basedOn w:val="a0"/>
    <w:qFormat/>
    <w:rPr>
      <w:rFonts w:eastAsia="宋体"/>
      <w:sz w:val="24"/>
    </w:rPr>
  </w:style>
  <w:style w:type="paragraph" w:customStyle="1" w:styleId="241">
    <w:name w:val="样式 图题 + 行距: 固定值 24 磅1"/>
    <w:basedOn w:val="a"/>
    <w:qFormat/>
    <w:pPr>
      <w:spacing w:line="480" w:lineRule="exact"/>
      <w:jc w:val="left"/>
    </w:pPr>
    <w:rPr>
      <w:rFonts w:ascii="Times New Roman" w:eastAsia="宋体" w:hAnsi="Times New Roman" w:cs="Times New Roman"/>
      <w:szCs w:val="20"/>
    </w:rPr>
  </w:style>
  <w:style w:type="paragraph" w:customStyle="1" w:styleId="Style50">
    <w:name w:val="_Style 50"/>
    <w:basedOn w:val="a"/>
    <w:next w:val="afe"/>
    <w:qFormat/>
    <w:pPr>
      <w:ind w:firstLineChars="200" w:firstLine="420"/>
    </w:pPr>
    <w:rPr>
      <w:rFonts w:ascii="Calibri" w:eastAsia="宋体" w:hAnsi="Calibri" w:cs="Times New Roman"/>
      <w:szCs w:val="22"/>
    </w:rPr>
  </w:style>
  <w:style w:type="paragraph" w:styleId="afe">
    <w:name w:val="List Paragraph"/>
    <w:basedOn w:val="a"/>
    <w:uiPriority w:val="34"/>
    <w:qFormat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3">
    <w:name w:val="标题2"/>
    <w:basedOn w:val="2"/>
    <w:qFormat/>
    <w:pPr>
      <w:spacing w:line="413" w:lineRule="auto"/>
      <w:ind w:firstLineChars="128" w:firstLine="128"/>
    </w:pPr>
    <w:rPr>
      <w:rFonts w:ascii="Cambria" w:hAnsi="Cambria"/>
    </w:rPr>
  </w:style>
  <w:style w:type="paragraph" w:customStyle="1" w:styleId="aff">
    <w:name w:val="二级标题"/>
    <w:basedOn w:val="a"/>
    <w:qFormat/>
    <w:pPr>
      <w:tabs>
        <w:tab w:val="left" w:pos="540"/>
      </w:tabs>
      <w:spacing w:line="480" w:lineRule="exact"/>
    </w:pPr>
    <w:rPr>
      <w:rFonts w:ascii="Times New Roman" w:eastAsia="宋体" w:hAnsi="Times New Roman" w:cs="Times New Roman"/>
      <w:b/>
      <w:sz w:val="28"/>
      <w:szCs w:val="20"/>
    </w:rPr>
  </w:style>
  <w:style w:type="paragraph" w:customStyle="1" w:styleId="5">
    <w:name w:val="样式5"/>
    <w:qFormat/>
    <w:pPr>
      <w:spacing w:line="480" w:lineRule="exact"/>
      <w:ind w:firstLineChars="200" w:firstLine="560"/>
    </w:pPr>
    <w:rPr>
      <w:sz w:val="24"/>
    </w:rPr>
  </w:style>
  <w:style w:type="paragraph" w:customStyle="1" w:styleId="0">
    <w:name w:val="0"/>
    <w:basedOn w:val="a"/>
    <w:qFormat/>
    <w:pPr>
      <w:widowControl/>
      <w:snapToGri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aff0">
    <w:name w:val="小节标题"/>
    <w:basedOn w:val="a"/>
    <w:next w:val="a"/>
    <w:qFormat/>
    <w:pPr>
      <w:widowControl/>
      <w:spacing w:before="175" w:after="102" w:line="782" w:lineRule="atLeast"/>
      <w:textAlignment w:val="baseline"/>
    </w:pPr>
    <w:rPr>
      <w:rFonts w:ascii="Times New Roman" w:eastAsia="黑体" w:hAnsi="Times New Roman" w:cs="Times New Roman" w:hint="eastAsia"/>
      <w:color w:val="000000"/>
      <w:szCs w:val="20"/>
      <w:u w:color="000000"/>
    </w:rPr>
  </w:style>
  <w:style w:type="paragraph" w:customStyle="1" w:styleId="ParaChar">
    <w:name w:val="默认段落字体 Para Char"/>
    <w:basedOn w:val="a"/>
    <w:qFormat/>
    <w:pPr>
      <w:spacing w:beforeLines="50" w:afterLines="50"/>
    </w:pPr>
    <w:rPr>
      <w:rFonts w:ascii="Tahoma" w:eastAsia="宋体" w:hAnsi="Tahoma" w:cs="Times New Roman"/>
      <w:sz w:val="24"/>
      <w:szCs w:val="20"/>
    </w:rPr>
  </w:style>
  <w:style w:type="paragraph" w:customStyle="1" w:styleId="24">
    <w:name w:val="2级标题"/>
    <w:basedOn w:val="a"/>
    <w:link w:val="2Char1"/>
    <w:qFormat/>
    <w:pPr>
      <w:spacing w:line="360" w:lineRule="auto"/>
      <w:jc w:val="left"/>
    </w:pPr>
    <w:rPr>
      <w:rFonts w:ascii="宋体" w:eastAsia="宋体" w:hAnsi="宋体" w:cs="Times New Roman"/>
      <w:b/>
      <w:sz w:val="24"/>
    </w:rPr>
  </w:style>
  <w:style w:type="character" w:customStyle="1" w:styleId="2Char1">
    <w:name w:val="2级标题 Char"/>
    <w:basedOn w:val="a0"/>
    <w:link w:val="24"/>
    <w:qFormat/>
    <w:rPr>
      <w:rFonts w:ascii="宋体" w:hAnsi="宋体"/>
      <w:b/>
      <w:kern w:val="2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FF0000"/>
      <w:kern w:val="0"/>
      <w:sz w:val="18"/>
      <w:szCs w:val="18"/>
    </w:rPr>
  </w:style>
  <w:style w:type="character" w:customStyle="1" w:styleId="fontstyle01">
    <w:name w:val="fontstyle01"/>
    <w:basedOn w:val="a0"/>
    <w:qFormat/>
    <w:rPr>
      <w:rFonts w:ascii="AcuminPro-Light" w:hAnsi="AcuminPro-Light" w:hint="default"/>
      <w:color w:val="242021"/>
      <w:sz w:val="18"/>
      <w:szCs w:val="18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Style7">
    <w:name w:val="_Style 7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15">
    <w:name w:val="标题1"/>
    <w:basedOn w:val="a"/>
    <w:next w:val="a"/>
    <w:link w:val="Charc"/>
    <w:qFormat/>
    <w:pPr>
      <w:spacing w:line="360" w:lineRule="auto"/>
      <w:ind w:leftChars="-450" w:left="-1080" w:firstLine="1080"/>
      <w:jc w:val="center"/>
    </w:pPr>
    <w:rPr>
      <w:rFonts w:ascii="Times New Roman" w:eastAsia="宋体" w:hAnsi="Times New Roman" w:cs="Times New Roman"/>
      <w:b/>
      <w:sz w:val="44"/>
      <w:szCs w:val="44"/>
    </w:rPr>
  </w:style>
  <w:style w:type="character" w:customStyle="1" w:styleId="Charc">
    <w:name w:val="标题 Char"/>
    <w:link w:val="15"/>
    <w:qFormat/>
    <w:locked/>
    <w:rPr>
      <w:b/>
      <w:kern w:val="2"/>
      <w:sz w:val="44"/>
      <w:szCs w:val="44"/>
    </w:rPr>
  </w:style>
  <w:style w:type="paragraph" w:customStyle="1" w:styleId="Style3">
    <w:name w:val="_Style 3"/>
    <w:basedOn w:val="a"/>
    <w:next w:val="afe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42BF9-45B5-4D96-917C-7B5C5EB0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>P R C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wrx</dc:creator>
  <cp:lastModifiedBy>Windows User</cp:lastModifiedBy>
  <cp:revision>8</cp:revision>
  <dcterms:created xsi:type="dcterms:W3CDTF">2022-10-14T17:36:00Z</dcterms:created>
  <dcterms:modified xsi:type="dcterms:W3CDTF">2023-02-24T08:30:00Z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65F5E9D7404749A48435B8EE7190D47C</vt:lpwstr>
  </property>
</Properties>
</file>