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366" w:rsidRPr="009B0366" w:rsidRDefault="009B0366" w:rsidP="009B0366">
      <w:pPr>
        <w:spacing w:line="360" w:lineRule="auto"/>
        <w:jc w:val="center"/>
        <w:rPr>
          <w:rFonts w:ascii="宋体" w:eastAsia="宋体" w:hAnsi="宋体" w:cs="Times New Roman"/>
          <w:b/>
          <w:color w:val="000000"/>
          <w:kern w:val="0"/>
          <w:sz w:val="28"/>
          <w:szCs w:val="21"/>
        </w:rPr>
      </w:pPr>
      <w:bookmarkStart w:id="0" w:name="_GoBack"/>
      <w:r w:rsidRPr="009B0366">
        <w:rPr>
          <w:rFonts w:ascii="Times New Roman" w:eastAsia="宋体" w:hAnsi="宋体" w:cs="Times New Roman" w:hint="eastAsia"/>
          <w:b/>
          <w:color w:val="000000"/>
          <w:kern w:val="0"/>
          <w:sz w:val="28"/>
          <w:szCs w:val="21"/>
        </w:rPr>
        <w:t>生脉胶囊中人参皂苷</w:t>
      </w:r>
      <w:r w:rsidRPr="009B0366">
        <w:rPr>
          <w:rFonts w:ascii="Times New Roman" w:eastAsia="宋体" w:hAnsi="宋体" w:cs="Times New Roman" w:hint="eastAsia"/>
          <w:b/>
          <w:color w:val="000000"/>
          <w:kern w:val="0"/>
          <w:sz w:val="28"/>
          <w:szCs w:val="21"/>
        </w:rPr>
        <w:t>Rg</w:t>
      </w:r>
      <w:r w:rsidRPr="009B0366">
        <w:rPr>
          <w:rFonts w:ascii="Times New Roman" w:eastAsia="宋体" w:hAnsi="宋体" w:cs="Times New Roman" w:hint="eastAsia"/>
          <w:b/>
          <w:color w:val="000000"/>
          <w:kern w:val="0"/>
          <w:sz w:val="28"/>
          <w:szCs w:val="21"/>
          <w:vertAlign w:val="subscript"/>
        </w:rPr>
        <w:t>3</w:t>
      </w:r>
      <w:r w:rsidRPr="009B0366">
        <w:rPr>
          <w:rFonts w:ascii="Times New Roman" w:eastAsia="宋体" w:hAnsi="宋体" w:cs="Times New Roman" w:hint="eastAsia"/>
          <w:b/>
          <w:color w:val="000000"/>
          <w:kern w:val="0"/>
          <w:sz w:val="28"/>
          <w:szCs w:val="21"/>
        </w:rPr>
        <w:t>的含量测定方法</w:t>
      </w:r>
    </w:p>
    <w:bookmarkEnd w:id="0"/>
    <w:p w:rsidR="009B0366" w:rsidRPr="009B0366" w:rsidRDefault="009B0366" w:rsidP="009B0366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9B0366">
        <w:rPr>
          <w:rFonts w:ascii="Times New Roman" w:eastAsia="宋体" w:hAnsi="Times New Roman" w:cs="Times New Roman" w:hint="eastAsia"/>
          <w:sz w:val="24"/>
          <w:szCs w:val="21"/>
        </w:rPr>
        <w:t>照高效液相色谱法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(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通则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 xml:space="preserve"> 0512)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测定</w:t>
      </w:r>
      <w:r w:rsidRPr="009B0366">
        <w:rPr>
          <w:rFonts w:ascii="Times New Roman" w:eastAsia="宋体" w:hAnsi="Times New Roman" w:cs="Times New Roman"/>
          <w:sz w:val="24"/>
          <w:szCs w:val="21"/>
        </w:rPr>
        <w:t>。</w:t>
      </w:r>
    </w:p>
    <w:p w:rsidR="009B0366" w:rsidRPr="009B0366" w:rsidRDefault="009B0366" w:rsidP="009B0366">
      <w:pPr>
        <w:widowControl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1"/>
        </w:rPr>
      </w:pPr>
      <w:r w:rsidRPr="009B0366">
        <w:rPr>
          <w:rFonts w:ascii="Times New Roman" w:eastAsia="宋体" w:hAnsi="Times New Roman" w:cs="Times New Roman"/>
          <w:b/>
          <w:sz w:val="24"/>
          <w:szCs w:val="21"/>
        </w:rPr>
        <w:t>色谱条件与系统适用性试验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以十八烷基硅烷键合硅胶为填充剂（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 xml:space="preserve">Agilent </w:t>
      </w:r>
      <w:proofErr w:type="spellStart"/>
      <w:r w:rsidRPr="009B0366">
        <w:rPr>
          <w:rFonts w:ascii="Times New Roman" w:eastAsia="宋体" w:hAnsi="Times New Roman" w:cs="Times New Roman" w:hint="eastAsia"/>
          <w:sz w:val="24"/>
          <w:szCs w:val="21"/>
        </w:rPr>
        <w:t>Poroshell</w:t>
      </w:r>
      <w:proofErr w:type="spellEnd"/>
      <w:r w:rsidRPr="009B0366">
        <w:rPr>
          <w:rFonts w:ascii="Times New Roman" w:eastAsia="宋体" w:hAnsi="Times New Roman" w:cs="Times New Roman" w:hint="eastAsia"/>
          <w:sz w:val="24"/>
          <w:szCs w:val="21"/>
        </w:rPr>
        <w:t xml:space="preserve"> 120 EC-C</w:t>
      </w:r>
      <w:r w:rsidRPr="009B0366">
        <w:rPr>
          <w:rFonts w:ascii="Times New Roman" w:eastAsia="宋体" w:hAnsi="Times New Roman" w:cs="Times New Roman" w:hint="eastAsia"/>
          <w:sz w:val="24"/>
          <w:szCs w:val="21"/>
          <w:vertAlign w:val="subscript"/>
        </w:rPr>
        <w:t>18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，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4.6mm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×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150mm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，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2.7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μ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m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或分离</w:t>
      </w:r>
      <w:proofErr w:type="gramStart"/>
      <w:r w:rsidRPr="009B0366">
        <w:rPr>
          <w:rFonts w:ascii="Times New Roman" w:eastAsia="宋体" w:hAnsi="Times New Roman" w:cs="Times New Roman" w:hint="eastAsia"/>
          <w:sz w:val="24"/>
          <w:szCs w:val="21"/>
        </w:rPr>
        <w:t>柱效相当</w:t>
      </w:r>
      <w:proofErr w:type="gramEnd"/>
      <w:r w:rsidRPr="009B0366">
        <w:rPr>
          <w:rFonts w:ascii="Times New Roman" w:eastAsia="宋体" w:hAnsi="Times New Roman" w:cs="Times New Roman" w:hint="eastAsia"/>
          <w:sz w:val="24"/>
          <w:szCs w:val="21"/>
        </w:rPr>
        <w:t>的色谱柱）；以乙腈为流动相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A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，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0.1%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磷酸溶液为流动相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B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，按下表中的规定进行梯度洗脱；检测波长为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203nm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，流速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0.65ml/min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。理论板数按人参皂苷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Rg</w:t>
      </w:r>
      <w:r w:rsidRPr="009B0366">
        <w:rPr>
          <w:rFonts w:ascii="Times New Roman" w:eastAsia="宋体" w:hAnsi="Times New Roman" w:cs="Times New Roman" w:hint="eastAsia"/>
          <w:sz w:val="24"/>
          <w:szCs w:val="21"/>
          <w:vertAlign w:val="subscript"/>
        </w:rPr>
        <w:t>3</w:t>
      </w:r>
      <w:proofErr w:type="gramStart"/>
      <w:r w:rsidRPr="009B0366">
        <w:rPr>
          <w:rFonts w:ascii="Times New Roman" w:eastAsia="宋体" w:hAnsi="Times New Roman" w:cs="Times New Roman" w:hint="eastAsia"/>
          <w:sz w:val="24"/>
          <w:szCs w:val="21"/>
        </w:rPr>
        <w:t>峰计算</w:t>
      </w:r>
      <w:proofErr w:type="gramEnd"/>
      <w:r w:rsidRPr="009B0366">
        <w:rPr>
          <w:rFonts w:ascii="Times New Roman" w:eastAsia="宋体" w:hAnsi="Times New Roman" w:cs="Times New Roman" w:hint="eastAsia"/>
          <w:sz w:val="24"/>
          <w:szCs w:val="21"/>
        </w:rPr>
        <w:t>应不低于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10000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；人参皂苷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Rg</w:t>
      </w:r>
      <w:r w:rsidRPr="009B0366">
        <w:rPr>
          <w:rFonts w:ascii="Times New Roman" w:eastAsia="宋体" w:hAnsi="Times New Roman" w:cs="Times New Roman" w:hint="eastAsia"/>
          <w:sz w:val="24"/>
          <w:szCs w:val="21"/>
          <w:vertAlign w:val="subscript"/>
        </w:rPr>
        <w:t>3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与相邻色谱峰的分离度应不低于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1.5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6"/>
        <w:gridCol w:w="6"/>
        <w:gridCol w:w="1634"/>
        <w:gridCol w:w="1836"/>
      </w:tblGrid>
      <w:tr w:rsidR="009B0366" w:rsidRPr="009B0366" w:rsidTr="00E14F6F">
        <w:trPr>
          <w:trHeight w:val="277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0366" w:rsidRPr="009B0366" w:rsidRDefault="009B0366" w:rsidP="009B0366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时间（分钟）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B0366" w:rsidRPr="009B0366" w:rsidRDefault="009B0366" w:rsidP="009B0366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0366" w:rsidRPr="009B0366" w:rsidRDefault="009B0366" w:rsidP="009B0366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流动性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A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（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%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0366" w:rsidRPr="009B0366" w:rsidRDefault="009B0366" w:rsidP="009B0366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流动相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B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（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%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）</w:t>
            </w:r>
          </w:p>
        </w:tc>
      </w:tr>
      <w:tr w:rsidR="009B0366" w:rsidRPr="009B0366" w:rsidTr="00E14F6F">
        <w:trPr>
          <w:trHeight w:val="284"/>
          <w:jc w:val="center"/>
        </w:trPr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0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～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2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18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→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82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→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77</w:t>
            </w:r>
          </w:p>
        </w:tc>
      </w:tr>
      <w:tr w:rsidR="009B0366" w:rsidRPr="009B0366" w:rsidTr="00E14F6F">
        <w:trPr>
          <w:trHeight w:val="284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2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5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～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65</w:t>
            </w:r>
          </w:p>
        </w:tc>
        <w:tc>
          <w:tcPr>
            <w:tcW w:w="0" w:type="auto"/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</w:p>
        </w:tc>
        <w:tc>
          <w:tcPr>
            <w:tcW w:w="0" w:type="auto"/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23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→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58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77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→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42</w:t>
            </w:r>
          </w:p>
        </w:tc>
      </w:tr>
      <w:tr w:rsidR="009B0366" w:rsidRPr="009B0366" w:rsidTr="00E14F6F">
        <w:trPr>
          <w:trHeight w:val="284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65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～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70</w:t>
            </w:r>
          </w:p>
        </w:tc>
        <w:tc>
          <w:tcPr>
            <w:tcW w:w="0" w:type="auto"/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</w:p>
        </w:tc>
        <w:tc>
          <w:tcPr>
            <w:tcW w:w="0" w:type="auto"/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5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8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→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90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42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→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10</w:t>
            </w:r>
          </w:p>
        </w:tc>
      </w:tr>
      <w:tr w:rsidR="009B0366" w:rsidRPr="009B0366" w:rsidTr="00E14F6F">
        <w:trPr>
          <w:trHeight w:val="284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70</w:t>
            </w:r>
            <w:r w:rsidRPr="009B0366">
              <w:rPr>
                <w:rFonts w:ascii="Times New Roman" w:eastAsia="宋体" w:hAnsi="Times New Roman" w:cs="Times New Roman"/>
                <w:sz w:val="24"/>
                <w:szCs w:val="21"/>
              </w:rPr>
              <w:t>～</w:t>
            </w: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80</w:t>
            </w:r>
          </w:p>
        </w:tc>
        <w:tc>
          <w:tcPr>
            <w:tcW w:w="0" w:type="auto"/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</w:p>
        </w:tc>
        <w:tc>
          <w:tcPr>
            <w:tcW w:w="0" w:type="auto"/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90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366" w:rsidRPr="009B0366" w:rsidRDefault="009B0366" w:rsidP="009B0366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9B0366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10</w:t>
            </w:r>
          </w:p>
        </w:tc>
      </w:tr>
    </w:tbl>
    <w:p w:rsidR="009B0366" w:rsidRPr="009B0366" w:rsidRDefault="009B0366" w:rsidP="009B0366">
      <w:pPr>
        <w:widowControl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1"/>
        </w:rPr>
      </w:pPr>
      <w:r w:rsidRPr="009B0366">
        <w:rPr>
          <w:rFonts w:ascii="Times New Roman" w:eastAsia="宋体" w:hAnsi="Times New Roman" w:cs="Times New Roman"/>
          <w:b/>
          <w:sz w:val="24"/>
          <w:szCs w:val="21"/>
        </w:rPr>
        <w:t>对照品溶液的制备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取人参皂苷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Rg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  <w:vertAlign w:val="subscript"/>
        </w:rPr>
        <w:t>3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对照品适量，精密称定，加甲醇制成每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1ml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含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40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μ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g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的溶液，即得</w:t>
      </w:r>
      <w:r w:rsidRPr="009B0366">
        <w:rPr>
          <w:rFonts w:ascii="Times New Roman" w:eastAsia="宋体" w:hAnsi="Times New Roman" w:cs="Times New Roman"/>
          <w:sz w:val="24"/>
          <w:szCs w:val="21"/>
        </w:rPr>
        <w:t>。</w:t>
      </w:r>
    </w:p>
    <w:p w:rsidR="009B0366" w:rsidRPr="009B0366" w:rsidRDefault="009B0366" w:rsidP="009B0366">
      <w:pPr>
        <w:widowControl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1"/>
        </w:rPr>
      </w:pPr>
      <w:proofErr w:type="gramStart"/>
      <w:r w:rsidRPr="009B0366">
        <w:rPr>
          <w:rFonts w:ascii="Times New Roman" w:eastAsia="宋体" w:hAnsi="Times New Roman" w:cs="Times New Roman"/>
          <w:b/>
          <w:sz w:val="24"/>
          <w:szCs w:val="21"/>
        </w:rPr>
        <w:t>供试品溶液</w:t>
      </w:r>
      <w:proofErr w:type="gramEnd"/>
      <w:r w:rsidRPr="009B0366">
        <w:rPr>
          <w:rFonts w:ascii="Times New Roman" w:eastAsia="宋体" w:hAnsi="Times New Roman" w:cs="Times New Roman"/>
          <w:b/>
          <w:sz w:val="24"/>
          <w:szCs w:val="21"/>
        </w:rPr>
        <w:t>的制备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取本品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30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粒内容物，精密称定，研细，混匀，取约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 xml:space="preserve">3g, 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精密称定，</w:t>
      </w:r>
      <w:proofErr w:type="gramStart"/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置具塞</w:t>
      </w:r>
      <w:proofErr w:type="gramEnd"/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锥形瓶中，加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70%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乙醇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 xml:space="preserve">30ml, 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密塞，超声处理（功率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 xml:space="preserve">250W, 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频率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50kHz) 30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分钟，滤过（必要时先离心再滤过），用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70%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乙醇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20ml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洗涤容器及滤器，洗液并入滤液中，蒸干，残渣加水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20ml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使溶解，用水饱和的正丁醇振摇提取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 xml:space="preserve">5 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次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 xml:space="preserve">(20ml,20ml, 20ml, 15ml, 15ml), 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合并正丁醇提取液，蒸干，残渣加甲醇溶解，转移至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 xml:space="preserve">10ml </w:t>
      </w:r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量瓶中，加甲醇至刻度，摇匀，滤过，</w:t>
      </w:r>
      <w:proofErr w:type="gramStart"/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取续滤液</w:t>
      </w:r>
      <w:proofErr w:type="gramEnd"/>
      <w:r w:rsidRPr="009B0366">
        <w:rPr>
          <w:rFonts w:ascii="Times New Roman" w:eastAsia="宋体" w:hAnsi="Times New Roman" w:cs="Times New Roman"/>
          <w:color w:val="000000"/>
          <w:sz w:val="24"/>
          <w:szCs w:val="21"/>
        </w:rPr>
        <w:t>，即得</w:t>
      </w:r>
      <w:r w:rsidRPr="009B0366">
        <w:rPr>
          <w:rFonts w:ascii="Times New Roman" w:eastAsia="宋体" w:hAnsi="Times New Roman" w:cs="Times New Roman"/>
          <w:sz w:val="24"/>
          <w:szCs w:val="21"/>
        </w:rPr>
        <w:t>。</w:t>
      </w:r>
    </w:p>
    <w:p w:rsidR="009B0366" w:rsidRPr="009B0366" w:rsidRDefault="009B0366" w:rsidP="009B0366">
      <w:pPr>
        <w:widowControl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1"/>
        </w:rPr>
      </w:pPr>
      <w:r w:rsidRPr="009B0366">
        <w:rPr>
          <w:rFonts w:ascii="Times New Roman" w:eastAsia="宋体" w:hAnsi="Times New Roman" w:cs="Times New Roman"/>
          <w:b/>
          <w:sz w:val="24"/>
          <w:szCs w:val="21"/>
        </w:rPr>
        <w:t>测定法</w:t>
      </w:r>
      <w:r w:rsidRPr="009B0366">
        <w:rPr>
          <w:rFonts w:ascii="Times New Roman" w:eastAsia="宋体" w:hAnsi="Times New Roman" w:cs="Times New Roman"/>
          <w:sz w:val="24"/>
          <w:szCs w:val="21"/>
        </w:rPr>
        <w:t>分别精密吸取对照品溶液与</w:t>
      </w:r>
      <w:proofErr w:type="gramStart"/>
      <w:r w:rsidRPr="009B0366">
        <w:rPr>
          <w:rFonts w:ascii="Times New Roman" w:eastAsia="宋体" w:hAnsi="Times New Roman" w:cs="Times New Roman"/>
          <w:sz w:val="24"/>
          <w:szCs w:val="21"/>
        </w:rPr>
        <w:t>供试品溶液</w:t>
      </w:r>
      <w:proofErr w:type="gramEnd"/>
      <w:r w:rsidRPr="009B0366">
        <w:rPr>
          <w:rFonts w:ascii="Times New Roman" w:eastAsia="宋体" w:hAnsi="Times New Roman" w:cs="Times New Roman"/>
          <w:sz w:val="24"/>
          <w:szCs w:val="21"/>
        </w:rPr>
        <w:t>各</w:t>
      </w:r>
      <w:r w:rsidRPr="009B0366">
        <w:rPr>
          <w:rFonts w:ascii="Times New Roman" w:eastAsia="宋体" w:hAnsi="Times New Roman" w:cs="Times New Roman"/>
          <w:sz w:val="24"/>
          <w:szCs w:val="21"/>
        </w:rPr>
        <w:t>10μl</w:t>
      </w:r>
      <w:r w:rsidRPr="009B0366">
        <w:rPr>
          <w:rFonts w:ascii="Times New Roman" w:eastAsia="宋体" w:hAnsi="Times New Roman" w:cs="Times New Roman"/>
          <w:sz w:val="24"/>
          <w:szCs w:val="21"/>
        </w:rPr>
        <w:t>，注入</w:t>
      </w:r>
      <w:r w:rsidRPr="009B0366">
        <w:rPr>
          <w:rFonts w:ascii="Times New Roman" w:eastAsia="宋体" w:hAnsi="Times New Roman" w:cs="Times New Roman" w:hint="eastAsia"/>
          <w:sz w:val="24"/>
          <w:szCs w:val="21"/>
        </w:rPr>
        <w:t>液</w:t>
      </w:r>
      <w:r w:rsidRPr="009B0366">
        <w:rPr>
          <w:rFonts w:ascii="Times New Roman" w:eastAsia="宋体" w:hAnsi="Times New Roman" w:cs="Times New Roman"/>
          <w:sz w:val="24"/>
          <w:szCs w:val="21"/>
        </w:rPr>
        <w:t>相色谱仪，测定，即得。</w:t>
      </w:r>
    </w:p>
    <w:p w:rsidR="000215F8" w:rsidRDefault="009B0366" w:rsidP="009B0366"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本品每粒含红参以人参皂苷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Rg</w:t>
      </w:r>
      <w:r w:rsidRPr="009B0366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3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C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  <w:vertAlign w:val="subscript"/>
        </w:rPr>
        <w:t>42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H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  <w:vertAlign w:val="subscript"/>
        </w:rPr>
        <w:t>72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O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  <w:vertAlign w:val="subscript"/>
        </w:rPr>
        <w:t>13</w:t>
      </w:r>
      <w:r w:rsidRPr="009B0366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）计</w:t>
      </w:r>
      <w:r w:rsidRPr="009B0366">
        <w:rPr>
          <w:rFonts w:ascii="Times New Roman" w:eastAsia="宋体" w:hAnsi="Times New Roman" w:cs="Times New Roman"/>
          <w:color w:val="000000"/>
          <w:sz w:val="24"/>
          <w:szCs w:val="24"/>
        </w:rPr>
        <w:t>，不得少于</w:t>
      </w:r>
      <w:r w:rsidRPr="009B0366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35.0μg</w:t>
      </w:r>
      <w:r w:rsidRPr="009B0366">
        <w:rPr>
          <w:rFonts w:ascii="Times New Roman" w:eastAsia="宋体" w:hAnsi="Times New Roman" w:cs="Times New Roman"/>
          <w:sz w:val="24"/>
          <w:szCs w:val="21"/>
        </w:rPr>
        <w:t>。</w:t>
      </w:r>
    </w:p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2C4" w:rsidRDefault="008942C4" w:rsidP="009B0366">
      <w:r>
        <w:separator/>
      </w:r>
    </w:p>
  </w:endnote>
  <w:endnote w:type="continuationSeparator" w:id="0">
    <w:p w:rsidR="008942C4" w:rsidRDefault="008942C4" w:rsidP="009B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2C4" w:rsidRDefault="008942C4" w:rsidP="009B0366">
      <w:r>
        <w:separator/>
      </w:r>
    </w:p>
  </w:footnote>
  <w:footnote w:type="continuationSeparator" w:id="0">
    <w:p w:rsidR="008942C4" w:rsidRDefault="008942C4" w:rsidP="009B03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AF9"/>
    <w:rsid w:val="000215F8"/>
    <w:rsid w:val="000B3422"/>
    <w:rsid w:val="00105599"/>
    <w:rsid w:val="005C7AF9"/>
    <w:rsid w:val="008942C4"/>
    <w:rsid w:val="009B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3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3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3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3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Company>P R C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2023-03-07T05:29:00Z</dcterms:created>
  <dcterms:modified xsi:type="dcterms:W3CDTF">2023-03-07T05:29:00Z</dcterms:modified>
</cp:coreProperties>
</file>