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4AF6" w:rsidRPr="00774AF6" w:rsidRDefault="00774AF6" w:rsidP="00774AF6">
      <w:pPr>
        <w:snapToGrid w:val="0"/>
        <w:spacing w:line="360" w:lineRule="auto"/>
        <w:ind w:leftChars="228" w:left="479"/>
        <w:jc w:val="center"/>
        <w:rPr>
          <w:rFonts w:ascii="宋体" w:eastAsia="宋体" w:hAnsi="宋体" w:cs="Times New Roman"/>
          <w:b/>
          <w:sz w:val="22"/>
          <w:szCs w:val="24"/>
        </w:rPr>
      </w:pPr>
      <w:bookmarkStart w:id="0" w:name="_GoBack"/>
      <w:r w:rsidRPr="00774AF6">
        <w:rPr>
          <w:rFonts w:ascii="宋体" w:eastAsia="宋体" w:hAnsi="宋体" w:cs="黑体" w:hint="eastAsia"/>
          <w:b/>
          <w:sz w:val="28"/>
          <w:szCs w:val="32"/>
        </w:rPr>
        <w:t>鼻炎灵片</w:t>
      </w:r>
      <w:r w:rsidRPr="00774AF6">
        <w:rPr>
          <w:rFonts w:ascii="宋体" w:eastAsia="宋体" w:hAnsi="宋体" w:cs="Times New Roman" w:hint="eastAsia"/>
          <w:b/>
          <w:sz w:val="28"/>
          <w:szCs w:val="32"/>
        </w:rPr>
        <w:t>中薄荷脑含量测定方法</w:t>
      </w:r>
    </w:p>
    <w:bookmarkEnd w:id="0"/>
    <w:p w:rsidR="00774AF6" w:rsidRPr="00774AF6" w:rsidRDefault="00774AF6" w:rsidP="00774AF6">
      <w:pPr>
        <w:snapToGrid w:val="0"/>
        <w:spacing w:line="360" w:lineRule="auto"/>
        <w:ind w:firstLineChars="200" w:firstLine="480"/>
        <w:rPr>
          <w:rFonts w:ascii="宋体" w:eastAsia="宋体" w:hAnsi="宋体" w:cs="Times New Roman"/>
          <w:sz w:val="24"/>
          <w:szCs w:val="24"/>
        </w:rPr>
      </w:pPr>
      <w:r w:rsidRPr="00774AF6">
        <w:rPr>
          <w:rFonts w:ascii="宋体" w:eastAsia="宋体" w:hAnsi="宋体" w:cs="Times New Roman"/>
          <w:sz w:val="24"/>
          <w:szCs w:val="24"/>
        </w:rPr>
        <w:t>【</w:t>
      </w:r>
      <w:r w:rsidRPr="00774AF6">
        <w:rPr>
          <w:rFonts w:ascii="宋体" w:eastAsia="宋体" w:hAnsi="宋体" w:cs="Times New Roman"/>
          <w:b/>
          <w:bCs/>
          <w:sz w:val="24"/>
          <w:szCs w:val="24"/>
        </w:rPr>
        <w:t>含量测定</w:t>
      </w:r>
      <w:r w:rsidRPr="00774AF6">
        <w:rPr>
          <w:rFonts w:ascii="宋体" w:eastAsia="宋体" w:hAnsi="宋体" w:cs="Times New Roman"/>
          <w:sz w:val="24"/>
          <w:szCs w:val="24"/>
        </w:rPr>
        <w:t>】照气相色谱法(《中国药典》2020年版四部 通则0521)测定。</w:t>
      </w:r>
    </w:p>
    <w:p w:rsidR="00774AF6" w:rsidRPr="00774AF6" w:rsidRDefault="00774AF6" w:rsidP="00774AF6">
      <w:pPr>
        <w:snapToGrid w:val="0"/>
        <w:spacing w:line="360" w:lineRule="auto"/>
        <w:ind w:firstLineChars="200" w:firstLine="482"/>
        <w:rPr>
          <w:rFonts w:ascii="宋体" w:eastAsia="宋体" w:hAnsi="宋体" w:cs="Times New Roman"/>
          <w:sz w:val="24"/>
          <w:szCs w:val="24"/>
        </w:rPr>
      </w:pPr>
      <w:r w:rsidRPr="00774AF6">
        <w:rPr>
          <w:rFonts w:ascii="宋体" w:eastAsia="宋体" w:hAnsi="宋体" w:cs="Times New Roman"/>
          <w:b/>
          <w:bCs/>
          <w:sz w:val="24"/>
          <w:szCs w:val="24"/>
        </w:rPr>
        <w:t>色谱条件与系统适用性试验</w:t>
      </w:r>
      <w:r w:rsidRPr="00774AF6">
        <w:rPr>
          <w:rFonts w:ascii="宋体" w:eastAsia="宋体" w:hAnsi="宋体" w:cs="Times New Roman"/>
          <w:sz w:val="24"/>
          <w:szCs w:val="24"/>
        </w:rPr>
        <w:t xml:space="preserve">  以</w:t>
      </w:r>
      <w:r w:rsidRPr="00774AF6">
        <w:rPr>
          <w:rFonts w:ascii="宋体" w:eastAsia="宋体" w:hAnsi="宋体" w:cs="Times New Roman"/>
          <w:color w:val="000000"/>
          <w:sz w:val="24"/>
          <w:szCs w:val="24"/>
        </w:rPr>
        <w:t>聚乙二醇(PEG)为固定相的毛细管柱</w:t>
      </w:r>
      <w:r w:rsidRPr="00774AF6">
        <w:rPr>
          <w:rFonts w:ascii="宋体" w:eastAsia="宋体" w:hAnsi="宋体" w:cs="Times New Roman"/>
          <w:sz w:val="24"/>
          <w:szCs w:val="24"/>
        </w:rPr>
        <w:t>（柱长为30m，内径为0.32mm，膜厚度0.25μm）</w:t>
      </w:r>
      <w:proofErr w:type="gramStart"/>
      <w:r w:rsidRPr="00774AF6">
        <w:rPr>
          <w:rFonts w:ascii="宋体" w:eastAsia="宋体" w:hAnsi="宋体" w:cs="Times New Roman"/>
          <w:sz w:val="24"/>
          <w:szCs w:val="24"/>
        </w:rPr>
        <w:t>柱温为</w:t>
      </w:r>
      <w:proofErr w:type="gramEnd"/>
      <w:r w:rsidRPr="00774AF6">
        <w:rPr>
          <w:rFonts w:ascii="宋体" w:eastAsia="宋体" w:hAnsi="宋体" w:cs="Times New Roman"/>
          <w:sz w:val="24"/>
          <w:szCs w:val="24"/>
        </w:rPr>
        <w:t>程序升温；</w:t>
      </w:r>
      <w:r w:rsidRPr="00774AF6">
        <w:rPr>
          <w:rFonts w:ascii="宋体" w:eastAsia="宋体" w:hAnsi="宋体" w:cs="Times New Roman"/>
          <w:color w:val="000000"/>
          <w:sz w:val="24"/>
          <w:szCs w:val="24"/>
        </w:rPr>
        <w:t>初始温度90</w:t>
      </w:r>
      <w:r w:rsidRPr="00774AF6">
        <w:rPr>
          <w:rFonts w:ascii="宋体" w:eastAsia="宋体" w:hAnsi="宋体" w:cs="宋体" w:hint="eastAsia"/>
          <w:color w:val="000000"/>
          <w:sz w:val="24"/>
          <w:szCs w:val="24"/>
        </w:rPr>
        <w:t>℃</w:t>
      </w:r>
      <w:r w:rsidRPr="00774AF6">
        <w:rPr>
          <w:rFonts w:ascii="宋体" w:eastAsia="宋体" w:hAnsi="宋体" w:cs="Times New Roman"/>
          <w:color w:val="000000"/>
          <w:sz w:val="24"/>
          <w:szCs w:val="24"/>
        </w:rPr>
        <w:t>，以每分钟13</w:t>
      </w:r>
      <w:r w:rsidRPr="00774AF6">
        <w:rPr>
          <w:rFonts w:ascii="宋体" w:eastAsia="宋体" w:hAnsi="宋体" w:cs="宋体" w:hint="eastAsia"/>
          <w:color w:val="000000"/>
          <w:sz w:val="24"/>
          <w:szCs w:val="24"/>
        </w:rPr>
        <w:t>℃</w:t>
      </w:r>
      <w:r w:rsidRPr="00774AF6">
        <w:rPr>
          <w:rFonts w:ascii="宋体" w:eastAsia="宋体" w:hAnsi="宋体" w:cs="Times New Roman"/>
          <w:color w:val="000000"/>
          <w:sz w:val="24"/>
          <w:szCs w:val="24"/>
        </w:rPr>
        <w:t>的速率升至170</w:t>
      </w:r>
      <w:r w:rsidRPr="00774AF6">
        <w:rPr>
          <w:rFonts w:ascii="宋体" w:eastAsia="宋体" w:hAnsi="宋体" w:cs="宋体" w:hint="eastAsia"/>
          <w:color w:val="000000"/>
          <w:sz w:val="24"/>
          <w:szCs w:val="24"/>
        </w:rPr>
        <w:t>℃</w:t>
      </w:r>
      <w:r w:rsidRPr="00774AF6">
        <w:rPr>
          <w:rFonts w:ascii="宋体" w:eastAsia="宋体" w:hAnsi="宋体" w:cs="Times New Roman"/>
          <w:color w:val="000000"/>
          <w:sz w:val="24"/>
          <w:szCs w:val="24"/>
        </w:rPr>
        <w:t>，保持15分钟</w:t>
      </w:r>
      <w:r w:rsidRPr="00774AF6">
        <w:rPr>
          <w:rFonts w:ascii="宋体" w:eastAsia="宋体" w:hAnsi="宋体" w:cs="Times New Roman"/>
          <w:sz w:val="24"/>
          <w:szCs w:val="24"/>
        </w:rPr>
        <w:t>。</w:t>
      </w:r>
    </w:p>
    <w:p w:rsidR="00774AF6" w:rsidRPr="00774AF6" w:rsidRDefault="00774AF6" w:rsidP="00774AF6">
      <w:pPr>
        <w:spacing w:line="360" w:lineRule="auto"/>
        <w:ind w:firstLineChars="200" w:firstLine="482"/>
        <w:jc w:val="left"/>
        <w:rPr>
          <w:rFonts w:ascii="宋体" w:eastAsia="宋体" w:hAnsi="宋体" w:cs="Times New Roman"/>
          <w:sz w:val="24"/>
          <w:szCs w:val="24"/>
        </w:rPr>
      </w:pPr>
      <w:r w:rsidRPr="00774AF6">
        <w:rPr>
          <w:rFonts w:ascii="宋体" w:eastAsia="宋体" w:hAnsi="宋体" w:cs="Times New Roman"/>
          <w:b/>
          <w:bCs/>
          <w:sz w:val="24"/>
          <w:szCs w:val="24"/>
        </w:rPr>
        <w:t xml:space="preserve">对照品溶液的制备 </w:t>
      </w:r>
      <w:r w:rsidRPr="00774AF6">
        <w:rPr>
          <w:rFonts w:ascii="宋体" w:eastAsia="宋体" w:hAnsi="宋体" w:cs="Times New Roman"/>
          <w:sz w:val="24"/>
        </w:rPr>
        <w:t>取薄荷脑对照品适量，精密称定，加无水乙醇制成每1ml含1mg的溶液，作为对照品溶液。</w:t>
      </w:r>
    </w:p>
    <w:p w:rsidR="00774AF6" w:rsidRPr="00774AF6" w:rsidRDefault="00774AF6" w:rsidP="00774AF6">
      <w:pPr>
        <w:spacing w:line="360" w:lineRule="auto"/>
        <w:ind w:firstLineChars="200" w:firstLine="482"/>
        <w:jc w:val="left"/>
        <w:rPr>
          <w:rFonts w:ascii="宋体" w:eastAsia="宋体" w:hAnsi="宋体" w:cs="Times New Roman"/>
          <w:bCs/>
          <w:kern w:val="0"/>
          <w:sz w:val="24"/>
          <w:szCs w:val="24"/>
        </w:rPr>
      </w:pPr>
      <w:proofErr w:type="gramStart"/>
      <w:r w:rsidRPr="00774AF6">
        <w:rPr>
          <w:rFonts w:ascii="宋体" w:eastAsia="宋体" w:hAnsi="宋体" w:cs="Times New Roman"/>
          <w:b/>
          <w:bCs/>
          <w:sz w:val="24"/>
          <w:szCs w:val="24"/>
        </w:rPr>
        <w:t>供试品溶液</w:t>
      </w:r>
      <w:proofErr w:type="gramEnd"/>
      <w:r w:rsidRPr="00774AF6">
        <w:rPr>
          <w:rFonts w:ascii="宋体" w:eastAsia="宋体" w:hAnsi="宋体" w:cs="Times New Roman"/>
          <w:b/>
          <w:bCs/>
          <w:sz w:val="24"/>
          <w:szCs w:val="24"/>
        </w:rPr>
        <w:t>的制备</w:t>
      </w:r>
      <w:r w:rsidRPr="00774AF6">
        <w:rPr>
          <w:rFonts w:ascii="宋体" w:eastAsia="宋体" w:hAnsi="宋体" w:cs="Times New Roman"/>
          <w:sz w:val="24"/>
          <w:szCs w:val="24"/>
        </w:rPr>
        <w:t xml:space="preserve"> 取本品20片，除去包衣，研细，取2g，精密称定，精密加入无水乙醇20ml，超声处理（功率360W，频率50kHz）30分钟，摇匀，滤过，取滤液，作为</w:t>
      </w:r>
      <w:proofErr w:type="gramStart"/>
      <w:r w:rsidRPr="00774AF6">
        <w:rPr>
          <w:rFonts w:ascii="宋体" w:eastAsia="宋体" w:hAnsi="宋体" w:cs="Times New Roman"/>
          <w:sz w:val="24"/>
          <w:szCs w:val="24"/>
        </w:rPr>
        <w:t>供试品溶液</w:t>
      </w:r>
      <w:proofErr w:type="gramEnd"/>
      <w:r w:rsidRPr="00774AF6">
        <w:rPr>
          <w:rFonts w:ascii="宋体" w:eastAsia="宋体" w:hAnsi="宋体" w:cs="Times New Roman"/>
          <w:bCs/>
          <w:kern w:val="0"/>
          <w:sz w:val="24"/>
          <w:szCs w:val="24"/>
        </w:rPr>
        <w:t>。</w:t>
      </w:r>
    </w:p>
    <w:p w:rsidR="00774AF6" w:rsidRPr="00774AF6" w:rsidRDefault="00774AF6" w:rsidP="00774AF6">
      <w:pPr>
        <w:snapToGrid w:val="0"/>
        <w:spacing w:line="360" w:lineRule="auto"/>
        <w:ind w:firstLineChars="200" w:firstLine="482"/>
        <w:rPr>
          <w:rFonts w:ascii="宋体" w:eastAsia="宋体" w:hAnsi="宋体" w:cs="Times New Roman"/>
          <w:bCs/>
          <w:kern w:val="0"/>
          <w:sz w:val="24"/>
          <w:szCs w:val="24"/>
        </w:rPr>
      </w:pPr>
      <w:r w:rsidRPr="00774AF6">
        <w:rPr>
          <w:rFonts w:ascii="宋体" w:eastAsia="宋体" w:hAnsi="宋体" w:cs="Times New Roman"/>
          <w:b/>
          <w:bCs/>
          <w:sz w:val="24"/>
          <w:szCs w:val="24"/>
        </w:rPr>
        <w:t xml:space="preserve">测定法  </w:t>
      </w:r>
      <w:r w:rsidRPr="00774AF6">
        <w:rPr>
          <w:rFonts w:ascii="宋体" w:eastAsia="宋体" w:hAnsi="宋体" w:cs="Times New Roman"/>
          <w:bCs/>
          <w:kern w:val="0"/>
          <w:sz w:val="24"/>
          <w:szCs w:val="24"/>
        </w:rPr>
        <w:t xml:space="preserve">分别精密吸取上述溶液各1 </w:t>
      </w:r>
      <w:proofErr w:type="spellStart"/>
      <w:r w:rsidRPr="00774AF6">
        <w:rPr>
          <w:rFonts w:ascii="宋体" w:eastAsia="宋体" w:hAnsi="宋体" w:cs="Times New Roman"/>
          <w:bCs/>
          <w:kern w:val="0"/>
          <w:sz w:val="24"/>
          <w:szCs w:val="24"/>
        </w:rPr>
        <w:t>μl</w:t>
      </w:r>
      <w:proofErr w:type="spellEnd"/>
      <w:r w:rsidRPr="00774AF6">
        <w:rPr>
          <w:rFonts w:ascii="宋体" w:eastAsia="宋体" w:hAnsi="宋体" w:cs="Times New Roman"/>
          <w:bCs/>
          <w:kern w:val="0"/>
          <w:sz w:val="24"/>
          <w:szCs w:val="24"/>
        </w:rPr>
        <w:t>，注入气相色谱仪，测定，即得。</w:t>
      </w:r>
    </w:p>
    <w:p w:rsidR="00774AF6" w:rsidRPr="00774AF6" w:rsidRDefault="00774AF6" w:rsidP="00774AF6">
      <w:pPr>
        <w:snapToGrid w:val="0"/>
        <w:spacing w:line="360" w:lineRule="auto"/>
        <w:ind w:firstLineChars="200" w:firstLine="480"/>
        <w:rPr>
          <w:rFonts w:ascii="宋体" w:eastAsia="宋体" w:hAnsi="宋体" w:cs="Times New Roman"/>
          <w:kern w:val="0"/>
          <w:sz w:val="24"/>
          <w:szCs w:val="24"/>
        </w:rPr>
      </w:pPr>
      <w:r w:rsidRPr="00774AF6">
        <w:rPr>
          <w:rFonts w:ascii="宋体" w:eastAsia="宋体" w:hAnsi="宋体" w:cs="Times New Roman"/>
          <w:kern w:val="0"/>
          <w:sz w:val="24"/>
          <w:szCs w:val="24"/>
        </w:rPr>
        <w:t>本品每1片含薄荷脑</w:t>
      </w:r>
      <w:r w:rsidRPr="00774AF6">
        <w:rPr>
          <w:rFonts w:ascii="宋体" w:eastAsia="宋体" w:hAnsi="宋体" w:cs="Times New Roman"/>
          <w:color w:val="000000"/>
          <w:sz w:val="24"/>
          <w:szCs w:val="24"/>
          <w:shd w:val="clear" w:color="auto" w:fill="FFFFFF"/>
        </w:rPr>
        <w:t>（C</w:t>
      </w:r>
      <w:r w:rsidRPr="00774AF6">
        <w:rPr>
          <w:rFonts w:ascii="宋体" w:eastAsia="宋体" w:hAnsi="宋体" w:cs="Times New Roman"/>
          <w:color w:val="000000"/>
          <w:sz w:val="24"/>
          <w:szCs w:val="24"/>
          <w:shd w:val="clear" w:color="auto" w:fill="FFFFFF"/>
          <w:vertAlign w:val="subscript"/>
        </w:rPr>
        <w:t>10</w:t>
      </w:r>
      <w:r w:rsidRPr="00774AF6">
        <w:rPr>
          <w:rFonts w:ascii="宋体" w:eastAsia="宋体" w:hAnsi="宋体" w:cs="Times New Roman"/>
          <w:color w:val="000000"/>
          <w:sz w:val="24"/>
          <w:szCs w:val="24"/>
          <w:shd w:val="clear" w:color="auto" w:fill="FFFFFF"/>
        </w:rPr>
        <w:t>H</w:t>
      </w:r>
      <w:r w:rsidRPr="00774AF6">
        <w:rPr>
          <w:rFonts w:ascii="宋体" w:eastAsia="宋体" w:hAnsi="宋体" w:cs="Times New Roman"/>
          <w:color w:val="000000"/>
          <w:sz w:val="24"/>
          <w:szCs w:val="24"/>
          <w:shd w:val="clear" w:color="auto" w:fill="FFFFFF"/>
          <w:vertAlign w:val="subscript"/>
        </w:rPr>
        <w:t>20</w:t>
      </w:r>
      <w:r w:rsidRPr="00774AF6">
        <w:rPr>
          <w:rFonts w:ascii="宋体" w:eastAsia="宋体" w:hAnsi="宋体" w:cs="Times New Roman"/>
          <w:color w:val="000000"/>
          <w:sz w:val="24"/>
          <w:szCs w:val="24"/>
          <w:shd w:val="clear" w:color="auto" w:fill="FFFFFF"/>
        </w:rPr>
        <w:t>O）</w:t>
      </w:r>
      <w:r w:rsidRPr="00774AF6">
        <w:rPr>
          <w:rFonts w:ascii="宋体" w:eastAsia="宋体" w:hAnsi="宋体" w:cs="Times New Roman"/>
          <w:kern w:val="0"/>
          <w:sz w:val="24"/>
          <w:szCs w:val="24"/>
        </w:rPr>
        <w:t>不得少于1.90mg。</w:t>
      </w:r>
    </w:p>
    <w:p w:rsidR="000215F8" w:rsidRPr="00774AF6" w:rsidRDefault="000215F8">
      <w:pPr>
        <w:rPr>
          <w:rFonts w:ascii="宋体" w:eastAsia="宋体" w:hAnsi="宋体"/>
        </w:rPr>
      </w:pPr>
    </w:p>
    <w:sectPr w:rsidR="000215F8" w:rsidRPr="00774AF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559DE" w:rsidRDefault="006559DE" w:rsidP="00774AF6">
      <w:r>
        <w:separator/>
      </w:r>
    </w:p>
  </w:endnote>
  <w:endnote w:type="continuationSeparator" w:id="0">
    <w:p w:rsidR="006559DE" w:rsidRDefault="006559DE" w:rsidP="00774A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559DE" w:rsidRDefault="006559DE" w:rsidP="00774AF6">
      <w:r>
        <w:separator/>
      </w:r>
    </w:p>
  </w:footnote>
  <w:footnote w:type="continuationSeparator" w:id="0">
    <w:p w:rsidR="006559DE" w:rsidRDefault="006559DE" w:rsidP="00774AF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2DE4"/>
    <w:rsid w:val="000215F8"/>
    <w:rsid w:val="000B3422"/>
    <w:rsid w:val="00105599"/>
    <w:rsid w:val="006559DE"/>
    <w:rsid w:val="00774AF6"/>
    <w:rsid w:val="00C92D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74AF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74AF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74AF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74AF6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74AF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74AF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74AF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74AF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54</Words>
  <Characters>311</Characters>
  <Application>Microsoft Office Word</Application>
  <DocSecurity>0</DocSecurity>
  <Lines>2</Lines>
  <Paragraphs>1</Paragraphs>
  <ScaleCrop>false</ScaleCrop>
  <Company>P R C</Company>
  <LinksUpToDate>false</LinksUpToDate>
  <CharactersWithSpaces>364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</cp:revision>
  <dcterms:created xsi:type="dcterms:W3CDTF">2023-02-24T07:52:00Z</dcterms:created>
  <dcterms:modified xsi:type="dcterms:W3CDTF">2023-02-24T07:52:00Z</dcterms:modified>
</cp:coreProperties>
</file>