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5FD8" w:rsidRPr="006111DE" w:rsidRDefault="00FB5FD8" w:rsidP="00FB5FD8">
      <w:pPr>
        <w:spacing w:line="360" w:lineRule="auto"/>
        <w:jc w:val="center"/>
        <w:rPr>
          <w:rFonts w:ascii="宋体" w:hAnsi="宋体"/>
          <w:b/>
          <w:sz w:val="28"/>
          <w:szCs w:val="28"/>
        </w:rPr>
      </w:pPr>
      <w:bookmarkStart w:id="0" w:name="_GoBack"/>
      <w:r w:rsidRPr="006111DE">
        <w:rPr>
          <w:rFonts w:ascii="宋体" w:hAnsi="宋体" w:hint="eastAsia"/>
          <w:b/>
          <w:sz w:val="28"/>
          <w:szCs w:val="28"/>
        </w:rPr>
        <w:t>片姜黄含量测定方法</w:t>
      </w:r>
    </w:p>
    <w:bookmarkEnd w:id="0"/>
    <w:p w:rsidR="00FB5FD8" w:rsidRPr="006111DE" w:rsidRDefault="00FB5FD8" w:rsidP="00FB5FD8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6111DE">
        <w:rPr>
          <w:rFonts w:ascii="宋体" w:hAnsi="宋体" w:hint="eastAsia"/>
          <w:sz w:val="24"/>
        </w:rPr>
        <w:t>照高效液相色谱法</w:t>
      </w:r>
      <w:r w:rsidRPr="006111DE">
        <w:rPr>
          <w:rFonts w:ascii="宋体" w:hAnsi="宋体" w:hint="eastAsia"/>
          <w:sz w:val="24"/>
          <w:szCs w:val="32"/>
        </w:rPr>
        <w:t>（通则</w:t>
      </w:r>
      <w:r w:rsidRPr="006111DE">
        <w:rPr>
          <w:rFonts w:ascii="宋体" w:hAnsi="宋体"/>
          <w:sz w:val="24"/>
          <w:szCs w:val="32"/>
        </w:rPr>
        <w:t>0512</w:t>
      </w:r>
      <w:r w:rsidRPr="006111DE">
        <w:rPr>
          <w:rFonts w:ascii="宋体" w:hAnsi="宋体" w:hint="eastAsia"/>
          <w:sz w:val="24"/>
          <w:szCs w:val="32"/>
        </w:rPr>
        <w:t>）</w:t>
      </w:r>
      <w:r w:rsidRPr="006111DE">
        <w:rPr>
          <w:rFonts w:ascii="宋体" w:hAnsi="宋体" w:hint="eastAsia"/>
          <w:sz w:val="24"/>
        </w:rPr>
        <w:t>测定</w:t>
      </w:r>
    </w:p>
    <w:p w:rsidR="00FB5FD8" w:rsidRDefault="00FB5FD8" w:rsidP="00FB5FD8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色谱条件与系统适用性试验：以十八烷基硅烷键合硅胶为填充剂；以乙腈为流动相</w:t>
      </w:r>
      <w:r>
        <w:rPr>
          <w:sz w:val="24"/>
        </w:rPr>
        <w:t>A</w:t>
      </w:r>
      <w:r>
        <w:rPr>
          <w:sz w:val="24"/>
        </w:rPr>
        <w:t>，</w:t>
      </w:r>
      <w:r>
        <w:rPr>
          <w:rFonts w:hint="eastAsia"/>
          <w:sz w:val="24"/>
        </w:rPr>
        <w:t>0</w:t>
      </w:r>
      <w:r>
        <w:rPr>
          <w:sz w:val="24"/>
        </w:rPr>
        <w:t>.05</w:t>
      </w:r>
      <w:r>
        <w:rPr>
          <w:rFonts w:hint="eastAsia"/>
          <w:sz w:val="24"/>
        </w:rPr>
        <w:t>%</w:t>
      </w:r>
      <w:r>
        <w:rPr>
          <w:rFonts w:hint="eastAsia"/>
          <w:sz w:val="24"/>
        </w:rPr>
        <w:t>磷酸</w:t>
      </w:r>
      <w:r>
        <w:rPr>
          <w:sz w:val="24"/>
        </w:rPr>
        <w:t>为流动相</w:t>
      </w:r>
      <w:r>
        <w:rPr>
          <w:sz w:val="24"/>
        </w:rPr>
        <w:t>B</w:t>
      </w:r>
      <w:r>
        <w:rPr>
          <w:sz w:val="24"/>
        </w:rPr>
        <w:t>，按下表进行梯度洗脱；</w:t>
      </w:r>
      <w:proofErr w:type="gramStart"/>
      <w:r>
        <w:rPr>
          <w:sz w:val="24"/>
        </w:rPr>
        <w:t>柱温</w:t>
      </w:r>
      <w:proofErr w:type="gramEnd"/>
      <w:r>
        <w:rPr>
          <w:sz w:val="24"/>
        </w:rPr>
        <w:t>35 ℃</w:t>
      </w:r>
      <w:r>
        <w:rPr>
          <w:sz w:val="24"/>
        </w:rPr>
        <w:t>；检测波长为</w:t>
      </w:r>
      <w:r>
        <w:rPr>
          <w:sz w:val="24"/>
        </w:rPr>
        <w:t>216 nm</w:t>
      </w:r>
      <w:r>
        <w:rPr>
          <w:sz w:val="24"/>
        </w:rPr>
        <w:t>。理论板数按</w:t>
      </w:r>
      <w:proofErr w:type="gramStart"/>
      <w:r>
        <w:rPr>
          <w:sz w:val="24"/>
        </w:rPr>
        <w:t>牻</w:t>
      </w:r>
      <w:proofErr w:type="gramEnd"/>
      <w:r>
        <w:rPr>
          <w:sz w:val="24"/>
        </w:rPr>
        <w:t>牛儿</w:t>
      </w:r>
      <w:proofErr w:type="gramStart"/>
      <w:r>
        <w:rPr>
          <w:sz w:val="24"/>
        </w:rPr>
        <w:t>酮峰计算</w:t>
      </w:r>
      <w:proofErr w:type="gramEnd"/>
      <w:r>
        <w:rPr>
          <w:sz w:val="24"/>
        </w:rPr>
        <w:t>应不低于</w:t>
      </w:r>
      <w:r>
        <w:rPr>
          <w:sz w:val="24"/>
        </w:rPr>
        <w:t>5000</w:t>
      </w:r>
      <w:r>
        <w:rPr>
          <w:sz w:val="24"/>
        </w:rPr>
        <w:t>。</w:t>
      </w:r>
    </w:p>
    <w:tbl>
      <w:tblPr>
        <w:tblW w:w="0" w:type="auto"/>
        <w:jc w:val="center"/>
        <w:tblBorders>
          <w:top w:val="single" w:sz="12" w:space="0" w:color="auto"/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1481"/>
        <w:gridCol w:w="1597"/>
        <w:gridCol w:w="1710"/>
      </w:tblGrid>
      <w:tr w:rsidR="00FB5FD8" w:rsidTr="00E14DFC">
        <w:trPr>
          <w:trHeight w:hRule="exact" w:val="425"/>
          <w:jc w:val="center"/>
        </w:trPr>
        <w:tc>
          <w:tcPr>
            <w:tcW w:w="1481" w:type="dxa"/>
            <w:tcBorders>
              <w:top w:val="single" w:sz="12" w:space="0" w:color="auto"/>
              <w:left w:val="nil"/>
              <w:bottom w:val="single" w:sz="6" w:space="0" w:color="auto"/>
              <w:right w:val="nil"/>
              <w:tl2br w:val="nil"/>
              <w:tr2bl w:val="nil"/>
            </w:tcBorders>
            <w:shd w:val="clear" w:color="auto" w:fill="auto"/>
            <w:vAlign w:val="center"/>
          </w:tcPr>
          <w:p w:rsidR="00FB5FD8" w:rsidRDefault="00FB5FD8" w:rsidP="00E14DF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时间（</w:t>
            </w:r>
            <w:r>
              <w:rPr>
                <w:rFonts w:ascii="宋体" w:hAnsi="宋体" w:hint="eastAsia"/>
                <w:szCs w:val="21"/>
              </w:rPr>
              <w:t>min</w:t>
            </w:r>
            <w:r>
              <w:rPr>
                <w:rFonts w:ascii="宋体" w:hAnsi="宋体"/>
                <w:szCs w:val="21"/>
              </w:rPr>
              <w:t>）</w:t>
            </w:r>
          </w:p>
        </w:tc>
        <w:tc>
          <w:tcPr>
            <w:tcW w:w="1597" w:type="dxa"/>
            <w:tcBorders>
              <w:top w:val="single" w:sz="12" w:space="0" w:color="auto"/>
              <w:left w:val="nil"/>
              <w:bottom w:val="single" w:sz="6" w:space="0" w:color="auto"/>
              <w:right w:val="nil"/>
              <w:tl2br w:val="nil"/>
              <w:tr2bl w:val="nil"/>
            </w:tcBorders>
            <w:shd w:val="clear" w:color="auto" w:fill="auto"/>
            <w:vAlign w:val="center"/>
          </w:tcPr>
          <w:p w:rsidR="00FB5FD8" w:rsidRDefault="00FB5FD8" w:rsidP="00E14DF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流动相A(%)</w:t>
            </w:r>
          </w:p>
        </w:tc>
        <w:tc>
          <w:tcPr>
            <w:tcW w:w="1710" w:type="dxa"/>
            <w:tcBorders>
              <w:top w:val="single" w:sz="12" w:space="0" w:color="auto"/>
              <w:left w:val="nil"/>
              <w:bottom w:val="single" w:sz="6" w:space="0" w:color="auto"/>
              <w:right w:val="nil"/>
              <w:tl2br w:val="nil"/>
              <w:tr2bl w:val="nil"/>
            </w:tcBorders>
            <w:shd w:val="clear" w:color="auto" w:fill="auto"/>
            <w:vAlign w:val="center"/>
          </w:tcPr>
          <w:p w:rsidR="00FB5FD8" w:rsidRDefault="00FB5FD8" w:rsidP="00E14DF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流动相B(%)</w:t>
            </w:r>
          </w:p>
        </w:tc>
      </w:tr>
      <w:tr w:rsidR="00FB5FD8" w:rsidTr="00E14DFC">
        <w:trPr>
          <w:trHeight w:hRule="exact" w:val="425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FB5FD8" w:rsidRDefault="00FB5FD8" w:rsidP="00E14DF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 0</w:t>
            </w:r>
            <w:r>
              <w:rPr>
                <w:rFonts w:ascii="宋体" w:hAnsi="宋体" w:hint="eastAsia"/>
                <w:szCs w:val="21"/>
              </w:rPr>
              <w:t>～</w:t>
            </w:r>
            <w:r>
              <w:rPr>
                <w:rFonts w:ascii="宋体" w:hAnsi="宋体"/>
                <w:szCs w:val="21"/>
              </w:rPr>
              <w:t>5</w:t>
            </w:r>
          </w:p>
        </w:tc>
        <w:tc>
          <w:tcPr>
            <w:tcW w:w="1597" w:type="dxa"/>
            <w:shd w:val="clear" w:color="auto" w:fill="auto"/>
            <w:vAlign w:val="center"/>
          </w:tcPr>
          <w:p w:rsidR="00FB5FD8" w:rsidRDefault="00FB5FD8" w:rsidP="00E14DF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40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FB5FD8" w:rsidRDefault="00FB5FD8" w:rsidP="00E14DF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60</w:t>
            </w:r>
          </w:p>
        </w:tc>
      </w:tr>
      <w:tr w:rsidR="00FB5FD8" w:rsidTr="00E14DFC">
        <w:trPr>
          <w:trHeight w:hRule="exact" w:val="425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FB5FD8" w:rsidRDefault="00FB5FD8" w:rsidP="00E14DF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 5</w:t>
            </w:r>
            <w:r>
              <w:rPr>
                <w:rFonts w:ascii="宋体" w:hAnsi="宋体" w:hint="eastAsia"/>
                <w:szCs w:val="21"/>
              </w:rPr>
              <w:t>～</w:t>
            </w:r>
            <w:r>
              <w:rPr>
                <w:rFonts w:ascii="宋体" w:hAnsi="宋体"/>
                <w:szCs w:val="21"/>
              </w:rPr>
              <w:t>40</w:t>
            </w:r>
          </w:p>
        </w:tc>
        <w:tc>
          <w:tcPr>
            <w:tcW w:w="1597" w:type="dxa"/>
            <w:shd w:val="clear" w:color="auto" w:fill="auto"/>
            <w:vAlign w:val="center"/>
          </w:tcPr>
          <w:p w:rsidR="00FB5FD8" w:rsidRDefault="00FB5FD8" w:rsidP="00E14DF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40→95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FB5FD8" w:rsidRDefault="00FB5FD8" w:rsidP="00E14DF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60→5</w:t>
            </w:r>
          </w:p>
        </w:tc>
      </w:tr>
      <w:tr w:rsidR="00FB5FD8" w:rsidTr="00E14DFC">
        <w:trPr>
          <w:trHeight w:hRule="exact" w:val="425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FB5FD8" w:rsidRDefault="00FB5FD8" w:rsidP="00E14DF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 40</w:t>
            </w:r>
            <w:r>
              <w:rPr>
                <w:rFonts w:ascii="宋体" w:hAnsi="宋体" w:hint="eastAsia"/>
                <w:szCs w:val="21"/>
              </w:rPr>
              <w:t>～</w:t>
            </w:r>
            <w:r>
              <w:rPr>
                <w:rFonts w:ascii="宋体" w:hAnsi="宋体"/>
                <w:szCs w:val="21"/>
              </w:rPr>
              <w:t>50</w:t>
            </w:r>
          </w:p>
        </w:tc>
        <w:tc>
          <w:tcPr>
            <w:tcW w:w="1597" w:type="dxa"/>
            <w:shd w:val="clear" w:color="auto" w:fill="auto"/>
            <w:vAlign w:val="center"/>
          </w:tcPr>
          <w:p w:rsidR="00FB5FD8" w:rsidRDefault="00FB5FD8" w:rsidP="00E14DF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95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FB5FD8" w:rsidRDefault="00FB5FD8" w:rsidP="00E14DF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5</w:t>
            </w:r>
          </w:p>
        </w:tc>
      </w:tr>
      <w:tr w:rsidR="00FB5FD8" w:rsidTr="00E14DFC">
        <w:trPr>
          <w:trHeight w:hRule="exact" w:val="425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FB5FD8" w:rsidRDefault="00FB5FD8" w:rsidP="00E14DF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51</w:t>
            </w:r>
          </w:p>
          <w:p w:rsidR="00FB5FD8" w:rsidRDefault="00FB5FD8" w:rsidP="00E14DF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97" w:type="dxa"/>
            <w:shd w:val="clear" w:color="auto" w:fill="auto"/>
            <w:vAlign w:val="center"/>
          </w:tcPr>
          <w:p w:rsidR="00FB5FD8" w:rsidRDefault="00FB5FD8" w:rsidP="00E14DF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40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FB5FD8" w:rsidRDefault="00FB5FD8" w:rsidP="00E14DF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60</w:t>
            </w:r>
          </w:p>
        </w:tc>
      </w:tr>
      <w:tr w:rsidR="00FB5FD8" w:rsidTr="00E14DFC">
        <w:trPr>
          <w:trHeight w:hRule="exact" w:val="425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FB5FD8" w:rsidRDefault="00FB5FD8" w:rsidP="00E14DF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60</w:t>
            </w:r>
          </w:p>
        </w:tc>
        <w:tc>
          <w:tcPr>
            <w:tcW w:w="1597" w:type="dxa"/>
            <w:shd w:val="clear" w:color="auto" w:fill="auto"/>
            <w:vAlign w:val="center"/>
          </w:tcPr>
          <w:p w:rsidR="00FB5FD8" w:rsidRDefault="00FB5FD8" w:rsidP="00E14DF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40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FB5FD8" w:rsidRDefault="00FB5FD8" w:rsidP="00E14DF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60</w:t>
            </w:r>
          </w:p>
        </w:tc>
      </w:tr>
    </w:tbl>
    <w:p w:rsidR="00FB5FD8" w:rsidRDefault="00FB5FD8" w:rsidP="00FB5FD8">
      <w:pPr>
        <w:spacing w:line="360" w:lineRule="auto"/>
        <w:ind w:firstLine="480"/>
        <w:rPr>
          <w:sz w:val="24"/>
        </w:rPr>
      </w:pPr>
      <w:r>
        <w:rPr>
          <w:sz w:val="24"/>
        </w:rPr>
        <w:t>对照品溶液的制备</w:t>
      </w:r>
      <w:r>
        <w:rPr>
          <w:rFonts w:hint="eastAsia"/>
          <w:sz w:val="24"/>
        </w:rPr>
        <w:t>：</w:t>
      </w:r>
      <w:r>
        <w:rPr>
          <w:sz w:val="24"/>
        </w:rPr>
        <w:t>取</w:t>
      </w:r>
      <w:r>
        <w:rPr>
          <w:rFonts w:hint="eastAsia"/>
          <w:sz w:val="24"/>
        </w:rPr>
        <w:t>莪术二酮对照品、</w:t>
      </w:r>
      <w:proofErr w:type="gramStart"/>
      <w:r>
        <w:rPr>
          <w:sz w:val="24"/>
        </w:rPr>
        <w:t>牻</w:t>
      </w:r>
      <w:proofErr w:type="gramEnd"/>
      <w:r>
        <w:rPr>
          <w:sz w:val="24"/>
        </w:rPr>
        <w:t>牛儿</w:t>
      </w:r>
      <w:proofErr w:type="gramStart"/>
      <w:r>
        <w:rPr>
          <w:sz w:val="24"/>
        </w:rPr>
        <w:t>酮</w:t>
      </w:r>
      <w:proofErr w:type="gramEnd"/>
      <w:r>
        <w:rPr>
          <w:sz w:val="24"/>
        </w:rPr>
        <w:t>对照品、呋喃二烯对照品适量，精密称定，加无水乙醇制成每</w:t>
      </w:r>
      <w:r>
        <w:rPr>
          <w:sz w:val="24"/>
        </w:rPr>
        <w:t>1 mL</w:t>
      </w:r>
      <w:r>
        <w:rPr>
          <w:rFonts w:hint="eastAsia"/>
          <w:sz w:val="24"/>
        </w:rPr>
        <w:t>分别</w:t>
      </w:r>
      <w:r>
        <w:rPr>
          <w:sz w:val="24"/>
        </w:rPr>
        <w:t>含</w:t>
      </w:r>
      <w:r>
        <w:rPr>
          <w:sz w:val="24"/>
        </w:rPr>
        <w:t xml:space="preserve">140 </w:t>
      </w:r>
      <w:proofErr w:type="spellStart"/>
      <w:r>
        <w:rPr>
          <w:sz w:val="24"/>
        </w:rPr>
        <w:t>μg</w:t>
      </w:r>
      <w:proofErr w:type="spellEnd"/>
      <w:r>
        <w:rPr>
          <w:rFonts w:hint="eastAsia"/>
          <w:sz w:val="24"/>
        </w:rPr>
        <w:t>、</w:t>
      </w:r>
      <w:r>
        <w:rPr>
          <w:sz w:val="24"/>
        </w:rPr>
        <w:t xml:space="preserve">70 </w:t>
      </w:r>
      <w:proofErr w:type="spellStart"/>
      <w:r>
        <w:rPr>
          <w:sz w:val="24"/>
        </w:rPr>
        <w:t>μg</w:t>
      </w:r>
      <w:proofErr w:type="spellEnd"/>
      <w:r>
        <w:rPr>
          <w:rFonts w:hint="eastAsia"/>
          <w:sz w:val="24"/>
        </w:rPr>
        <w:t>和</w:t>
      </w:r>
      <w:r>
        <w:rPr>
          <w:rFonts w:hint="eastAsia"/>
          <w:sz w:val="24"/>
        </w:rPr>
        <w:t>7</w:t>
      </w:r>
      <w:r>
        <w:rPr>
          <w:sz w:val="24"/>
        </w:rPr>
        <w:t xml:space="preserve">0 </w:t>
      </w:r>
      <w:proofErr w:type="spellStart"/>
      <w:r>
        <w:rPr>
          <w:sz w:val="24"/>
        </w:rPr>
        <w:t>μg</w:t>
      </w:r>
      <w:proofErr w:type="spellEnd"/>
      <w:r>
        <w:rPr>
          <w:sz w:val="24"/>
        </w:rPr>
        <w:t>的混合溶液，即得。</w:t>
      </w:r>
    </w:p>
    <w:p w:rsidR="00FB5FD8" w:rsidRDefault="00FB5FD8" w:rsidP="00FB5FD8">
      <w:pPr>
        <w:spacing w:line="360" w:lineRule="auto"/>
        <w:ind w:firstLine="480"/>
        <w:rPr>
          <w:sz w:val="24"/>
        </w:rPr>
      </w:pPr>
      <w:proofErr w:type="gramStart"/>
      <w:r>
        <w:rPr>
          <w:sz w:val="24"/>
        </w:rPr>
        <w:t>供试品溶液</w:t>
      </w:r>
      <w:proofErr w:type="gramEnd"/>
      <w:r>
        <w:rPr>
          <w:sz w:val="24"/>
        </w:rPr>
        <w:t>的制备</w:t>
      </w:r>
      <w:r>
        <w:rPr>
          <w:rFonts w:hint="eastAsia"/>
          <w:sz w:val="24"/>
        </w:rPr>
        <w:t>：</w:t>
      </w:r>
      <w:r>
        <w:rPr>
          <w:sz w:val="24"/>
        </w:rPr>
        <w:t>取本品粉末（过</w:t>
      </w:r>
      <w:r>
        <w:rPr>
          <w:rFonts w:hint="eastAsia"/>
          <w:sz w:val="24"/>
        </w:rPr>
        <w:t>三</w:t>
      </w:r>
      <w:r>
        <w:rPr>
          <w:sz w:val="24"/>
        </w:rPr>
        <w:t>号筛）约</w:t>
      </w:r>
      <w:r>
        <w:rPr>
          <w:sz w:val="24"/>
        </w:rPr>
        <w:t>0.5 g</w:t>
      </w:r>
      <w:r>
        <w:rPr>
          <w:sz w:val="24"/>
        </w:rPr>
        <w:t>，精密称定，</w:t>
      </w:r>
      <w:proofErr w:type="gramStart"/>
      <w:r>
        <w:rPr>
          <w:sz w:val="24"/>
        </w:rPr>
        <w:t>置具塞</w:t>
      </w:r>
      <w:proofErr w:type="gramEnd"/>
      <w:r>
        <w:rPr>
          <w:sz w:val="24"/>
        </w:rPr>
        <w:t>锥形瓶中，精密加入甲醇</w:t>
      </w:r>
      <w:r>
        <w:rPr>
          <w:sz w:val="24"/>
        </w:rPr>
        <w:t>25 mL</w:t>
      </w:r>
      <w:r>
        <w:rPr>
          <w:sz w:val="24"/>
        </w:rPr>
        <w:t>，密塞，称定重量，于冰水浴中超声处理（功率</w:t>
      </w:r>
      <w:r>
        <w:rPr>
          <w:sz w:val="24"/>
        </w:rPr>
        <w:t>250 W</w:t>
      </w:r>
      <w:r>
        <w:rPr>
          <w:sz w:val="24"/>
        </w:rPr>
        <w:t>，频率</w:t>
      </w:r>
      <w:r>
        <w:rPr>
          <w:sz w:val="24"/>
        </w:rPr>
        <w:t>40 kHz</w:t>
      </w:r>
      <w:r>
        <w:rPr>
          <w:sz w:val="24"/>
        </w:rPr>
        <w:t>）</w:t>
      </w:r>
      <w:r>
        <w:rPr>
          <w:sz w:val="24"/>
        </w:rPr>
        <w:t>30</w:t>
      </w:r>
      <w:r>
        <w:rPr>
          <w:sz w:val="24"/>
        </w:rPr>
        <w:t>分钟，放出，放至室温，再称定重量，用甲醇</w:t>
      </w:r>
      <w:proofErr w:type="gramStart"/>
      <w:r>
        <w:rPr>
          <w:sz w:val="24"/>
        </w:rPr>
        <w:t>补足减失的</w:t>
      </w:r>
      <w:proofErr w:type="gramEnd"/>
      <w:r>
        <w:rPr>
          <w:sz w:val="24"/>
        </w:rPr>
        <w:t>重量，摇匀，滤过，</w:t>
      </w:r>
      <w:proofErr w:type="gramStart"/>
      <w:r>
        <w:rPr>
          <w:sz w:val="24"/>
        </w:rPr>
        <w:t>取续滤液</w:t>
      </w:r>
      <w:proofErr w:type="gramEnd"/>
      <w:r>
        <w:rPr>
          <w:sz w:val="24"/>
        </w:rPr>
        <w:t>，即得。</w:t>
      </w:r>
    </w:p>
    <w:p w:rsidR="00FB5FD8" w:rsidRDefault="00FB5FD8" w:rsidP="00FB5FD8">
      <w:pPr>
        <w:spacing w:line="360" w:lineRule="auto"/>
        <w:ind w:firstLine="480"/>
        <w:rPr>
          <w:sz w:val="24"/>
        </w:rPr>
      </w:pPr>
      <w:r>
        <w:rPr>
          <w:sz w:val="24"/>
        </w:rPr>
        <w:t>测定法</w:t>
      </w:r>
      <w:r>
        <w:rPr>
          <w:rFonts w:hint="eastAsia"/>
          <w:sz w:val="24"/>
        </w:rPr>
        <w:t>：</w:t>
      </w:r>
      <w:r>
        <w:rPr>
          <w:sz w:val="24"/>
        </w:rPr>
        <w:t>分别精密吸取对照品溶液和</w:t>
      </w:r>
      <w:proofErr w:type="gramStart"/>
      <w:r>
        <w:rPr>
          <w:sz w:val="24"/>
        </w:rPr>
        <w:t>供试品溶液</w:t>
      </w:r>
      <w:proofErr w:type="gramEnd"/>
      <w:r>
        <w:rPr>
          <w:sz w:val="24"/>
        </w:rPr>
        <w:t>各</w:t>
      </w:r>
      <w:r>
        <w:rPr>
          <w:sz w:val="24"/>
        </w:rPr>
        <w:t xml:space="preserve">5 </w:t>
      </w:r>
      <w:proofErr w:type="spellStart"/>
      <w:r>
        <w:rPr>
          <w:sz w:val="24"/>
        </w:rPr>
        <w:t>μL</w:t>
      </w:r>
      <w:proofErr w:type="spellEnd"/>
      <w:r>
        <w:rPr>
          <w:sz w:val="24"/>
        </w:rPr>
        <w:t>，注入液相色谱仪，测定，即得。</w:t>
      </w:r>
    </w:p>
    <w:p w:rsidR="00FB5FD8" w:rsidRDefault="00FB5FD8" w:rsidP="00FB5FD8">
      <w:pPr>
        <w:spacing w:line="360" w:lineRule="auto"/>
        <w:ind w:firstLine="480"/>
        <w:rPr>
          <w:rFonts w:ascii="仿宋" w:eastAsia="仿宋" w:hAnsi="仿宋"/>
          <w:b/>
          <w:sz w:val="32"/>
          <w:szCs w:val="32"/>
        </w:rPr>
      </w:pPr>
      <w:r>
        <w:rPr>
          <w:sz w:val="24"/>
        </w:rPr>
        <w:t>本品按干燥品计算，含</w:t>
      </w:r>
      <w:r>
        <w:rPr>
          <w:rFonts w:hint="eastAsia"/>
          <w:sz w:val="24"/>
        </w:rPr>
        <w:t>莪术二酮</w:t>
      </w:r>
      <w:r>
        <w:rPr>
          <w:sz w:val="24"/>
        </w:rPr>
        <w:t>（</w:t>
      </w:r>
      <w:r>
        <w:t>C</w:t>
      </w:r>
      <w:r>
        <w:rPr>
          <w:vertAlign w:val="subscript"/>
        </w:rPr>
        <w:t>15</w:t>
      </w:r>
      <w:r>
        <w:t>H</w:t>
      </w:r>
      <w:r>
        <w:rPr>
          <w:vertAlign w:val="subscript"/>
        </w:rPr>
        <w:t>24</w:t>
      </w:r>
      <w:r>
        <w:t>O</w:t>
      </w:r>
      <w:r>
        <w:rPr>
          <w:vertAlign w:val="subscript"/>
        </w:rPr>
        <w:t>2</w:t>
      </w:r>
      <w:r>
        <w:rPr>
          <w:sz w:val="24"/>
        </w:rPr>
        <w:t>）不得少于</w:t>
      </w:r>
      <w:r>
        <w:rPr>
          <w:sz w:val="24"/>
        </w:rPr>
        <w:t>0.8%</w:t>
      </w:r>
      <w:r>
        <w:rPr>
          <w:rFonts w:hint="eastAsia"/>
          <w:sz w:val="24"/>
        </w:rPr>
        <w:t>，</w:t>
      </w:r>
      <w:r>
        <w:rPr>
          <w:sz w:val="24"/>
        </w:rPr>
        <w:t>含</w:t>
      </w:r>
      <w:proofErr w:type="gramStart"/>
      <w:r>
        <w:rPr>
          <w:sz w:val="24"/>
        </w:rPr>
        <w:t>牻</w:t>
      </w:r>
      <w:proofErr w:type="gramEnd"/>
      <w:r>
        <w:rPr>
          <w:sz w:val="24"/>
        </w:rPr>
        <w:t>牛儿酮（</w:t>
      </w:r>
      <w:r>
        <w:rPr>
          <w:sz w:val="24"/>
        </w:rPr>
        <w:t>C</w:t>
      </w:r>
      <w:r>
        <w:rPr>
          <w:sz w:val="24"/>
          <w:vertAlign w:val="subscript"/>
        </w:rPr>
        <w:t>15</w:t>
      </w:r>
      <w:r>
        <w:rPr>
          <w:sz w:val="24"/>
        </w:rPr>
        <w:t>H</w:t>
      </w:r>
      <w:r>
        <w:rPr>
          <w:sz w:val="24"/>
          <w:vertAlign w:val="subscript"/>
        </w:rPr>
        <w:t>22</w:t>
      </w:r>
      <w:r>
        <w:rPr>
          <w:sz w:val="24"/>
        </w:rPr>
        <w:t>O</w:t>
      </w:r>
      <w:r>
        <w:rPr>
          <w:sz w:val="24"/>
        </w:rPr>
        <w:t>）不得少于</w:t>
      </w:r>
      <w:r>
        <w:rPr>
          <w:sz w:val="24"/>
        </w:rPr>
        <w:t>0.2%</w:t>
      </w:r>
      <w:r>
        <w:rPr>
          <w:sz w:val="24"/>
        </w:rPr>
        <w:t>，含呋喃二烯（</w:t>
      </w:r>
      <w:r>
        <w:rPr>
          <w:sz w:val="24"/>
        </w:rPr>
        <w:t>C</w:t>
      </w:r>
      <w:r>
        <w:rPr>
          <w:sz w:val="24"/>
          <w:vertAlign w:val="subscript"/>
        </w:rPr>
        <w:t>15</w:t>
      </w:r>
      <w:r>
        <w:rPr>
          <w:sz w:val="24"/>
        </w:rPr>
        <w:t>H</w:t>
      </w:r>
      <w:r>
        <w:rPr>
          <w:sz w:val="24"/>
          <w:vertAlign w:val="subscript"/>
        </w:rPr>
        <w:t>20</w:t>
      </w:r>
      <w:r>
        <w:rPr>
          <w:sz w:val="24"/>
        </w:rPr>
        <w:t>O</w:t>
      </w:r>
      <w:r>
        <w:rPr>
          <w:sz w:val="24"/>
        </w:rPr>
        <w:t>）不得少于</w:t>
      </w:r>
      <w:r>
        <w:rPr>
          <w:sz w:val="24"/>
        </w:rPr>
        <w:t>0.6%(</w:t>
      </w:r>
      <w:r>
        <w:rPr>
          <w:rFonts w:hint="eastAsia"/>
          <w:sz w:val="24"/>
        </w:rPr>
        <w:t>暂定</w:t>
      </w:r>
      <w:r>
        <w:rPr>
          <w:sz w:val="24"/>
        </w:rPr>
        <w:t>)</w:t>
      </w:r>
      <w:r>
        <w:rPr>
          <w:sz w:val="24"/>
        </w:rPr>
        <w:t>。</w:t>
      </w:r>
    </w:p>
    <w:p w:rsidR="00FB5FD8" w:rsidRPr="00B82032" w:rsidRDefault="00FB5FD8" w:rsidP="00FB5FD8"/>
    <w:p w:rsidR="000215F8" w:rsidRPr="00FB5FD8" w:rsidRDefault="000215F8"/>
    <w:sectPr w:rsidR="000215F8" w:rsidRPr="00FB5FD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042C" w:rsidRDefault="008C042C" w:rsidP="00FB5FD8">
      <w:r>
        <w:separator/>
      </w:r>
    </w:p>
  </w:endnote>
  <w:endnote w:type="continuationSeparator" w:id="0">
    <w:p w:rsidR="008C042C" w:rsidRDefault="008C042C" w:rsidP="00FB5F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042C" w:rsidRDefault="008C042C" w:rsidP="00FB5FD8">
      <w:r>
        <w:separator/>
      </w:r>
    </w:p>
  </w:footnote>
  <w:footnote w:type="continuationSeparator" w:id="0">
    <w:p w:rsidR="008C042C" w:rsidRDefault="008C042C" w:rsidP="00FB5F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FF8"/>
    <w:rsid w:val="000215F8"/>
    <w:rsid w:val="000B3422"/>
    <w:rsid w:val="00105599"/>
    <w:rsid w:val="001B4FF8"/>
    <w:rsid w:val="008C042C"/>
    <w:rsid w:val="00FB5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FD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B5F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B5FD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B5FD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B5FD8"/>
    <w:rPr>
      <w:sz w:val="18"/>
      <w:szCs w:val="18"/>
    </w:rPr>
  </w:style>
  <w:style w:type="character" w:customStyle="1" w:styleId="2Char">
    <w:name w:val="标题 2 Char"/>
    <w:qFormat/>
    <w:rsid w:val="00FB5FD8"/>
    <w:rPr>
      <w:rFonts w:ascii="Arial" w:eastAsia="黑体" w:hAnsi="Arial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FD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B5F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B5FD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B5FD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B5FD8"/>
    <w:rPr>
      <w:sz w:val="18"/>
      <w:szCs w:val="18"/>
    </w:rPr>
  </w:style>
  <w:style w:type="character" w:customStyle="1" w:styleId="2Char">
    <w:name w:val="标题 2 Char"/>
    <w:qFormat/>
    <w:rsid w:val="00FB5FD8"/>
    <w:rPr>
      <w:rFonts w:ascii="Arial" w:eastAsia="黑体" w:hAnsi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480</Characters>
  <Application>Microsoft Office Word</Application>
  <DocSecurity>0</DocSecurity>
  <Lines>4</Lines>
  <Paragraphs>1</Paragraphs>
  <ScaleCrop>false</ScaleCrop>
  <Company>P R C</Company>
  <LinksUpToDate>false</LinksUpToDate>
  <CharactersWithSpaces>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2023-03-06T05:41:00Z</dcterms:created>
  <dcterms:modified xsi:type="dcterms:W3CDTF">2023-03-06T05:42:00Z</dcterms:modified>
</cp:coreProperties>
</file>