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3A2" w:rsidRPr="00D67593" w:rsidRDefault="00D67593" w:rsidP="00D67593">
      <w:pPr>
        <w:jc w:val="center"/>
        <w:rPr>
          <w:sz w:val="28"/>
          <w:szCs w:val="36"/>
        </w:rPr>
      </w:pPr>
      <w:r w:rsidRPr="00D67593">
        <w:rPr>
          <w:rFonts w:hint="eastAsia"/>
          <w:b/>
          <w:sz w:val="28"/>
          <w:szCs w:val="36"/>
        </w:rPr>
        <w:t>龙泽熊胆胶囊中薄荷脑、冰片的含量测定方法</w:t>
      </w:r>
    </w:p>
    <w:p w:rsidR="00F363A2" w:rsidRDefault="003018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【</w:t>
      </w:r>
      <w:bookmarkStart w:id="0" w:name="_GoBack"/>
      <w:bookmarkEnd w:id="0"/>
      <w:r>
        <w:rPr>
          <w:rFonts w:ascii="Times New Roman" w:eastAsia="黑体" w:hAnsi="Times New Roman" w:cs="Times New Roman"/>
          <w:sz w:val="24"/>
          <w:szCs w:val="24"/>
        </w:rPr>
        <w:t>含量测定】</w:t>
      </w:r>
      <w:r>
        <w:rPr>
          <w:rFonts w:ascii="Times New Roman" w:eastAsia="黑体" w:hAnsi="Times New Roman" w:cs="Times New Roman"/>
          <w:sz w:val="24"/>
          <w:szCs w:val="24"/>
        </w:rPr>
        <w:t xml:space="preserve">  </w:t>
      </w:r>
      <w:r>
        <w:rPr>
          <w:rFonts w:ascii="Times New Roman" w:eastAsia="黑体" w:hAnsi="Times New Roman" w:cs="Times New Roman" w:hint="eastAsia"/>
          <w:sz w:val="24"/>
          <w:szCs w:val="24"/>
        </w:rPr>
        <w:t>薄荷脑、冰片</w:t>
      </w:r>
      <w:r>
        <w:rPr>
          <w:rFonts w:ascii="Times New Roman" w:eastAsia="黑体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照气相色谱法（中国药典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 w:hint="eastAsia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）测定。</w:t>
      </w:r>
    </w:p>
    <w:p w:rsidR="00F363A2" w:rsidRDefault="003018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色谱条件与系统适用性试验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聚乙二醇</w:t>
      </w:r>
      <w:r>
        <w:rPr>
          <w:rFonts w:ascii="Times New Roman" w:hAnsi="Times New Roman" w:cs="Times New Roman"/>
          <w:sz w:val="24"/>
          <w:szCs w:val="24"/>
        </w:rPr>
        <w:t>20000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PEG-20M</w:t>
      </w:r>
      <w:r>
        <w:rPr>
          <w:rFonts w:ascii="Times New Roman" w:hAnsi="Times New Roman" w:cs="Times New Roman"/>
          <w:sz w:val="24"/>
          <w:szCs w:val="24"/>
        </w:rPr>
        <w:t>）毛细管柱；程序升温：初始温度为</w:t>
      </w:r>
      <w:r>
        <w:rPr>
          <w:rFonts w:ascii="Times New Roman" w:hAnsi="Times New Roman" w:cs="Times New Roman"/>
          <w:sz w:val="24"/>
          <w:szCs w:val="24"/>
        </w:rPr>
        <w:t>100℃</w:t>
      </w:r>
      <w:r>
        <w:rPr>
          <w:rFonts w:ascii="Times New Roman" w:hAnsi="Times New Roman" w:cs="Times New Roman"/>
          <w:sz w:val="24"/>
          <w:szCs w:val="24"/>
        </w:rPr>
        <w:t>，保持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分钟，以每分钟</w:t>
      </w:r>
      <w:r>
        <w:rPr>
          <w:rFonts w:ascii="Times New Roman" w:hAnsi="Times New Roman" w:cs="Times New Roman"/>
          <w:sz w:val="24"/>
          <w:szCs w:val="24"/>
        </w:rPr>
        <w:t>10℃</w:t>
      </w:r>
      <w:r>
        <w:rPr>
          <w:rFonts w:ascii="Times New Roman" w:hAnsi="Times New Roman" w:cs="Times New Roman"/>
          <w:sz w:val="24"/>
          <w:szCs w:val="24"/>
        </w:rPr>
        <w:t>的速率升温至</w:t>
      </w:r>
      <w:r>
        <w:rPr>
          <w:rFonts w:ascii="Times New Roman" w:hAnsi="Times New Roman" w:cs="Times New Roman"/>
          <w:sz w:val="24"/>
          <w:szCs w:val="24"/>
        </w:rPr>
        <w:t>190℃</w:t>
      </w:r>
      <w:r>
        <w:rPr>
          <w:rFonts w:ascii="Times New Roman" w:hAnsi="Times New Roman" w:cs="Times New Roman"/>
          <w:sz w:val="24"/>
          <w:szCs w:val="24"/>
        </w:rPr>
        <w:t>，保持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分钟；进样品温度为</w:t>
      </w:r>
      <w:r>
        <w:rPr>
          <w:rFonts w:ascii="Times New Roman" w:hAnsi="Times New Roman" w:cs="Times New Roman"/>
          <w:sz w:val="24"/>
          <w:szCs w:val="24"/>
        </w:rPr>
        <w:t>210℃</w:t>
      </w:r>
      <w:r>
        <w:rPr>
          <w:rFonts w:ascii="Times New Roman" w:hAnsi="Times New Roman" w:cs="Times New Roman"/>
          <w:sz w:val="24"/>
          <w:szCs w:val="24"/>
        </w:rPr>
        <w:t>；检测器温度为</w:t>
      </w:r>
      <w:r>
        <w:rPr>
          <w:rFonts w:ascii="Times New Roman" w:hAnsi="Times New Roman" w:cs="Times New Roman"/>
          <w:sz w:val="24"/>
          <w:szCs w:val="24"/>
        </w:rPr>
        <w:t>250℃</w:t>
      </w:r>
      <w:r>
        <w:rPr>
          <w:rFonts w:ascii="Times New Roman" w:hAnsi="Times New Roman" w:cs="Times New Roman"/>
          <w:sz w:val="24"/>
          <w:szCs w:val="24"/>
        </w:rPr>
        <w:t>；分流</w:t>
      </w:r>
      <w:r>
        <w:rPr>
          <w:rFonts w:ascii="Times New Roman" w:hAnsi="Times New Roman" w:cs="Times New Roman" w:hint="eastAsia"/>
          <w:sz w:val="24"/>
          <w:szCs w:val="24"/>
        </w:rPr>
        <w:t>进样</w:t>
      </w:r>
      <w:r>
        <w:rPr>
          <w:rFonts w:ascii="Times New Roman" w:hAnsi="Times New Roman" w:cs="Times New Roman"/>
          <w:sz w:val="24"/>
          <w:szCs w:val="24"/>
        </w:rPr>
        <w:t>。理论板数按薄荷脑</w:t>
      </w:r>
      <w:proofErr w:type="gramStart"/>
      <w:r>
        <w:rPr>
          <w:rFonts w:ascii="Times New Roman" w:hAnsi="Times New Roman" w:cs="Times New Roman"/>
          <w:sz w:val="24"/>
          <w:szCs w:val="24"/>
        </w:rPr>
        <w:t>峰计算</w:t>
      </w:r>
      <w:proofErr w:type="gramEnd"/>
      <w:r>
        <w:rPr>
          <w:rFonts w:ascii="Times New Roman" w:hAnsi="Times New Roman" w:cs="Times New Roman"/>
          <w:sz w:val="24"/>
          <w:szCs w:val="24"/>
        </w:rPr>
        <w:t>应不低于</w:t>
      </w:r>
      <w:r>
        <w:rPr>
          <w:rFonts w:ascii="Times New Roman" w:hAnsi="Times New Roman" w:cs="Times New Roman" w:hint="eastAsia"/>
          <w:sz w:val="24"/>
          <w:szCs w:val="24"/>
        </w:rPr>
        <w:t>10000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F363A2" w:rsidRDefault="003018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校正因子测定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sz w:val="24"/>
          <w:szCs w:val="24"/>
        </w:rPr>
        <w:t>取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萘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适量，精密称定，加无水乙醇制成每</w:t>
      </w:r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Times New Roman" w:eastAsia="宋体" w:hAnsi="Times New Roman" w:cs="Times New Roman"/>
          <w:sz w:val="24"/>
          <w:szCs w:val="24"/>
        </w:rPr>
        <w:t>含</w:t>
      </w:r>
      <w:r>
        <w:rPr>
          <w:rFonts w:ascii="Times New Roman" w:eastAsia="宋体" w:hAnsi="Times New Roman" w:cs="Times New Roman"/>
          <w:sz w:val="24"/>
          <w:szCs w:val="24"/>
        </w:rPr>
        <w:t>0.4mg</w:t>
      </w:r>
      <w:r>
        <w:rPr>
          <w:rFonts w:ascii="Times New Roman" w:eastAsia="宋体" w:hAnsi="Times New Roman" w:cs="Times New Roman"/>
          <w:sz w:val="24"/>
          <w:szCs w:val="24"/>
        </w:rPr>
        <w:t>的溶液，作为内标溶液。另取薄荷脑对照品、冰片对照品适量，加内标溶液制成每</w:t>
      </w:r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Times New Roman" w:eastAsia="宋体" w:hAnsi="Times New Roman" w:cs="Times New Roman"/>
          <w:sz w:val="24"/>
          <w:szCs w:val="24"/>
        </w:rPr>
        <w:t>各含</w:t>
      </w:r>
      <w:r>
        <w:rPr>
          <w:rFonts w:ascii="Times New Roman" w:eastAsia="宋体" w:hAnsi="Times New Roman" w:cs="Times New Roman"/>
          <w:sz w:val="24"/>
          <w:szCs w:val="24"/>
        </w:rPr>
        <w:t>0.4mg</w:t>
      </w:r>
      <w:r>
        <w:rPr>
          <w:rFonts w:ascii="Times New Roman" w:eastAsia="宋体" w:hAnsi="Times New Roman" w:cs="Times New Roman"/>
          <w:sz w:val="24"/>
          <w:szCs w:val="24"/>
        </w:rPr>
        <w:t>的溶液，吸取</w:t>
      </w:r>
      <w:r>
        <w:rPr>
          <w:rFonts w:ascii="Times New Roman" w:eastAsia="宋体" w:hAnsi="Times New Roman" w:cs="Times New Roman"/>
          <w:sz w:val="24"/>
          <w:szCs w:val="24"/>
        </w:rPr>
        <w:t>1μl</w:t>
      </w:r>
      <w:r>
        <w:rPr>
          <w:rFonts w:ascii="Times New Roman" w:eastAsia="宋体" w:hAnsi="Times New Roman" w:cs="Times New Roman"/>
          <w:sz w:val="24"/>
          <w:szCs w:val="24"/>
        </w:rPr>
        <w:t>，注入气相色谱仪，计算校正因子。</w:t>
      </w:r>
    </w:p>
    <w:p w:rsidR="00F363A2" w:rsidRDefault="003018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测定法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sz w:val="24"/>
          <w:szCs w:val="24"/>
        </w:rPr>
        <w:t>取装量差异项下的本品内容物，混匀，研细，取约</w:t>
      </w:r>
      <w:r>
        <w:rPr>
          <w:rFonts w:ascii="Times New Roman" w:eastAsia="宋体" w:hAnsi="Times New Roman" w:cs="Times New Roman"/>
          <w:sz w:val="24"/>
          <w:szCs w:val="24"/>
        </w:rPr>
        <w:t>0.25g</w:t>
      </w:r>
      <w:r>
        <w:rPr>
          <w:rFonts w:ascii="Times New Roman" w:eastAsia="宋体" w:hAnsi="Times New Roman" w:cs="Times New Roman"/>
          <w:sz w:val="24"/>
          <w:szCs w:val="24"/>
        </w:rPr>
        <w:t>，精密称定，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锥形瓶中，精密加入内标溶液</w:t>
      </w:r>
      <w:r>
        <w:rPr>
          <w:rFonts w:ascii="Times New Roman" w:eastAsia="宋体" w:hAnsi="Times New Roman" w:cs="Times New Roman"/>
          <w:sz w:val="24"/>
          <w:szCs w:val="24"/>
        </w:rPr>
        <w:t>20ml</w:t>
      </w:r>
      <w:r>
        <w:rPr>
          <w:rFonts w:ascii="Times New Roman" w:eastAsia="宋体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称定重量，</w:t>
      </w:r>
      <w:r>
        <w:rPr>
          <w:rFonts w:ascii="Times New Roman" w:eastAsia="宋体" w:hAnsi="Times New Roman" w:cs="Times New Roman"/>
          <w:sz w:val="24"/>
          <w:szCs w:val="24"/>
        </w:rPr>
        <w:t>超声处理（功率</w:t>
      </w:r>
      <w:r>
        <w:rPr>
          <w:rFonts w:ascii="Times New Roman" w:hAnsi="Times New Roman" w:cs="Times New Roman"/>
          <w:sz w:val="24"/>
          <w:szCs w:val="24"/>
        </w:rPr>
        <w:t>280</w:t>
      </w:r>
      <w:r>
        <w:rPr>
          <w:rFonts w:ascii="Times New Roman" w:eastAsia="宋体" w:hAnsi="Times New Roman" w:cs="Times New Roman"/>
          <w:sz w:val="24"/>
          <w:szCs w:val="24"/>
        </w:rPr>
        <w:t>W</w:t>
      </w:r>
      <w:r>
        <w:rPr>
          <w:rFonts w:ascii="Times New Roman" w:eastAsia="宋体" w:hAnsi="Times New Roman" w:cs="Times New Roman"/>
          <w:sz w:val="24"/>
          <w:szCs w:val="24"/>
        </w:rPr>
        <w:t>，频率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eastAsia="宋体" w:hAnsi="Times New Roman" w:cs="Times New Roman"/>
          <w:sz w:val="24"/>
          <w:szCs w:val="24"/>
        </w:rPr>
        <w:t>kHz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sz w:val="24"/>
          <w:szCs w:val="24"/>
        </w:rPr>
        <w:t>分钟，</w:t>
      </w:r>
      <w:r>
        <w:rPr>
          <w:rFonts w:ascii="Times New Roman" w:hAnsi="Times New Roman" w:cs="Times New Roman"/>
          <w:sz w:val="24"/>
          <w:szCs w:val="24"/>
        </w:rPr>
        <w:t>放冷，再称定重量，用无水乙醇</w:t>
      </w:r>
      <w:proofErr w:type="gramStart"/>
      <w:r>
        <w:rPr>
          <w:rFonts w:ascii="Times New Roman" w:hAnsi="Times New Roman" w:cs="Times New Roman"/>
          <w:sz w:val="24"/>
          <w:szCs w:val="24"/>
        </w:rPr>
        <w:t>补足减失的</w:t>
      </w:r>
      <w:proofErr w:type="gramEnd"/>
      <w:r>
        <w:rPr>
          <w:rFonts w:ascii="Times New Roman" w:hAnsi="Times New Roman" w:cs="Times New Roman"/>
          <w:sz w:val="24"/>
          <w:szCs w:val="24"/>
        </w:rPr>
        <w:t>重量，</w:t>
      </w:r>
      <w:r>
        <w:rPr>
          <w:rFonts w:ascii="Times New Roman" w:eastAsia="宋体" w:hAnsi="Times New Roman" w:cs="Times New Roman"/>
          <w:sz w:val="24"/>
          <w:szCs w:val="24"/>
        </w:rPr>
        <w:t>摇匀，滤过，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，即得。吸取</w:t>
      </w:r>
      <w:r>
        <w:rPr>
          <w:rFonts w:ascii="Times New Roman" w:eastAsia="宋体" w:hAnsi="Times New Roman" w:cs="Times New Roman"/>
          <w:sz w:val="24"/>
          <w:szCs w:val="24"/>
        </w:rPr>
        <w:t>1μl</w:t>
      </w:r>
      <w:r>
        <w:rPr>
          <w:rFonts w:ascii="Times New Roman" w:eastAsia="宋体" w:hAnsi="Times New Roman" w:cs="Times New Roman"/>
          <w:sz w:val="24"/>
          <w:szCs w:val="24"/>
        </w:rPr>
        <w:t>，注入气相色谱仪，测定，即得。</w:t>
      </w:r>
    </w:p>
    <w:p w:rsidR="00F363A2" w:rsidRDefault="003018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本品每</w:t>
      </w:r>
      <w:r>
        <w:rPr>
          <w:rFonts w:ascii="Times New Roman" w:hAnsi="Times New Roman" w:cs="Times New Roman" w:hint="eastAsia"/>
          <w:sz w:val="24"/>
          <w:szCs w:val="24"/>
        </w:rPr>
        <w:t>粒</w:t>
      </w:r>
      <w:r>
        <w:rPr>
          <w:rFonts w:ascii="Times New Roman" w:hAnsi="Times New Roman" w:cs="Times New Roman"/>
          <w:sz w:val="24"/>
          <w:szCs w:val="24"/>
        </w:rPr>
        <w:t>含薄荷脑（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）不得少于</w:t>
      </w:r>
      <w:r>
        <w:rPr>
          <w:rFonts w:ascii="Times New Roman" w:hAnsi="Times New Roman" w:cs="Times New Roman" w:hint="eastAsia"/>
          <w:sz w:val="24"/>
          <w:szCs w:val="24"/>
        </w:rPr>
        <w:t>4.4</w:t>
      </w:r>
      <w:r>
        <w:rPr>
          <w:rFonts w:ascii="Times New Roman" w:hAnsi="Times New Roman" w:cs="Times New Roman"/>
          <w:sz w:val="24"/>
          <w:szCs w:val="24"/>
        </w:rPr>
        <w:t>mg</w:t>
      </w:r>
      <w:r>
        <w:rPr>
          <w:rFonts w:ascii="Times New Roman" w:hAnsi="Times New Roman" w:cs="Times New Roman"/>
          <w:sz w:val="24"/>
          <w:szCs w:val="24"/>
        </w:rPr>
        <w:t>；含冰片（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）不得少于</w:t>
      </w:r>
      <w:r>
        <w:rPr>
          <w:rFonts w:ascii="Times New Roman" w:hAnsi="Times New Roman" w:cs="Times New Roman" w:hint="eastAsia"/>
          <w:sz w:val="24"/>
          <w:szCs w:val="24"/>
        </w:rPr>
        <w:t>5.6</w:t>
      </w:r>
      <w:r>
        <w:rPr>
          <w:rFonts w:ascii="Times New Roman" w:hAnsi="Times New Roman" w:cs="Times New Roman"/>
          <w:sz w:val="24"/>
          <w:szCs w:val="24"/>
        </w:rPr>
        <w:t>mg</w:t>
      </w:r>
      <w:r>
        <w:rPr>
          <w:rFonts w:ascii="Times New Roman" w:hAnsi="Times New Roman" w:cs="Times New Roman"/>
          <w:sz w:val="24"/>
          <w:szCs w:val="24"/>
        </w:rPr>
        <w:t>。</w:t>
      </w:r>
    </w:p>
    <w:sectPr w:rsidR="00F363A2">
      <w:footerReference w:type="default" r:id="rId8"/>
      <w:pgSz w:w="11906" w:h="16838"/>
      <w:pgMar w:top="1474" w:right="1134" w:bottom="1134" w:left="1134" w:header="851" w:footer="992" w:gutter="45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C2" w:rsidRDefault="003018C2">
      <w:r>
        <w:separator/>
      </w:r>
    </w:p>
  </w:endnote>
  <w:endnote w:type="continuationSeparator" w:id="0">
    <w:p w:rsidR="003018C2" w:rsidRDefault="0030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429363"/>
    </w:sdtPr>
    <w:sdtEndPr/>
    <w:sdtContent>
      <w:p w:rsidR="00F363A2" w:rsidRDefault="003018C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593" w:rsidRPr="00D6759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363A2" w:rsidRDefault="00F363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C2" w:rsidRDefault="003018C2">
      <w:r>
        <w:separator/>
      </w:r>
    </w:p>
  </w:footnote>
  <w:footnote w:type="continuationSeparator" w:id="0">
    <w:p w:rsidR="003018C2" w:rsidRDefault="003018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653"/>
    <w:rsid w:val="00091239"/>
    <w:rsid w:val="003018C2"/>
    <w:rsid w:val="00382653"/>
    <w:rsid w:val="00384EED"/>
    <w:rsid w:val="00D67593"/>
    <w:rsid w:val="00F363A2"/>
    <w:rsid w:val="00F37750"/>
    <w:rsid w:val="3012341B"/>
    <w:rsid w:val="5440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425</Characters>
  <Application>Microsoft Office Word</Application>
  <DocSecurity>0</DocSecurity>
  <Lines>3</Lines>
  <Paragraphs>1</Paragraphs>
  <ScaleCrop>false</ScaleCrop>
  <Company>P R C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黄文静</dc:creator>
  <cp:lastModifiedBy>Windows User</cp:lastModifiedBy>
  <cp:revision>3</cp:revision>
  <dcterms:created xsi:type="dcterms:W3CDTF">2021-10-07T16:50:00Z</dcterms:created>
  <dcterms:modified xsi:type="dcterms:W3CDTF">2023-03-06T05:34:00Z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