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63" w:rsidRDefault="00FF61FC">
      <w:pPr>
        <w:spacing w:line="360" w:lineRule="auto"/>
        <w:ind w:firstLineChars="200" w:firstLine="640"/>
        <w:outlineLvl w:val="0"/>
        <w:rPr>
          <w:rFonts w:ascii="Times New Roman" w:eastAsia="仿宋_GB2312" w:hAnsi="Times New Roman"/>
          <w:sz w:val="32"/>
          <w:szCs w:val="32"/>
        </w:rPr>
      </w:pPr>
      <w:bookmarkStart w:id="0" w:name="_Toc41575862"/>
      <w:bookmarkStart w:id="1" w:name="_Toc14635"/>
      <w:bookmarkStart w:id="2" w:name="_Toc63081454"/>
      <w:r>
        <w:rPr>
          <w:rFonts w:ascii="Times New Roman" w:eastAsia="仿宋_GB2312" w:hAnsi="Times New Roman" w:hint="eastAsia"/>
          <w:sz w:val="32"/>
          <w:szCs w:val="32"/>
        </w:rPr>
        <w:t>附表</w:t>
      </w:r>
      <w:r>
        <w:rPr>
          <w:rFonts w:ascii="Times New Roman" w:eastAsia="仿宋_GB2312" w:hAnsi="Times New Roman" w:hint="eastAsia"/>
          <w:sz w:val="32"/>
          <w:szCs w:val="32"/>
        </w:rPr>
        <w:t>2</w:t>
      </w:r>
      <w:bookmarkEnd w:id="0"/>
      <w:bookmarkEnd w:id="1"/>
      <w:bookmarkEnd w:id="2"/>
    </w:p>
    <w:p w:rsidR="005D3A63" w:rsidRDefault="00FF61FC">
      <w:pPr>
        <w:spacing w:line="360" w:lineRule="auto"/>
        <w:jc w:val="center"/>
        <w:outlineLvl w:val="0"/>
        <w:rPr>
          <w:rFonts w:ascii="Times New Roman" w:eastAsia="仿宋_GB2312" w:hAnsi="Times New Roman"/>
          <w:b/>
          <w:sz w:val="32"/>
          <w:szCs w:val="32"/>
        </w:rPr>
      </w:pPr>
      <w:bookmarkStart w:id="3" w:name="_Toc41575863"/>
      <w:bookmarkStart w:id="4" w:name="_Toc10817"/>
      <w:bookmarkStart w:id="5" w:name="_Toc37852682"/>
      <w:bookmarkStart w:id="6" w:name="_Toc63081455"/>
      <w:r>
        <w:rPr>
          <w:rFonts w:ascii="Times New Roman" w:eastAsia="仿宋_GB2312" w:hAnsi="Times New Roman" w:hint="eastAsia"/>
          <w:b/>
          <w:sz w:val="32"/>
          <w:szCs w:val="32"/>
        </w:rPr>
        <w:t>2020</w:t>
      </w:r>
      <w:r>
        <w:rPr>
          <w:rFonts w:ascii="Times New Roman" w:eastAsia="仿宋_GB2312" w:hAnsi="Times New Roman" w:hint="eastAsia"/>
          <w:b/>
          <w:sz w:val="32"/>
          <w:szCs w:val="32"/>
        </w:rPr>
        <w:t>年医疗器械国家标准发布清单</w:t>
      </w:r>
      <w:bookmarkEnd w:id="3"/>
      <w:bookmarkEnd w:id="4"/>
      <w:bookmarkEnd w:id="5"/>
      <w:bookmarkEnd w:id="6"/>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271"/>
        <w:gridCol w:w="3672"/>
        <w:gridCol w:w="1478"/>
        <w:gridCol w:w="1500"/>
        <w:gridCol w:w="2606"/>
        <w:gridCol w:w="1867"/>
      </w:tblGrid>
      <w:tr w:rsidR="005D3A63">
        <w:trPr>
          <w:cantSplit/>
          <w:trHeight w:val="510"/>
          <w:tblHeader/>
          <w:jc w:val="center"/>
        </w:trPr>
        <w:tc>
          <w:tcPr>
            <w:tcW w:w="286"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序号</w:t>
            </w:r>
          </w:p>
        </w:tc>
        <w:tc>
          <w:tcPr>
            <w:tcW w:w="799"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标准号</w:t>
            </w:r>
          </w:p>
        </w:tc>
        <w:tc>
          <w:tcPr>
            <w:tcW w:w="1291"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标准名称</w:t>
            </w:r>
          </w:p>
        </w:tc>
        <w:tc>
          <w:tcPr>
            <w:tcW w:w="520"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发布日期</w:t>
            </w:r>
          </w:p>
        </w:tc>
        <w:tc>
          <w:tcPr>
            <w:tcW w:w="528"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实施日期</w:t>
            </w:r>
          </w:p>
        </w:tc>
        <w:tc>
          <w:tcPr>
            <w:tcW w:w="916"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归口单位</w:t>
            </w:r>
          </w:p>
        </w:tc>
        <w:tc>
          <w:tcPr>
            <w:tcW w:w="657" w:type="pct"/>
            <w:shd w:val="clear" w:color="000000" w:fill="FFFFFF"/>
            <w:vAlign w:val="center"/>
          </w:tcPr>
          <w:p w:rsidR="005D3A63" w:rsidRDefault="00FF61FC">
            <w:pPr>
              <w:jc w:val="center"/>
              <w:rPr>
                <w:rFonts w:ascii="Times New Roman" w:eastAsia="仿宋_GB2312" w:hAnsi="Times New Roman" w:cs="宋体"/>
                <w:b/>
                <w:color w:val="000000"/>
                <w:sz w:val="24"/>
                <w:szCs w:val="24"/>
              </w:rPr>
            </w:pPr>
            <w:r>
              <w:rPr>
                <w:rFonts w:ascii="Times New Roman" w:eastAsia="仿宋_GB2312" w:hAnsi="Times New Roman" w:cs="宋体" w:hint="eastAsia"/>
                <w:b/>
                <w:color w:val="000000"/>
                <w:sz w:val="24"/>
                <w:szCs w:val="24"/>
              </w:rPr>
              <w:t>发布公告</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w:t>
            </w:r>
          </w:p>
        </w:tc>
        <w:tc>
          <w:tcPr>
            <w:tcW w:w="799"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部分：基本安全和基本性能的通用要求</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2020-04-09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7</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w:t>
            </w:r>
          </w:p>
        </w:tc>
        <w:tc>
          <w:tcPr>
            <w:tcW w:w="799"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2-12</w:t>
            </w:r>
            <w:r>
              <w:rPr>
                <w:rFonts w:ascii="Times New Roman" w:eastAsia="仿宋_GB2312" w:hAnsi="Times New Roman" w:cs="仿宋_GB2312" w:hint="eastAsia"/>
                <w:color w:val="000000"/>
                <w:sz w:val="24"/>
                <w:szCs w:val="24"/>
              </w:rPr>
              <w:t>部分：重症护理呼吸机的基本安全和基本性能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2020-04-09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7</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3</w:t>
            </w:r>
          </w:p>
        </w:tc>
        <w:tc>
          <w:tcPr>
            <w:tcW w:w="799"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 xml:space="preserve">GB </w:t>
            </w:r>
            <w:r>
              <w:rPr>
                <w:rFonts w:ascii="Times New Roman" w:eastAsia="仿宋_GB2312" w:hAnsi="Times New Roman" w:cs="仿宋_GB2312" w:hint="eastAsia"/>
                <w:color w:val="000000"/>
                <w:sz w:val="24"/>
                <w:szCs w:val="24"/>
              </w:rPr>
              <w:t>9706.237</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2-37</w:t>
            </w:r>
            <w:r>
              <w:rPr>
                <w:rFonts w:ascii="Times New Roman" w:eastAsia="仿宋_GB2312" w:hAnsi="Times New Roman" w:cs="仿宋_GB2312" w:hint="eastAsia"/>
                <w:color w:val="000000"/>
                <w:sz w:val="24"/>
                <w:szCs w:val="24"/>
              </w:rPr>
              <w:t>部分：超声诊断和监护设备的基本安全和基本性能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2020-04-09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7</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4</w:t>
            </w:r>
          </w:p>
        </w:tc>
        <w:tc>
          <w:tcPr>
            <w:tcW w:w="799"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9706.203-2020</w:t>
            </w:r>
          </w:p>
        </w:tc>
        <w:tc>
          <w:tcPr>
            <w:tcW w:w="1291"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2-3</w:t>
            </w:r>
            <w:r>
              <w:rPr>
                <w:rFonts w:ascii="Times New Roman" w:eastAsia="仿宋_GB2312" w:hAnsi="Times New Roman" w:cs="仿宋_GB2312" w:hint="eastAsia"/>
                <w:color w:val="000000"/>
                <w:sz w:val="24"/>
                <w:szCs w:val="24"/>
              </w:rPr>
              <w:t>部分：短波治疗设备的基本安全和基本性能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2020-05-29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13</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5</w:t>
            </w:r>
          </w:p>
        </w:tc>
        <w:tc>
          <w:tcPr>
            <w:tcW w:w="799"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9706.205-2020</w:t>
            </w:r>
          </w:p>
        </w:tc>
        <w:tc>
          <w:tcPr>
            <w:tcW w:w="1291"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2-5</w:t>
            </w:r>
            <w:r>
              <w:rPr>
                <w:rFonts w:ascii="Times New Roman" w:eastAsia="仿宋_GB2312" w:hAnsi="Times New Roman" w:cs="仿宋_GB2312" w:hint="eastAsia"/>
                <w:color w:val="000000"/>
                <w:sz w:val="24"/>
                <w:szCs w:val="24"/>
              </w:rPr>
              <w:t>部分：超声理疗设备的基本安全和基本性能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2020-07-23</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18</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6</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9706.206-2020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　第</w:t>
            </w:r>
            <w:r>
              <w:rPr>
                <w:rFonts w:ascii="Times New Roman" w:eastAsia="仿宋_GB2312" w:hAnsi="Times New Roman" w:cs="仿宋_GB2312" w:hint="eastAsia"/>
                <w:color w:val="000000"/>
                <w:sz w:val="24"/>
                <w:szCs w:val="24"/>
              </w:rPr>
              <w:t>2-6</w:t>
            </w:r>
            <w:r>
              <w:rPr>
                <w:rFonts w:ascii="Times New Roman" w:eastAsia="仿宋_GB2312" w:hAnsi="Times New Roman" w:cs="仿宋_GB2312" w:hint="eastAsia"/>
                <w:color w:val="000000"/>
                <w:sz w:val="24"/>
                <w:szCs w:val="24"/>
              </w:rPr>
              <w:t>部分：微波治疗设备的基本安全和基本性能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2020-07-23</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18</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7</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14232.1-2020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人体血液及血液成分袋式塑料容器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部分：传统型血袋</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2020-07-23</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2022-02-01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18</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8</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39111-2020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牙颌模型三维扫描仪技术要求</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2020-09-29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2021-10-01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全国口腔材料和器械设备标准化技术委员会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9</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8369.</w:t>
            </w:r>
            <w:r>
              <w:rPr>
                <w:rStyle w:val="font11"/>
                <w:rFonts w:ascii="Times New Roman" w:eastAsia="仿宋_GB2312" w:hAnsi="Times New Roman" w:cs="仿宋_GB2312" w:hint="default"/>
                <w:sz w:val="24"/>
                <w:szCs w:val="24"/>
              </w:rPr>
              <w:t>2-2020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一次性使用输血器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部分：压力输血设备用</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2020-11-17</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2022-06-01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25</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10</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9706.260</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2-60</w:t>
            </w:r>
            <w:r>
              <w:rPr>
                <w:rFonts w:ascii="Times New Roman" w:eastAsia="仿宋_GB2312" w:hAnsi="Times New Roman" w:cs="仿宋_GB2312" w:hint="eastAsia"/>
                <w:color w:val="000000"/>
                <w:sz w:val="24"/>
                <w:szCs w:val="24"/>
              </w:rPr>
              <w:t>部分：牙科设备的基本安全和基本性能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2020-11-17</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25</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11</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9706.263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2-63</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口外成像牙科</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射线机基本安全和基本性能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2020-11-17</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25</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12</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19703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体外诊断医疗器械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生物源性样品中量的测量</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有证参考物质及支持文件内容的要求</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2021-12-01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26</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13</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29790</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即时检验</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质量和能力的要求</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2021-12-01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26</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14</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39367.1-2020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体外诊断检验系统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病原微生物检测和鉴定用核酸定性体外检验程序</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部分：通用要求、术语和定义</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2022-06-01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26</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15</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39381.1-2020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心血管植入物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血管药械组合产品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2020-11-19</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2021-12-01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全国外科植入物和矫形器械标准化技术委员会心血管植入物分技术委员会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26</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16</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GB/T 9937-2020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名词术语</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2020-12-14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2021-07-01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28</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lastRenderedPageBreak/>
              <w:t>17</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9706.103-2020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1-3</w:t>
            </w:r>
            <w:r>
              <w:rPr>
                <w:rFonts w:ascii="Times New Roman" w:eastAsia="仿宋_GB2312" w:hAnsi="Times New Roman" w:cs="仿宋_GB2312" w:hint="eastAsia"/>
                <w:color w:val="000000"/>
                <w:sz w:val="24"/>
                <w:szCs w:val="24"/>
              </w:rPr>
              <w:t>部分：基本安全和基本性能的通用要求</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并列标准：诊断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射线设备的辐射防护</w:t>
            </w:r>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18</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9706.201-2020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部分：能量为</w:t>
            </w:r>
            <w:r>
              <w:rPr>
                <w:rFonts w:ascii="Times New Roman" w:eastAsia="仿宋_GB2312" w:hAnsi="Times New Roman" w:cs="仿宋_GB2312" w:hint="eastAsia"/>
                <w:color w:val="000000"/>
                <w:sz w:val="24"/>
                <w:szCs w:val="24"/>
              </w:rPr>
              <w:t>1MeV</w:t>
            </w:r>
            <w:r>
              <w:rPr>
                <w:rFonts w:ascii="Times New Roman" w:eastAsia="仿宋_GB2312" w:hAnsi="Times New Roman" w:cs="仿宋_GB2312" w:hint="eastAsia"/>
                <w:color w:val="000000"/>
                <w:sz w:val="24"/>
                <w:szCs w:val="24"/>
              </w:rPr>
              <w:t>至</w:t>
            </w:r>
            <w:r>
              <w:rPr>
                <w:rFonts w:ascii="Times New Roman" w:eastAsia="仿宋_GB2312" w:hAnsi="Times New Roman" w:cs="仿宋_GB2312" w:hint="eastAsia"/>
                <w:color w:val="000000"/>
                <w:sz w:val="24"/>
                <w:szCs w:val="24"/>
              </w:rPr>
              <w:t>50MeV</w:t>
            </w:r>
            <w:r>
              <w:rPr>
                <w:rFonts w:ascii="Times New Roman" w:eastAsia="仿宋_GB2312" w:hAnsi="Times New Roman" w:cs="仿宋_GB2312" w:hint="eastAsia"/>
                <w:color w:val="000000"/>
                <w:sz w:val="24"/>
                <w:szCs w:val="24"/>
              </w:rPr>
              <w:t>电子加速器基本安全和基本性能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19</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9706.211-2020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2-11</w:t>
            </w:r>
            <w:r>
              <w:rPr>
                <w:rFonts w:ascii="Times New Roman" w:eastAsia="仿宋_GB2312" w:hAnsi="Times New Roman" w:cs="仿宋_GB2312" w:hint="eastAsia"/>
                <w:color w:val="000000"/>
                <w:sz w:val="24"/>
                <w:szCs w:val="24"/>
              </w:rPr>
              <w:t>部分：γ射束治疗设备的基本安全和基本性能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20</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9706.217-2020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2-17</w:t>
            </w:r>
            <w:r>
              <w:rPr>
                <w:rFonts w:ascii="Times New Roman" w:eastAsia="仿宋_GB2312" w:hAnsi="Times New Roman" w:cs="仿宋_GB2312" w:hint="eastAsia"/>
                <w:color w:val="000000"/>
                <w:sz w:val="24"/>
                <w:szCs w:val="24"/>
              </w:rPr>
              <w:t>部分：自动控制式近距离治疗后装设备的基本安全和基本性能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21</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9706.228-2020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2-28</w:t>
            </w:r>
            <w:r>
              <w:rPr>
                <w:rFonts w:ascii="Times New Roman" w:eastAsia="仿宋_GB2312" w:hAnsi="Times New Roman" w:cs="仿宋_GB2312" w:hint="eastAsia"/>
                <w:color w:val="000000"/>
                <w:sz w:val="24"/>
                <w:szCs w:val="24"/>
              </w:rPr>
              <w:t>部分：医用诊断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射线管组件的基本安全和基本性能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22</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9706.244-2020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2-44</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射线计算机体层摄影设备的基本安全和基本性能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23</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w:t>
            </w:r>
            <w:r>
              <w:rPr>
                <w:rFonts w:ascii="Times New Roman" w:eastAsia="仿宋_GB2312" w:hAnsi="Times New Roman" w:cs="仿宋_GB2312" w:hint="eastAsia"/>
                <w:color w:val="000000"/>
                <w:sz w:val="24"/>
                <w:szCs w:val="24"/>
              </w:rPr>
              <w:t xml:space="preserve"> 9706.245-2020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2-45</w:t>
            </w:r>
            <w:r>
              <w:rPr>
                <w:rFonts w:ascii="Times New Roman" w:eastAsia="仿宋_GB2312" w:hAnsi="Times New Roman" w:cs="仿宋_GB2312" w:hint="eastAsia"/>
                <w:color w:val="000000"/>
                <w:sz w:val="24"/>
                <w:szCs w:val="24"/>
              </w:rPr>
              <w:t>部分：乳腺</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射线摄影设备和乳腺摄影立体定位装置的基本安全和基本性能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r w:rsidR="005D3A63">
        <w:trPr>
          <w:cantSplit/>
          <w:trHeight w:val="510"/>
          <w:jc w:val="center"/>
        </w:trPr>
        <w:tc>
          <w:tcPr>
            <w:tcW w:w="286" w:type="pct"/>
            <w:shd w:val="clear" w:color="auto" w:fill="auto"/>
            <w:vAlign w:val="center"/>
          </w:tcPr>
          <w:p w:rsidR="005D3A63" w:rsidRDefault="00FF61FC">
            <w:pPr>
              <w:jc w:val="center"/>
              <w:rPr>
                <w:rFonts w:ascii="Times New Roman" w:eastAsia="仿宋_GB2312" w:hAnsi="Times New Roman" w:cs="宋体"/>
                <w:sz w:val="24"/>
                <w:szCs w:val="24"/>
              </w:rPr>
            </w:pPr>
            <w:r>
              <w:rPr>
                <w:rFonts w:ascii="Times New Roman" w:eastAsia="仿宋_GB2312" w:hAnsi="Times New Roman" w:cs="宋体" w:hint="eastAsia"/>
                <w:sz w:val="24"/>
                <w:szCs w:val="24"/>
              </w:rPr>
              <w:t>24</w:t>
            </w:r>
          </w:p>
        </w:tc>
        <w:tc>
          <w:tcPr>
            <w:tcW w:w="799"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GB 9706.254-2020</w:t>
            </w:r>
          </w:p>
        </w:tc>
        <w:tc>
          <w:tcPr>
            <w:tcW w:w="1291"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2-54</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射线摄影和透视设备的基本安全和基本性能</w:t>
            </w:r>
            <w:proofErr w:type="gramStart"/>
            <w:r>
              <w:rPr>
                <w:rFonts w:ascii="Times New Roman" w:eastAsia="仿宋_GB2312" w:hAnsi="Times New Roman" w:cs="仿宋_GB2312" w:hint="eastAsia"/>
                <w:color w:val="000000"/>
                <w:sz w:val="24"/>
                <w:szCs w:val="24"/>
              </w:rPr>
              <w:t>专用要求</w:t>
            </w:r>
            <w:proofErr w:type="gramEnd"/>
          </w:p>
        </w:tc>
        <w:tc>
          <w:tcPr>
            <w:tcW w:w="520"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2020-12-24</w:t>
            </w:r>
          </w:p>
        </w:tc>
        <w:tc>
          <w:tcPr>
            <w:tcW w:w="528" w:type="pct"/>
            <w:shd w:val="clear" w:color="auto" w:fill="auto"/>
            <w:vAlign w:val="center"/>
          </w:tcPr>
          <w:p w:rsidR="005D3A63" w:rsidRDefault="00FF61FC">
            <w:pPr>
              <w:jc w:val="center"/>
              <w:textAlignment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2023-05-01</w:t>
            </w:r>
          </w:p>
        </w:tc>
        <w:tc>
          <w:tcPr>
            <w:tcW w:w="916"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333333"/>
                <w:sz w:val="24"/>
                <w:szCs w:val="24"/>
                <w:shd w:val="clear" w:color="auto" w:fill="FFFFFF"/>
              </w:rPr>
              <w:t>国家药品监督管理局</w:t>
            </w:r>
          </w:p>
        </w:tc>
        <w:tc>
          <w:tcPr>
            <w:tcW w:w="657" w:type="pct"/>
            <w:shd w:val="clear" w:color="auto" w:fill="auto"/>
            <w:vAlign w:val="center"/>
          </w:tcPr>
          <w:p w:rsidR="005D3A63" w:rsidRDefault="00FF61FC">
            <w:pPr>
              <w:jc w:val="center"/>
              <w:rPr>
                <w:rFonts w:ascii="Times New Roman" w:eastAsia="仿宋_GB2312" w:hAnsi="Times New Roman" w:cs="仿宋_GB2312"/>
                <w:color w:val="000000"/>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31</w:t>
            </w:r>
            <w:r>
              <w:rPr>
                <w:rFonts w:ascii="Times New Roman" w:eastAsia="仿宋_GB2312" w:hAnsi="Times New Roman" w:cs="仿宋_GB2312" w:hint="eastAsia"/>
                <w:color w:val="000000"/>
                <w:sz w:val="24"/>
                <w:szCs w:val="24"/>
              </w:rPr>
              <w:t>号</w:t>
            </w:r>
          </w:p>
        </w:tc>
      </w:tr>
    </w:tbl>
    <w:p w:rsidR="005D3A63" w:rsidRDefault="005D3A63">
      <w:pPr>
        <w:spacing w:line="360" w:lineRule="auto"/>
        <w:jc w:val="center"/>
        <w:outlineLvl w:val="0"/>
        <w:rPr>
          <w:rFonts w:ascii="Times New Roman" w:eastAsia="仿宋_GB2312" w:hAnsi="Times New Roman"/>
          <w:b/>
          <w:sz w:val="32"/>
          <w:szCs w:val="32"/>
        </w:rPr>
      </w:pPr>
      <w:bookmarkStart w:id="7" w:name="_GoBack"/>
      <w:bookmarkEnd w:id="7"/>
    </w:p>
    <w:sectPr w:rsidR="005D3A63">
      <w:footerReference w:type="even" r:id="rId10"/>
      <w:footnotePr>
        <w:numRestart w:val="eachPage"/>
      </w:footnotePr>
      <w:pgSz w:w="16838" w:h="11906" w:orient="landscape"/>
      <w:pgMar w:top="1361" w:right="1474" w:bottom="1361" w:left="1361" w:header="851" w:footer="992" w:gutter="0"/>
      <w:cols w:space="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1FC">
      <w:r>
        <w:separator/>
      </w:r>
    </w:p>
  </w:endnote>
  <w:endnote w:type="continuationSeparator" w:id="0">
    <w:p w:rsidR="00000000" w:rsidRDefault="00FF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63"/>
    </w:sdtPr>
    <w:sdtEndPr>
      <w:rPr>
        <w:rFonts w:asciiTheme="minorEastAsia" w:eastAsiaTheme="minorEastAsia" w:hAnsiTheme="minorEastAsia"/>
        <w:sz w:val="28"/>
        <w:szCs w:val="28"/>
      </w:rPr>
    </w:sdtEndPr>
    <w:sdtContent>
      <w:p w:rsidR="005D3A63" w:rsidRDefault="00FF61FC">
        <w:pPr>
          <w:pStyle w:val="a9"/>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54 -</w:t>
        </w:r>
        <w:r>
          <w:rPr>
            <w:rFonts w:asciiTheme="minorEastAsia" w:eastAsiaTheme="minorEastAsia" w:hAnsiTheme="minorEastAsia"/>
            <w:sz w:val="28"/>
            <w:szCs w:val="28"/>
          </w:rPr>
          <w:fldChar w:fldCharType="end"/>
        </w:r>
      </w:p>
    </w:sdtContent>
  </w:sdt>
  <w:p w:rsidR="005D3A63" w:rsidRDefault="005D3A63">
    <w:pPr>
      <w:pStyle w:val="a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1FC">
      <w:r>
        <w:separator/>
      </w:r>
    </w:p>
  </w:footnote>
  <w:footnote w:type="continuationSeparator" w:id="0">
    <w:p w:rsidR="00000000" w:rsidRDefault="00FF6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00000005"/>
    <w:multiLevelType w:val="multilevel"/>
    <w:tmpl w:val="00000005"/>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420"/>
  <w:drawingGridHorizontalSpacing w:val="97"/>
  <w:drawingGridVerticalSpacing w:val="287"/>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57"/>
    <w:rsid w:val="00012C23"/>
    <w:rsid w:val="00054775"/>
    <w:rsid w:val="00070B40"/>
    <w:rsid w:val="00081D42"/>
    <w:rsid w:val="000C057E"/>
    <w:rsid w:val="00114BA0"/>
    <w:rsid w:val="00191EA8"/>
    <w:rsid w:val="001966F4"/>
    <w:rsid w:val="001C5F85"/>
    <w:rsid w:val="001D797B"/>
    <w:rsid w:val="00286C8A"/>
    <w:rsid w:val="002A1505"/>
    <w:rsid w:val="002A35B0"/>
    <w:rsid w:val="002C6921"/>
    <w:rsid w:val="002E199C"/>
    <w:rsid w:val="003C2957"/>
    <w:rsid w:val="003D0AC5"/>
    <w:rsid w:val="003E6AE0"/>
    <w:rsid w:val="004F1F08"/>
    <w:rsid w:val="00597AB8"/>
    <w:rsid w:val="005D3A63"/>
    <w:rsid w:val="006058E7"/>
    <w:rsid w:val="006222E6"/>
    <w:rsid w:val="0068230C"/>
    <w:rsid w:val="006B1179"/>
    <w:rsid w:val="006F2694"/>
    <w:rsid w:val="00700A2E"/>
    <w:rsid w:val="0070697D"/>
    <w:rsid w:val="007159A9"/>
    <w:rsid w:val="007437D6"/>
    <w:rsid w:val="00752A12"/>
    <w:rsid w:val="00772916"/>
    <w:rsid w:val="0078217A"/>
    <w:rsid w:val="007D4AB7"/>
    <w:rsid w:val="0080711A"/>
    <w:rsid w:val="00851E9C"/>
    <w:rsid w:val="00863876"/>
    <w:rsid w:val="008F031A"/>
    <w:rsid w:val="008F6DBC"/>
    <w:rsid w:val="009471AA"/>
    <w:rsid w:val="00970C00"/>
    <w:rsid w:val="009C7F38"/>
    <w:rsid w:val="00A1176D"/>
    <w:rsid w:val="00A367D8"/>
    <w:rsid w:val="00A704ED"/>
    <w:rsid w:val="00AC0710"/>
    <w:rsid w:val="00AC2683"/>
    <w:rsid w:val="00B5008F"/>
    <w:rsid w:val="00B50595"/>
    <w:rsid w:val="00C17180"/>
    <w:rsid w:val="00C54B74"/>
    <w:rsid w:val="00CE0AF1"/>
    <w:rsid w:val="00D04C96"/>
    <w:rsid w:val="00D76DEA"/>
    <w:rsid w:val="00D83FC5"/>
    <w:rsid w:val="00D84B22"/>
    <w:rsid w:val="00D94307"/>
    <w:rsid w:val="00E94328"/>
    <w:rsid w:val="00EA000E"/>
    <w:rsid w:val="00ED77F9"/>
    <w:rsid w:val="00F06AC5"/>
    <w:rsid w:val="00F84066"/>
    <w:rsid w:val="00F96266"/>
    <w:rsid w:val="00FB002B"/>
    <w:rsid w:val="00FD3CDC"/>
    <w:rsid w:val="00FF61FC"/>
    <w:rsid w:val="00FF6CE7"/>
    <w:rsid w:val="00FF75F8"/>
    <w:rsid w:val="03E074C5"/>
    <w:rsid w:val="07593DF7"/>
    <w:rsid w:val="0F5357E6"/>
    <w:rsid w:val="13EA1747"/>
    <w:rsid w:val="25FE5A6E"/>
    <w:rsid w:val="264855B4"/>
    <w:rsid w:val="28147589"/>
    <w:rsid w:val="34197737"/>
    <w:rsid w:val="35155921"/>
    <w:rsid w:val="3B4715A0"/>
    <w:rsid w:val="418B1817"/>
    <w:rsid w:val="43B9413D"/>
    <w:rsid w:val="488310F9"/>
    <w:rsid w:val="48B107A4"/>
    <w:rsid w:val="4C545A6C"/>
    <w:rsid w:val="4FF16BA9"/>
    <w:rsid w:val="537F3A9B"/>
    <w:rsid w:val="5BAE0E5F"/>
    <w:rsid w:val="5E393B73"/>
    <w:rsid w:val="5F1B3BA5"/>
    <w:rsid w:val="62835017"/>
    <w:rsid w:val="64C5344F"/>
    <w:rsid w:val="660C5D7E"/>
    <w:rsid w:val="69193630"/>
    <w:rsid w:val="6AEC4AC6"/>
    <w:rsid w:val="7AFA7B5B"/>
    <w:rsid w:val="7E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657F0-F00E-481E-9C63-41DCED6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1325</Words>
  <Characters>1142</Characters>
  <Application>Microsoft Office Word</Application>
  <DocSecurity>0</DocSecurity>
  <Lines>9</Lines>
  <Paragraphs>4</Paragraphs>
  <ScaleCrop>false</ScaleCrop>
  <Company>Hewlett-Packard Company</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许慧雯</cp:lastModifiedBy>
  <cp:revision>3</cp:revision>
  <cp:lastPrinted>2021-02-01T08:51:00Z</cp:lastPrinted>
  <dcterms:created xsi:type="dcterms:W3CDTF">2021-02-05T02:12:00Z</dcterms:created>
  <dcterms:modified xsi:type="dcterms:W3CDTF">2021-02-05T02:14:00Z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