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after="313" w:afterLines="100" w:line="560" w:lineRule="exact"/>
        <w:jc w:val="both"/>
        <w:textAlignment w:val="auto"/>
        <w:rPr>
          <w:rFonts w:hint="default"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eastAsia="zh-CN"/>
        </w:rPr>
        <w:t>附件</w:t>
      </w:r>
      <w:r>
        <w:rPr>
          <w:rFonts w:hint="eastAsia" w:ascii="黑体" w:hAnsi="黑体" w:eastAsia="黑体" w:cs="黑体"/>
          <w:b w:val="0"/>
          <w:bCs/>
          <w:sz w:val="32"/>
          <w:szCs w:val="32"/>
          <w:highlight w:val="none"/>
          <w:lang w:val="en-US" w:eastAsia="zh-CN"/>
        </w:rPr>
        <w:t>3</w:t>
      </w:r>
    </w:p>
    <w:p>
      <w:pPr>
        <w:snapToGrid w:val="0"/>
        <w:jc w:val="center"/>
        <w:rPr>
          <w:rFonts w:ascii="Times New Roman" w:hAnsi="Times New Roman" w:eastAsia="黑体" w:cs="Times New Roman"/>
          <w:b/>
          <w:bCs/>
          <w:sz w:val="72"/>
          <w:szCs w:val="72"/>
        </w:rPr>
      </w:pPr>
    </w:p>
    <w:p>
      <w:pPr>
        <w:snapToGrid w:val="0"/>
        <w:jc w:val="center"/>
        <w:rPr>
          <w:rFonts w:ascii="Times New Roman" w:hAnsi="Times New Roman" w:eastAsia="黑体" w:cs="Times New Roman"/>
          <w:b/>
          <w:bCs/>
          <w:sz w:val="72"/>
          <w:szCs w:val="72"/>
        </w:rPr>
      </w:pPr>
    </w:p>
    <w:p>
      <w:pPr>
        <w:snapToGrid w:val="0"/>
        <w:ind w:firstLine="0" w:firstLineChars="0"/>
        <w:jc w:val="center"/>
        <w:outlineLvl w:val="0"/>
        <w:rPr>
          <w:rFonts w:ascii="Times New Roman" w:hAnsi="Times New Roman" w:eastAsia="黑体" w:cs="Times New Roman"/>
          <w:b/>
          <w:bCs/>
          <w:sz w:val="56"/>
          <w:szCs w:val="56"/>
        </w:rPr>
      </w:pPr>
      <w:bookmarkStart w:id="0" w:name="_Toc32751"/>
      <w:bookmarkStart w:id="1" w:name="_Toc18569"/>
      <w:bookmarkStart w:id="2" w:name="_Toc9231"/>
      <w:bookmarkStart w:id="3" w:name="_Toc16343"/>
      <w:r>
        <w:rPr>
          <w:rFonts w:ascii="Times New Roman" w:hAnsi="Times New Roman" w:eastAsia="黑体" w:cs="Times New Roman"/>
          <w:b/>
          <w:bCs/>
          <w:sz w:val="56"/>
          <w:szCs w:val="56"/>
        </w:rPr>
        <w:t>化妆品新原料安全食用历史</w:t>
      </w:r>
    </w:p>
    <w:p>
      <w:pPr>
        <w:snapToGrid w:val="0"/>
        <w:ind w:firstLine="0" w:firstLineChars="0"/>
        <w:jc w:val="center"/>
        <w:outlineLvl w:val="0"/>
        <w:rPr>
          <w:rFonts w:hint="default" w:ascii="Times New Roman" w:hAnsi="Times New Roman" w:eastAsia="黑体" w:cs="Times New Roman"/>
          <w:b/>
          <w:bCs/>
          <w:sz w:val="56"/>
          <w:szCs w:val="56"/>
          <w:lang w:val="en-US" w:eastAsia="zh-CN"/>
        </w:rPr>
      </w:pPr>
      <w:r>
        <w:rPr>
          <w:rFonts w:hint="eastAsia" w:ascii="Times New Roman" w:hAnsi="Times New Roman" w:eastAsia="黑体" w:cs="Times New Roman"/>
          <w:b/>
          <w:bCs/>
          <w:sz w:val="56"/>
          <w:szCs w:val="56"/>
          <w:lang w:eastAsia="zh-CN"/>
        </w:rPr>
        <w:t>研究和</w:t>
      </w:r>
      <w:r>
        <w:rPr>
          <w:rFonts w:ascii="Times New Roman" w:hAnsi="Times New Roman" w:eastAsia="黑体" w:cs="Times New Roman"/>
          <w:b/>
          <w:bCs/>
          <w:sz w:val="56"/>
          <w:szCs w:val="56"/>
        </w:rPr>
        <w:t>判定指</w:t>
      </w:r>
      <w:bookmarkEnd w:id="0"/>
      <w:bookmarkEnd w:id="1"/>
      <w:bookmarkEnd w:id="2"/>
      <w:bookmarkEnd w:id="3"/>
      <w:r>
        <w:rPr>
          <w:rFonts w:hint="eastAsia" w:ascii="Times New Roman" w:hAnsi="Times New Roman" w:eastAsia="黑体" w:cs="Times New Roman"/>
          <w:b/>
          <w:bCs/>
          <w:sz w:val="56"/>
          <w:szCs w:val="56"/>
          <w:lang w:eastAsia="zh-CN"/>
        </w:rPr>
        <w:t>南</w:t>
      </w:r>
      <w:r>
        <w:rPr>
          <w:rFonts w:hint="eastAsia" w:ascii="Times New Roman" w:hAnsi="Times New Roman" w:eastAsia="黑体" w:cs="Times New Roman"/>
          <w:b/>
          <w:bCs/>
          <w:sz w:val="56"/>
          <w:szCs w:val="56"/>
          <w:lang w:val="en-US" w:eastAsia="zh-CN"/>
        </w:rPr>
        <w:t>(试行）</w:t>
      </w:r>
    </w:p>
    <w:p>
      <w:pPr>
        <w:adjustRightInd w:val="0"/>
        <w:snapToGrid w:val="0"/>
        <w:spacing w:line="360" w:lineRule="auto"/>
        <w:ind w:firstLine="0" w:firstLineChars="0"/>
        <w:jc w:val="center"/>
        <w:rPr>
          <w:rFonts w:ascii="黑体" w:hAnsi="黑体" w:eastAsia="黑体" w:cs="黑体"/>
          <w:b/>
          <w:bCs/>
          <w:sz w:val="56"/>
          <w:szCs w:val="56"/>
          <w:highlight w:val="none"/>
        </w:rPr>
      </w:pPr>
    </w:p>
    <w:p>
      <w:pPr>
        <w:adjustRightInd w:val="0"/>
        <w:snapToGrid w:val="0"/>
        <w:spacing w:line="288" w:lineRule="auto"/>
        <w:ind w:firstLine="0" w:firstLineChars="0"/>
        <w:jc w:val="center"/>
        <w:rPr>
          <w:rFonts w:ascii="黑体" w:hAnsi="黑体" w:eastAsia="黑体" w:cs="黑体"/>
          <w:b/>
          <w:bCs/>
          <w:sz w:val="52"/>
          <w:szCs w:val="52"/>
          <w:highlight w:val="none"/>
        </w:rPr>
      </w:pPr>
    </w:p>
    <w:p>
      <w:pPr>
        <w:adjustRightInd w:val="0"/>
        <w:snapToGrid w:val="0"/>
        <w:spacing w:line="288" w:lineRule="auto"/>
        <w:ind w:firstLine="0" w:firstLineChars="0"/>
        <w:jc w:val="center"/>
        <w:rPr>
          <w:rFonts w:ascii="黑体" w:hAnsi="黑体" w:eastAsia="黑体" w:cs="黑体"/>
          <w:b/>
          <w:bCs/>
          <w:sz w:val="48"/>
          <w:szCs w:val="48"/>
          <w:highlight w:val="none"/>
        </w:rPr>
      </w:pPr>
      <w:r>
        <w:rPr>
          <w:rFonts w:hint="eastAsia" w:ascii="黑体" w:hAnsi="黑体" w:eastAsia="黑体" w:cs="黑体"/>
          <w:b/>
          <w:bCs/>
          <w:sz w:val="48"/>
          <w:szCs w:val="48"/>
          <w:highlight w:val="none"/>
        </w:rPr>
        <w:t>（征求意见稿）</w:t>
      </w:r>
    </w:p>
    <w:p>
      <w:pPr>
        <w:adjustRightInd w:val="0"/>
        <w:snapToGrid w:val="0"/>
        <w:spacing w:line="360" w:lineRule="auto"/>
        <w:ind w:firstLine="0" w:firstLineChars="0"/>
        <w:jc w:val="center"/>
        <w:rPr>
          <w:rFonts w:ascii="仿宋" w:hAnsi="仿宋" w:eastAsia="仿宋" w:cs="仿宋"/>
          <w:sz w:val="44"/>
          <w:szCs w:val="44"/>
          <w:highlight w:val="none"/>
        </w:rPr>
      </w:pPr>
    </w:p>
    <w:p>
      <w:pPr>
        <w:adjustRightInd w:val="0"/>
        <w:snapToGrid w:val="0"/>
        <w:spacing w:line="360" w:lineRule="auto"/>
        <w:ind w:firstLine="0" w:firstLineChars="0"/>
        <w:jc w:val="center"/>
        <w:rPr>
          <w:rFonts w:ascii="仿宋" w:hAnsi="仿宋" w:eastAsia="仿宋" w:cs="仿宋"/>
          <w:sz w:val="44"/>
          <w:szCs w:val="44"/>
          <w:highlight w:val="none"/>
        </w:rPr>
      </w:pPr>
    </w:p>
    <w:p>
      <w:pPr>
        <w:adjustRightInd w:val="0"/>
        <w:snapToGrid w:val="0"/>
        <w:spacing w:line="360" w:lineRule="auto"/>
        <w:ind w:firstLine="0" w:firstLineChars="0"/>
        <w:jc w:val="center"/>
        <w:rPr>
          <w:rFonts w:ascii="仿宋" w:hAnsi="仿宋" w:eastAsia="仿宋" w:cs="仿宋"/>
          <w:sz w:val="44"/>
          <w:szCs w:val="44"/>
          <w:highlight w:val="none"/>
        </w:rPr>
      </w:pPr>
    </w:p>
    <w:p>
      <w:pPr>
        <w:adjustRightInd w:val="0"/>
        <w:snapToGrid w:val="0"/>
        <w:spacing w:line="360" w:lineRule="auto"/>
        <w:ind w:firstLine="0" w:firstLineChars="0"/>
        <w:jc w:val="center"/>
        <w:rPr>
          <w:rFonts w:ascii="仿宋" w:hAnsi="仿宋" w:eastAsia="仿宋" w:cs="仿宋"/>
          <w:sz w:val="44"/>
          <w:szCs w:val="44"/>
          <w:highlight w:val="none"/>
        </w:rPr>
      </w:pPr>
    </w:p>
    <w:p>
      <w:pPr>
        <w:adjustRightInd w:val="0"/>
        <w:snapToGrid w:val="0"/>
        <w:spacing w:line="360" w:lineRule="auto"/>
        <w:ind w:firstLine="0" w:firstLineChars="0"/>
        <w:jc w:val="center"/>
        <w:rPr>
          <w:rFonts w:ascii="仿宋" w:hAnsi="仿宋" w:eastAsia="仿宋" w:cs="仿宋"/>
          <w:sz w:val="44"/>
          <w:szCs w:val="44"/>
          <w:highlight w:val="none"/>
        </w:rPr>
      </w:pPr>
    </w:p>
    <w:p>
      <w:pPr>
        <w:snapToGrid w:val="0"/>
        <w:ind w:left="0" w:leftChars="0" w:firstLine="0" w:firstLineChars="0"/>
        <w:jc w:val="center"/>
        <w:outlineLvl w:val="0"/>
        <w:rPr>
          <w:rFonts w:ascii="Times New Roman" w:hAnsi="Times New Roman" w:eastAsia="楷体" w:cs="Times New Roman"/>
          <w:sz w:val="44"/>
          <w:szCs w:val="44"/>
        </w:rPr>
      </w:pPr>
      <w:r>
        <w:rPr>
          <w:rFonts w:hint="eastAsia" w:ascii="楷体" w:hAnsi="楷体" w:eastAsia="楷体" w:cs="楷体"/>
          <w:sz w:val="44"/>
          <w:szCs w:val="44"/>
          <w:highlight w:val="none"/>
        </w:rPr>
        <w:t>中国食品药品检定研究院</w:t>
      </w:r>
    </w:p>
    <w:p>
      <w:pPr>
        <w:pStyle w:val="2"/>
        <w:spacing w:line="240" w:lineRule="exact"/>
        <w:ind w:firstLine="0" w:firstLineChars="0"/>
        <w:rPr>
          <w:rFonts w:hint="default" w:ascii="Times New Roman" w:hAnsi="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bookmarkStart w:id="4" w:name="_Toc24007"/>
      <w:bookmarkStart w:id="5" w:name="_Toc22458"/>
      <w:bookmarkStart w:id="6" w:name="_Toc125556502"/>
      <w:bookmarkStart w:id="7" w:name="_Toc30596"/>
      <w:bookmarkStart w:id="8" w:name="_Toc26634"/>
    </w:p>
    <w:p>
      <w:pPr>
        <w:pStyle w:val="2"/>
        <w:spacing w:line="600" w:lineRule="exact"/>
        <w:ind w:firstLine="640"/>
        <w:rPr>
          <w:rFonts w:hint="default" w:ascii="Times New Roman" w:hAnsi="Times New Roman"/>
        </w:rPr>
      </w:pPr>
      <w:r>
        <w:rPr>
          <w:rFonts w:hint="default" w:ascii="Times New Roman" w:hAnsi="Times New Roman"/>
        </w:rPr>
        <w:t>一、概述</w:t>
      </w:r>
      <w:bookmarkEnd w:id="4"/>
      <w:bookmarkEnd w:id="5"/>
      <w:bookmarkEnd w:id="6"/>
      <w:bookmarkEnd w:id="7"/>
      <w:bookmarkEnd w:id="8"/>
    </w:p>
    <w:p>
      <w:pPr>
        <w:pStyle w:val="5"/>
        <w:spacing w:line="600" w:lineRule="exact"/>
        <w:ind w:firstLine="640"/>
        <w:jc w:val="both"/>
        <w:rPr>
          <w:rFonts w:ascii="Times New Roman" w:hAnsi="Times New Roman" w:cs="Times New Roman"/>
        </w:rPr>
      </w:pPr>
      <w:r>
        <w:rPr>
          <w:rFonts w:ascii="Times New Roman" w:hAnsi="Times New Roman" w:cs="Times New Roman"/>
        </w:rPr>
        <w:t>《化妆品新原料注册备案资料管理规定》（以下简称《</w:t>
      </w:r>
      <w:r>
        <w:rPr>
          <w:rFonts w:hint="eastAsia" w:ascii="Times New Roman" w:hAnsi="Times New Roman" w:cs="Times New Roman"/>
          <w:lang w:eastAsia="zh-CN"/>
        </w:rPr>
        <w:t>资料</w:t>
      </w:r>
      <w:r>
        <w:rPr>
          <w:rFonts w:ascii="Times New Roman" w:hAnsi="Times New Roman" w:cs="Times New Roman"/>
        </w:rPr>
        <w:t>规定》）</w:t>
      </w:r>
      <w:r>
        <w:rPr>
          <w:rFonts w:hint="eastAsia" w:ascii="Times New Roman" w:hAnsi="Times New Roman" w:cs="Times New Roman"/>
        </w:rPr>
        <w:t>根据申</w:t>
      </w:r>
      <w:r>
        <w:rPr>
          <w:rFonts w:hint="eastAsia" w:ascii="Times New Roman" w:hAnsi="Times New Roman" w:cs="Times New Roman"/>
          <w:lang w:eastAsia="zh-CN"/>
        </w:rPr>
        <w:t>请</w:t>
      </w:r>
      <w:r>
        <w:rPr>
          <w:rFonts w:hint="eastAsia" w:ascii="Times New Roman" w:hAnsi="Times New Roman" w:cs="Times New Roman"/>
        </w:rPr>
        <w:t>注册或进行备案新原料的功能、使用历史和食用历史等情况</w:t>
      </w:r>
      <w:r>
        <w:rPr>
          <w:rFonts w:ascii="Times New Roman" w:hAnsi="Times New Roman" w:cs="Times New Roman"/>
        </w:rPr>
        <w:t>将新原料分为六种不同情形，并基于风险管理理念提出</w:t>
      </w:r>
      <w:r>
        <w:rPr>
          <w:rFonts w:hint="eastAsia" w:ascii="Times New Roman" w:hAnsi="Times New Roman" w:cs="Times New Roman"/>
        </w:rPr>
        <w:t>相</w:t>
      </w:r>
      <w:r>
        <w:rPr>
          <w:rFonts w:ascii="Times New Roman" w:hAnsi="Times New Roman" w:cs="Times New Roman"/>
        </w:rPr>
        <w:t>应毒理学试验项目要求</w:t>
      </w:r>
      <w:r>
        <w:rPr>
          <w:rFonts w:hint="eastAsia" w:ascii="Times New Roman" w:hAnsi="Times New Roman" w:cs="Times New Roman"/>
          <w:lang w:eastAsia="zh-CN"/>
        </w:rPr>
        <w:t>，</w:t>
      </w:r>
      <w:r>
        <w:rPr>
          <w:rFonts w:ascii="Times New Roman" w:hAnsi="Times New Roman" w:cs="Times New Roman"/>
        </w:rPr>
        <w:t>其中情形</w:t>
      </w:r>
      <w:r>
        <w:rPr>
          <w:rFonts w:hint="eastAsia" w:ascii="Times New Roman" w:hAnsi="Times New Roman" w:cs="Times New Roman"/>
        </w:rPr>
        <w:t>5</w:t>
      </w:r>
      <w:r>
        <w:rPr>
          <w:rFonts w:hint="eastAsia" w:ascii="Times New Roman" w:hAnsi="Times New Roman" w:cs="Times New Roman"/>
          <w:lang w:eastAsia="zh-CN"/>
        </w:rPr>
        <w:t>适用于</w:t>
      </w:r>
      <w:r>
        <w:rPr>
          <w:rFonts w:ascii="Times New Roman" w:hAnsi="Times New Roman" w:cs="Times New Roman"/>
        </w:rPr>
        <w:t>具有安全食用历史的化妆品新原料。原料</w:t>
      </w:r>
      <w:r>
        <w:rPr>
          <w:rFonts w:hint="eastAsia" w:ascii="Times New Roman" w:hAnsi="Times New Roman" w:cs="Times New Roman"/>
          <w:lang w:eastAsia="zh-CN"/>
        </w:rPr>
        <w:t>的</w:t>
      </w:r>
      <w:r>
        <w:rPr>
          <w:rFonts w:ascii="Times New Roman" w:hAnsi="Times New Roman" w:cs="Times New Roman"/>
        </w:rPr>
        <w:t>安全食用历史</w:t>
      </w:r>
      <w:r>
        <w:rPr>
          <w:rFonts w:hint="default" w:ascii="Times New Roman" w:hAnsi="Times New Roman" w:cs="Times New Roman"/>
          <w:sz w:val="32"/>
          <w:szCs w:val="22"/>
          <w:lang w:eastAsia="zh-CN"/>
        </w:rPr>
        <w:t>能够一定程度上作为系统毒性等相关毒理学终点的可用信息或数据，减免相应毒理学试验项目</w:t>
      </w:r>
      <w:r>
        <w:rPr>
          <w:rFonts w:hint="eastAsia" w:ascii="Times New Roman" w:hAnsi="Times New Roman" w:cs="Times New Roman"/>
          <w:sz w:val="32"/>
          <w:szCs w:val="22"/>
          <w:lang w:eastAsia="zh-CN"/>
        </w:rPr>
        <w:t>。</w:t>
      </w:r>
      <w:r>
        <w:rPr>
          <w:rFonts w:hint="default" w:ascii="Times New Roman" w:hAnsi="Times New Roman" w:cs="Times New Roman"/>
          <w:sz w:val="32"/>
          <w:szCs w:val="22"/>
          <w:lang w:eastAsia="zh-CN"/>
        </w:rPr>
        <w:t>在安全评估中，</w:t>
      </w:r>
      <w:r>
        <w:rPr>
          <w:rFonts w:hint="default" w:ascii="Times New Roman" w:hAnsi="Times New Roman" w:cs="Times New Roman"/>
          <w:sz w:val="32"/>
          <w:szCs w:val="22"/>
          <w:lang w:val="en-US" w:eastAsia="zh-CN"/>
        </w:rPr>
        <w:t>可</w:t>
      </w:r>
      <w:r>
        <w:rPr>
          <w:rFonts w:hint="default" w:ascii="Times New Roman" w:hAnsi="Times New Roman" w:cs="Times New Roman"/>
          <w:sz w:val="32"/>
          <w:szCs w:val="22"/>
          <w:lang w:eastAsia="zh-CN"/>
        </w:rPr>
        <w:t>结合</w:t>
      </w:r>
      <w:r>
        <w:rPr>
          <w:rFonts w:hint="eastAsia" w:ascii="Times New Roman" w:hAnsi="Times New Roman" w:cs="Times New Roman"/>
          <w:sz w:val="32"/>
          <w:szCs w:val="22"/>
          <w:lang w:eastAsia="zh-CN"/>
        </w:rPr>
        <w:t>所采用的</w:t>
      </w:r>
      <w:r>
        <w:rPr>
          <w:rFonts w:hint="default" w:ascii="Times New Roman" w:hAnsi="Times New Roman" w:cs="Times New Roman"/>
          <w:sz w:val="32"/>
          <w:szCs w:val="22"/>
          <w:lang w:eastAsia="zh-CN"/>
        </w:rPr>
        <w:t>安全食用历史</w:t>
      </w:r>
      <w:r>
        <w:rPr>
          <w:rFonts w:hint="eastAsia" w:ascii="Times New Roman" w:hAnsi="Times New Roman" w:cs="Times New Roman"/>
          <w:sz w:val="32"/>
          <w:szCs w:val="22"/>
          <w:lang w:eastAsia="zh-CN"/>
        </w:rPr>
        <w:t>及相关信息和数据</w:t>
      </w:r>
      <w:r>
        <w:rPr>
          <w:rFonts w:hint="default" w:ascii="Times New Roman" w:hAnsi="Times New Roman" w:cs="Times New Roman"/>
          <w:sz w:val="32"/>
          <w:szCs w:val="22"/>
          <w:lang w:eastAsia="zh-CN"/>
        </w:rPr>
        <w:t>，</w:t>
      </w:r>
      <w:r>
        <w:rPr>
          <w:rFonts w:hint="eastAsia" w:ascii="Times New Roman" w:hAnsi="Times New Roman" w:cs="Times New Roman"/>
          <w:sz w:val="32"/>
          <w:szCs w:val="22"/>
          <w:lang w:eastAsia="zh-CN"/>
        </w:rPr>
        <w:t>对</w:t>
      </w:r>
      <w:r>
        <w:rPr>
          <w:rFonts w:hint="default" w:ascii="Times New Roman" w:hAnsi="Times New Roman" w:cs="Times New Roman"/>
          <w:sz w:val="32"/>
          <w:szCs w:val="22"/>
          <w:lang w:eastAsia="zh-CN"/>
        </w:rPr>
        <w:t>原料用于化妆品中的安全性</w:t>
      </w:r>
      <w:r>
        <w:rPr>
          <w:rFonts w:hint="eastAsia" w:ascii="Times New Roman" w:hAnsi="Times New Roman" w:cs="Times New Roman"/>
          <w:sz w:val="32"/>
          <w:szCs w:val="22"/>
          <w:lang w:eastAsia="zh-CN"/>
        </w:rPr>
        <w:t>进行</w:t>
      </w:r>
      <w:r>
        <w:rPr>
          <w:rFonts w:hint="default" w:ascii="Times New Roman" w:hAnsi="Times New Roman" w:cs="Times New Roman"/>
          <w:sz w:val="32"/>
          <w:szCs w:val="22"/>
          <w:lang w:eastAsia="zh-CN"/>
        </w:rPr>
        <w:t>分析和评估。</w:t>
      </w:r>
    </w:p>
    <w:p>
      <w:pPr>
        <w:spacing w:line="600" w:lineRule="exact"/>
        <w:ind w:firstLine="640" w:firstLineChars="200"/>
        <w:rPr>
          <w:rFonts w:ascii="Times New Roman" w:hAnsi="Times New Roman" w:eastAsia="仿宋" w:cs="Times New Roman"/>
          <w:bCs/>
          <w:color w:val="000000" w:themeColor="text1"/>
          <w:kern w:val="0"/>
          <w:sz w:val="32"/>
          <w:szCs w:val="32"/>
          <w:highlight w:val="none"/>
          <w14:textFill>
            <w14:solidFill>
              <w14:schemeClr w14:val="tx1"/>
            </w14:solidFill>
          </w14:textFill>
        </w:rPr>
      </w:pPr>
      <w:r>
        <w:rPr>
          <w:rFonts w:ascii="Times New Roman" w:hAnsi="Times New Roman" w:cs="Times New Roman"/>
          <w:highlight w:val="none"/>
        </w:rPr>
        <w:t>为规范化妆品新原料</w:t>
      </w:r>
      <w:r>
        <w:rPr>
          <w:rFonts w:hint="eastAsia" w:ascii="Times New Roman" w:hAnsi="Times New Roman" w:cs="Times New Roman"/>
          <w:highlight w:val="none"/>
          <w:lang w:eastAsia="zh-CN"/>
        </w:rPr>
        <w:t>研究和评价</w:t>
      </w:r>
      <w:r>
        <w:rPr>
          <w:rFonts w:ascii="Times New Roman" w:hAnsi="Times New Roman" w:cs="Times New Roman"/>
          <w:highlight w:val="none"/>
        </w:rPr>
        <w:t>，</w:t>
      </w:r>
      <w:r>
        <w:rPr>
          <w:rFonts w:hint="default" w:ascii="Times New Roman" w:hAnsi="Times New Roman" w:eastAsia="仿宋" w:cs="Times New Roman"/>
          <w:bCs/>
          <w:color w:val="000000" w:themeColor="text1"/>
          <w:kern w:val="0"/>
          <w:sz w:val="32"/>
          <w:szCs w:val="32"/>
          <w:highlight w:val="none"/>
          <w:lang w:eastAsia="zh-CN"/>
          <w14:textFill>
            <w14:solidFill>
              <w14:schemeClr w14:val="tx1"/>
            </w14:solidFill>
          </w14:textFill>
        </w:rPr>
        <w:t>指导</w:t>
      </w:r>
      <w:r>
        <w:rPr>
          <w:rFonts w:hint="default" w:ascii="Times New Roman" w:hAnsi="Times New Roman" w:eastAsia="仿宋" w:cs="Times New Roman"/>
          <w:bCs/>
          <w:color w:val="000000" w:themeColor="text1"/>
          <w:kern w:val="0"/>
          <w:sz w:val="32"/>
          <w:szCs w:val="32"/>
          <w:highlight w:val="none"/>
          <w14:textFill>
            <w14:solidFill>
              <w14:schemeClr w14:val="tx1"/>
            </w14:solidFill>
          </w14:textFill>
        </w:rPr>
        <w:t>安全</w:t>
      </w:r>
      <w:r>
        <w:rPr>
          <w:rFonts w:hint="eastAsia" w:ascii="Times New Roman" w:hAnsi="Times New Roman" w:cs="Times New Roman"/>
          <w:bCs/>
          <w:color w:val="000000" w:themeColor="text1"/>
          <w:kern w:val="0"/>
          <w:sz w:val="32"/>
          <w:szCs w:val="32"/>
          <w:highlight w:val="none"/>
          <w:lang w:val="en-US" w:eastAsia="zh-CN"/>
          <w14:textFill>
            <w14:solidFill>
              <w14:schemeClr w14:val="tx1"/>
            </w14:solidFill>
          </w14:textFill>
        </w:rPr>
        <w:t>食</w:t>
      </w:r>
      <w:r>
        <w:rPr>
          <w:rFonts w:ascii="Times New Roman" w:hAnsi="Times New Roman" w:eastAsia="仿宋" w:cs="Times New Roman"/>
          <w:bCs/>
          <w:color w:val="000000" w:themeColor="text1"/>
          <w:kern w:val="0"/>
          <w:sz w:val="32"/>
          <w:szCs w:val="32"/>
          <w:highlight w:val="none"/>
          <w14:textFill>
            <w14:solidFill>
              <w14:schemeClr w14:val="tx1"/>
            </w14:solidFill>
          </w14:textFill>
        </w:rPr>
        <w:t>用历史</w:t>
      </w:r>
      <w:r>
        <w:rPr>
          <w:rFonts w:hint="default" w:ascii="Times New Roman" w:hAnsi="Times New Roman" w:eastAsia="仿宋" w:cs="Times New Roman"/>
          <w:bCs/>
          <w:color w:val="000000" w:themeColor="text1"/>
          <w:kern w:val="0"/>
          <w:sz w:val="32"/>
          <w:szCs w:val="32"/>
          <w:highlight w:val="none"/>
          <w:lang w:eastAsia="zh-CN"/>
          <w14:textFill>
            <w14:solidFill>
              <w14:schemeClr w14:val="tx1"/>
            </w14:solidFill>
          </w14:textFill>
        </w:rPr>
        <w:t>相关资料</w:t>
      </w:r>
      <w:r>
        <w:rPr>
          <w:rFonts w:ascii="Times New Roman" w:hAnsi="Times New Roman" w:eastAsia="仿宋" w:cs="Times New Roman"/>
          <w:bCs/>
          <w:color w:val="000000" w:themeColor="text1"/>
          <w:kern w:val="0"/>
          <w:sz w:val="32"/>
          <w:szCs w:val="32"/>
          <w:highlight w:val="none"/>
          <w14:textFill>
            <w14:solidFill>
              <w14:schemeClr w14:val="tx1"/>
            </w14:solidFill>
          </w14:textFill>
        </w:rPr>
        <w:t>的</w:t>
      </w:r>
      <w:r>
        <w:rPr>
          <w:rFonts w:hint="default" w:ascii="Times New Roman" w:hAnsi="Times New Roman" w:eastAsia="仿宋" w:cs="Times New Roman"/>
          <w:bCs/>
          <w:color w:val="000000" w:themeColor="text1"/>
          <w:kern w:val="0"/>
          <w:sz w:val="32"/>
          <w:szCs w:val="32"/>
          <w:highlight w:val="none"/>
          <w:lang w:eastAsia="zh-CN"/>
          <w14:textFill>
            <w14:solidFill>
              <w14:schemeClr w14:val="tx1"/>
            </w14:solidFill>
          </w14:textFill>
        </w:rPr>
        <w:t>收集、判定以及在安全评估中的应用</w:t>
      </w:r>
      <w:r>
        <w:rPr>
          <w:rFonts w:hint="eastAsia" w:ascii="Times New Roman" w:hAnsi="Times New Roman" w:eastAsia="仿宋" w:cs="Times New Roman"/>
          <w:bCs/>
          <w:color w:val="000000" w:themeColor="text1"/>
          <w:kern w:val="0"/>
          <w:sz w:val="32"/>
          <w:szCs w:val="32"/>
          <w:highlight w:val="none"/>
          <w:lang w:eastAsia="zh-CN"/>
          <w14:textFill>
            <w14:solidFill>
              <w14:schemeClr w14:val="tx1"/>
            </w14:solidFill>
          </w14:textFill>
        </w:rPr>
        <w:t>，引导</w:t>
      </w:r>
      <w:r>
        <w:rPr>
          <w:rFonts w:hint="eastAsia" w:ascii="Times New Roman" w:hAnsi="Times New Roman" w:cs="Times New Roman"/>
          <w:bCs/>
          <w:color w:val="000000" w:themeColor="text1"/>
          <w:kern w:val="0"/>
          <w:sz w:val="32"/>
          <w:szCs w:val="32"/>
          <w:highlight w:val="none"/>
          <w:lang w:eastAsia="zh-CN"/>
          <w14:textFill>
            <w14:solidFill>
              <w14:schemeClr w14:val="tx1"/>
            </w14:solidFill>
          </w14:textFill>
        </w:rPr>
        <w:t>注册人、备案人</w:t>
      </w:r>
      <w:r>
        <w:rPr>
          <w:rFonts w:hint="eastAsia" w:ascii="Times New Roman" w:hAnsi="Times New Roman" w:eastAsia="仿宋" w:cs="Times New Roman"/>
          <w:bCs/>
          <w:color w:val="000000" w:themeColor="text1"/>
          <w:kern w:val="0"/>
          <w:sz w:val="32"/>
          <w:szCs w:val="32"/>
          <w:highlight w:val="none"/>
          <w:lang w:eastAsia="zh-CN"/>
          <w14:textFill>
            <w14:solidFill>
              <w14:schemeClr w14:val="tx1"/>
            </w14:solidFill>
          </w14:textFill>
        </w:rPr>
        <w:t>（以下简称注备人）在</w:t>
      </w:r>
      <w:r>
        <w:rPr>
          <w:rFonts w:hint="default" w:ascii="Times New Roman" w:hAnsi="Times New Roman" w:eastAsia="仿宋" w:cs="Times New Roman"/>
          <w:bCs/>
          <w:color w:val="000000" w:themeColor="text1"/>
          <w:kern w:val="0"/>
          <w:sz w:val="32"/>
          <w:szCs w:val="32"/>
          <w:highlight w:val="none"/>
          <w:lang w:eastAsia="zh-CN"/>
          <w14:textFill>
            <w14:solidFill>
              <w14:schemeClr w14:val="tx1"/>
            </w14:solidFill>
          </w14:textFill>
        </w:rPr>
        <w:t>新原料</w:t>
      </w:r>
      <w:r>
        <w:rPr>
          <w:rFonts w:hint="eastAsia" w:ascii="Times New Roman" w:hAnsi="Times New Roman" w:cs="Times New Roman"/>
          <w:bCs/>
          <w:color w:val="000000" w:themeColor="text1"/>
          <w:kern w:val="0"/>
          <w:sz w:val="32"/>
          <w:szCs w:val="32"/>
          <w:highlight w:val="none"/>
          <w:lang w:eastAsia="zh-CN"/>
          <w14:textFill>
            <w14:solidFill>
              <w14:schemeClr w14:val="tx1"/>
            </w14:solidFill>
          </w14:textFill>
        </w:rPr>
        <w:t>申请</w:t>
      </w:r>
      <w:r>
        <w:rPr>
          <w:rFonts w:hint="eastAsia" w:ascii="Times New Roman" w:hAnsi="Times New Roman" w:eastAsia="仿宋" w:cs="Times New Roman"/>
          <w:bCs/>
          <w:color w:val="000000" w:themeColor="text1"/>
          <w:kern w:val="0"/>
          <w:sz w:val="32"/>
          <w:szCs w:val="32"/>
          <w:highlight w:val="none"/>
          <w:lang w:eastAsia="zh-CN"/>
          <w14:textFill>
            <w14:solidFill>
              <w14:schemeClr w14:val="tx1"/>
            </w14:solidFill>
          </w14:textFill>
        </w:rPr>
        <w:t>注册或进行备案时</w:t>
      </w:r>
      <w:r>
        <w:rPr>
          <w:rFonts w:hint="default" w:ascii="Times New Roman" w:hAnsi="Times New Roman" w:eastAsia="仿宋" w:cs="Times New Roman"/>
          <w:bCs/>
          <w:color w:val="000000" w:themeColor="text1"/>
          <w:kern w:val="0"/>
          <w:sz w:val="32"/>
          <w:szCs w:val="32"/>
          <w:highlight w:val="none"/>
          <w:lang w:eastAsia="zh-CN"/>
          <w14:textFill>
            <w14:solidFill>
              <w14:schemeClr w14:val="tx1"/>
            </w14:solidFill>
          </w14:textFill>
        </w:rPr>
        <w:t>合理选择对</w:t>
      </w:r>
      <w:r>
        <w:rPr>
          <w:rFonts w:hint="eastAsia" w:ascii="Times New Roman" w:hAnsi="Times New Roman" w:eastAsia="仿宋" w:cs="Times New Roman"/>
          <w:bCs/>
          <w:color w:val="000000" w:themeColor="text1"/>
          <w:kern w:val="0"/>
          <w:sz w:val="32"/>
          <w:szCs w:val="32"/>
          <w:highlight w:val="none"/>
          <w:lang w:eastAsia="zh-CN"/>
          <w14:textFill>
            <w14:solidFill>
              <w14:schemeClr w14:val="tx1"/>
            </w14:solidFill>
          </w14:textFill>
        </w:rPr>
        <w:t>应</w:t>
      </w:r>
      <w:r>
        <w:rPr>
          <w:rFonts w:hint="default" w:ascii="Times New Roman" w:hAnsi="Times New Roman" w:eastAsia="仿宋" w:cs="Times New Roman"/>
          <w:bCs/>
          <w:color w:val="000000" w:themeColor="text1"/>
          <w:kern w:val="0"/>
          <w:sz w:val="32"/>
          <w:szCs w:val="32"/>
          <w:highlight w:val="none"/>
          <w:lang w:eastAsia="zh-CN"/>
          <w14:textFill>
            <w14:solidFill>
              <w14:schemeClr w14:val="tx1"/>
            </w14:solidFill>
          </w14:textFill>
        </w:rPr>
        <w:t>情形，</w:t>
      </w:r>
      <w:r>
        <w:rPr>
          <w:rFonts w:ascii="Times New Roman" w:hAnsi="Times New Roman" w:eastAsia="仿宋" w:cs="Times New Roman"/>
          <w:bCs/>
          <w:color w:val="000000" w:themeColor="text1"/>
          <w:kern w:val="0"/>
          <w:sz w:val="32"/>
          <w:szCs w:val="32"/>
          <w:highlight w:val="none"/>
          <w14:textFill>
            <w14:solidFill>
              <w14:schemeClr w14:val="tx1"/>
            </w14:solidFill>
          </w14:textFill>
        </w:rPr>
        <w:t>根据《化妆品监督管</w:t>
      </w:r>
      <w:r>
        <w:rPr>
          <w:rFonts w:ascii="Times New Roman" w:hAnsi="Times New Roman" w:eastAsia="仿宋" w:cs="Times New Roman"/>
          <w:bCs/>
          <w:color w:val="000000" w:themeColor="text1"/>
          <w:kern w:val="0"/>
          <w:sz w:val="32"/>
          <w:szCs w:val="32"/>
          <w14:textFill>
            <w14:solidFill>
              <w14:schemeClr w14:val="tx1"/>
            </w14:solidFill>
          </w14:textFill>
        </w:rPr>
        <w:t>理条例》《化妆品注册备案管理办法》《</w:t>
      </w:r>
      <w:r>
        <w:rPr>
          <w:rFonts w:hint="eastAsia" w:ascii="Times New Roman" w:hAnsi="Times New Roman" w:eastAsia="仿宋" w:cs="Times New Roman"/>
          <w:bCs/>
          <w:color w:val="000000" w:themeColor="text1"/>
          <w:kern w:val="0"/>
          <w:sz w:val="32"/>
          <w:szCs w:val="32"/>
          <w:lang w:val="en-US" w:eastAsia="zh-CN"/>
          <w14:textFill>
            <w14:solidFill>
              <w14:schemeClr w14:val="tx1"/>
            </w14:solidFill>
          </w14:textFill>
        </w:rPr>
        <w:t>资料</w:t>
      </w:r>
      <w:r>
        <w:rPr>
          <w:rFonts w:ascii="Times New Roman" w:hAnsi="Times New Roman" w:eastAsia="仿宋" w:cs="Times New Roman"/>
          <w:bCs/>
          <w:color w:val="000000" w:themeColor="text1"/>
          <w:kern w:val="0"/>
          <w:sz w:val="32"/>
          <w:szCs w:val="32"/>
          <w14:textFill>
            <w14:solidFill>
              <w14:schemeClr w14:val="tx1"/>
            </w14:solidFill>
          </w14:textFill>
        </w:rPr>
        <w:t>规定》及相关法规要求，</w:t>
      </w:r>
      <w:r>
        <w:rPr>
          <w:rFonts w:ascii="Times New Roman" w:hAnsi="Times New Roman" w:eastAsia="仿宋" w:cs="Times New Roman"/>
          <w:bCs/>
          <w:color w:val="000000" w:themeColor="text1"/>
          <w:kern w:val="0"/>
          <w:sz w:val="32"/>
          <w:szCs w:val="32"/>
          <w:highlight w:val="none"/>
          <w14:textFill>
            <w14:solidFill>
              <w14:schemeClr w14:val="tx1"/>
            </w14:solidFill>
          </w14:textFill>
        </w:rPr>
        <w:t>制定</w:t>
      </w:r>
      <w:r>
        <w:rPr>
          <w:rFonts w:hint="eastAsia" w:ascii="Times New Roman" w:hAnsi="Times New Roman" w:eastAsia="仿宋" w:cs="Times New Roman"/>
          <w:bCs/>
          <w:color w:val="000000" w:themeColor="text1"/>
          <w:kern w:val="0"/>
          <w:sz w:val="32"/>
          <w:szCs w:val="32"/>
          <w:highlight w:val="none"/>
          <w:lang w:eastAsia="zh-CN"/>
          <w14:textFill>
            <w14:solidFill>
              <w14:schemeClr w14:val="tx1"/>
            </w14:solidFill>
          </w14:textFill>
        </w:rPr>
        <w:t>本</w:t>
      </w:r>
      <w:r>
        <w:rPr>
          <w:rFonts w:hint="default" w:ascii="Times New Roman" w:hAnsi="Times New Roman" w:eastAsia="仿宋" w:cs="Times New Roman"/>
          <w:bCs/>
          <w:color w:val="000000" w:themeColor="text1"/>
          <w:kern w:val="0"/>
          <w:sz w:val="32"/>
          <w:szCs w:val="32"/>
          <w:highlight w:val="none"/>
          <w:lang w:eastAsia="zh-CN"/>
          <w14:textFill>
            <w14:solidFill>
              <w14:schemeClr w14:val="tx1"/>
            </w14:solidFill>
          </w14:textFill>
        </w:rPr>
        <w:t>指南。</w:t>
      </w:r>
    </w:p>
    <w:p>
      <w:pPr>
        <w:spacing w:line="600" w:lineRule="exact"/>
        <w:ind w:firstLine="640"/>
        <w:rPr>
          <w:rFonts w:ascii="Times New Roman" w:hAnsi="Times New Roman" w:cs="Times New Roman"/>
        </w:rPr>
      </w:pPr>
      <w:r>
        <w:rPr>
          <w:rFonts w:ascii="Times New Roman" w:hAnsi="Times New Roman" w:cs="Times New Roman"/>
        </w:rPr>
        <w:t>本</w:t>
      </w:r>
      <w:r>
        <w:rPr>
          <w:rFonts w:hint="eastAsia" w:ascii="Times New Roman" w:hAnsi="Times New Roman" w:cs="Times New Roman"/>
          <w:lang w:eastAsia="zh-CN"/>
        </w:rPr>
        <w:t>指南</w:t>
      </w:r>
      <w:r>
        <w:rPr>
          <w:rFonts w:ascii="Times New Roman" w:hAnsi="Times New Roman" w:cs="Times New Roman"/>
        </w:rPr>
        <w:t>是在现行法规和标准以及当前科学认知水平下制定，</w:t>
      </w:r>
      <w:r>
        <w:rPr>
          <w:rFonts w:hint="default" w:ascii="Times New Roman" w:hAnsi="Times New Roman" w:eastAsia="仿宋" w:cs="Times New Roman"/>
          <w:sz w:val="32"/>
          <w:szCs w:val="22"/>
        </w:rPr>
        <w:t>其适用性应遵循具体问题具体分析原则</w:t>
      </w:r>
      <w:r>
        <w:rPr>
          <w:rFonts w:hint="eastAsia" w:ascii="Times New Roman" w:hAnsi="Times New Roman" w:cs="Times New Roman"/>
          <w:sz w:val="32"/>
          <w:szCs w:val="22"/>
          <w:lang w:eastAsia="zh-CN"/>
        </w:rPr>
        <w:t>。</w:t>
      </w:r>
      <w:r>
        <w:rPr>
          <w:rFonts w:ascii="Times New Roman" w:hAnsi="Times New Roman" w:cs="Times New Roman"/>
        </w:rPr>
        <w:t>随着法规和标准更新完善，以及科学技术发展，将适时进行调整。</w:t>
      </w:r>
    </w:p>
    <w:p>
      <w:pPr>
        <w:pStyle w:val="2"/>
        <w:spacing w:line="600" w:lineRule="exact"/>
        <w:ind w:firstLine="640"/>
        <w:rPr>
          <w:rFonts w:hint="default" w:ascii="Times New Roman" w:hAnsi="Times New Roman"/>
          <w:highlight w:val="none"/>
        </w:rPr>
      </w:pPr>
      <w:bookmarkStart w:id="9" w:name="_Toc23850"/>
      <w:bookmarkStart w:id="10" w:name="_Toc14132"/>
      <w:bookmarkStart w:id="11" w:name="_Toc31872"/>
      <w:bookmarkStart w:id="12" w:name="_Toc124498233"/>
      <w:bookmarkStart w:id="13" w:name="_Toc19531"/>
      <w:r>
        <w:rPr>
          <w:rFonts w:hint="default" w:ascii="Times New Roman" w:hAnsi="Times New Roman"/>
          <w:highlight w:val="none"/>
        </w:rPr>
        <w:t>二、适用范围</w:t>
      </w:r>
      <w:bookmarkEnd w:id="9"/>
      <w:bookmarkEnd w:id="10"/>
      <w:bookmarkEnd w:id="11"/>
      <w:bookmarkEnd w:id="12"/>
      <w:bookmarkEnd w:id="13"/>
    </w:p>
    <w:p>
      <w:pPr>
        <w:spacing w:line="600" w:lineRule="exact"/>
        <w:ind w:firstLine="640"/>
        <w:rPr>
          <w:rFonts w:ascii="Times New Roman" w:hAnsi="Times New Roman" w:cs="Times New Roman"/>
        </w:rPr>
      </w:pPr>
      <w:r>
        <w:rPr>
          <w:rFonts w:hint="eastAsia" w:ascii="Times New Roman" w:hAnsi="Times New Roman" w:cs="Times New Roman"/>
          <w:lang w:eastAsia="zh-CN"/>
        </w:rPr>
        <w:t>本指南适用于</w:t>
      </w:r>
      <w:r>
        <w:rPr>
          <w:rFonts w:ascii="Times New Roman" w:hAnsi="Times New Roman" w:cs="Times New Roman"/>
        </w:rPr>
        <w:t>化妆品新原料</w:t>
      </w:r>
      <w:r>
        <w:rPr>
          <w:rFonts w:hint="eastAsia" w:ascii="Times New Roman" w:hAnsi="Times New Roman" w:cs="Times New Roman"/>
          <w:lang w:eastAsia="zh-CN"/>
        </w:rPr>
        <w:t>安全食用历史（即《资料规定》情形</w:t>
      </w:r>
      <w:r>
        <w:rPr>
          <w:rFonts w:hint="eastAsia" w:ascii="Times New Roman" w:hAnsi="Times New Roman" w:cs="Times New Roman"/>
          <w:lang w:val="en-US" w:eastAsia="zh-CN"/>
        </w:rPr>
        <w:t>5</w:t>
      </w:r>
      <w:r>
        <w:rPr>
          <w:rFonts w:hint="eastAsia" w:ascii="Times New Roman" w:hAnsi="Times New Roman" w:cs="Times New Roman"/>
          <w:lang w:eastAsia="zh-CN"/>
        </w:rPr>
        <w:t>）的</w:t>
      </w:r>
      <w:r>
        <w:rPr>
          <w:rFonts w:ascii="Times New Roman" w:hAnsi="Times New Roman" w:cs="Times New Roman"/>
        </w:rPr>
        <w:t>研究</w:t>
      </w:r>
      <w:r>
        <w:rPr>
          <w:rFonts w:hint="eastAsia" w:ascii="Times New Roman" w:hAnsi="Times New Roman" w:cs="Times New Roman"/>
          <w:lang w:eastAsia="zh-CN"/>
        </w:rPr>
        <w:t>和判定</w:t>
      </w:r>
      <w:r>
        <w:rPr>
          <w:rFonts w:ascii="Times New Roman" w:hAnsi="Times New Roman" w:cs="Times New Roman"/>
        </w:rPr>
        <w:t>。</w:t>
      </w:r>
    </w:p>
    <w:p>
      <w:pPr>
        <w:spacing w:line="600" w:lineRule="exact"/>
        <w:ind w:firstLine="640"/>
        <w:rPr>
          <w:rFonts w:ascii="Times New Roman" w:hAnsi="Times New Roman" w:cs="Times New Roman"/>
        </w:rPr>
      </w:pPr>
      <w:r>
        <w:rPr>
          <w:rFonts w:hint="default" w:ascii="Times New Roman" w:hAnsi="Times New Roman" w:eastAsia="仿宋" w:cs="Times New Roman"/>
          <w:sz w:val="32"/>
          <w:szCs w:val="22"/>
          <w:highlight w:val="none"/>
        </w:rPr>
        <w:t>化妆品</w:t>
      </w:r>
      <w:r>
        <w:rPr>
          <w:rFonts w:hint="eastAsia" w:ascii="Times New Roman" w:hAnsi="Times New Roman" w:cs="Times New Roman"/>
          <w:sz w:val="32"/>
          <w:szCs w:val="22"/>
          <w:lang w:eastAsia="zh-CN"/>
        </w:rPr>
        <w:t>新原料</w:t>
      </w:r>
      <w:r>
        <w:rPr>
          <w:rFonts w:hint="eastAsia" w:ascii="Times New Roman" w:hAnsi="Times New Roman" w:eastAsia="仿宋" w:cs="Times New Roman"/>
          <w:bCs/>
          <w:color w:val="000000" w:themeColor="text1"/>
          <w:kern w:val="0"/>
          <w:sz w:val="32"/>
          <w:szCs w:val="32"/>
          <w:highlight w:val="none"/>
          <w:lang w:eastAsia="zh-CN"/>
          <w14:textFill>
            <w14:solidFill>
              <w14:schemeClr w14:val="tx1"/>
            </w14:solidFill>
          </w14:textFill>
        </w:rPr>
        <w:t>注备人</w:t>
      </w:r>
      <w:r>
        <w:rPr>
          <w:rFonts w:hint="default" w:ascii="Times New Roman" w:hAnsi="Times New Roman" w:eastAsia="仿宋" w:cs="Times New Roman"/>
          <w:sz w:val="32"/>
          <w:szCs w:val="22"/>
          <w:highlight w:val="none"/>
        </w:rPr>
        <w:t>应</w:t>
      </w:r>
      <w:r>
        <w:rPr>
          <w:rFonts w:ascii="Times New Roman" w:hAnsi="Times New Roman" w:eastAsia="仿宋" w:cs="Times New Roman"/>
          <w:sz w:val="32"/>
          <w:szCs w:val="22"/>
          <w:highlight w:val="none"/>
        </w:rPr>
        <w:t>在遵循相关法规和</w:t>
      </w:r>
      <w:r>
        <w:rPr>
          <w:rFonts w:hint="default" w:ascii="Times New Roman" w:hAnsi="Times New Roman" w:eastAsia="仿宋" w:cs="Times New Roman"/>
          <w:sz w:val="32"/>
          <w:szCs w:val="22"/>
          <w:highlight w:val="none"/>
        </w:rPr>
        <w:t>技术</w:t>
      </w:r>
      <w:r>
        <w:rPr>
          <w:rFonts w:ascii="Times New Roman" w:hAnsi="Times New Roman" w:eastAsia="仿宋" w:cs="Times New Roman"/>
          <w:sz w:val="32"/>
          <w:szCs w:val="22"/>
          <w:highlight w:val="none"/>
        </w:rPr>
        <w:t>标准的前提下</w:t>
      </w:r>
      <w:r>
        <w:rPr>
          <w:rFonts w:hint="eastAsia" w:ascii="Times New Roman" w:hAnsi="Times New Roman" w:cs="Times New Roman"/>
          <w:sz w:val="32"/>
          <w:szCs w:val="22"/>
          <w:lang w:eastAsia="zh-CN"/>
        </w:rPr>
        <w:t>，</w:t>
      </w:r>
      <w:r>
        <w:rPr>
          <w:rFonts w:hint="default" w:ascii="Times New Roman" w:hAnsi="Times New Roman" w:eastAsia="仿宋" w:cs="Times New Roman"/>
          <w:sz w:val="32"/>
          <w:szCs w:val="22"/>
          <w:highlight w:val="none"/>
        </w:rPr>
        <w:t>使用本指</w:t>
      </w:r>
      <w:r>
        <w:rPr>
          <w:rFonts w:hint="eastAsia" w:ascii="Times New Roman" w:hAnsi="Times New Roman" w:cs="Times New Roman"/>
          <w:sz w:val="32"/>
          <w:szCs w:val="22"/>
          <w:lang w:eastAsia="zh-CN"/>
        </w:rPr>
        <w:t>南</w:t>
      </w:r>
      <w:r>
        <w:rPr>
          <w:rFonts w:hint="default" w:ascii="Times New Roman" w:hAnsi="Times New Roman" w:eastAsia="仿宋" w:cs="Times New Roman"/>
          <w:sz w:val="32"/>
          <w:szCs w:val="22"/>
          <w:highlight w:val="none"/>
        </w:rPr>
        <w:t>。如同时符合其他</w:t>
      </w:r>
      <w:r>
        <w:rPr>
          <w:rFonts w:hint="eastAsia" w:ascii="Times New Roman" w:hAnsi="Times New Roman" w:cs="Times New Roman"/>
          <w:sz w:val="32"/>
          <w:szCs w:val="22"/>
          <w:lang w:eastAsia="zh-CN"/>
        </w:rPr>
        <w:t>技术指南或</w:t>
      </w:r>
      <w:r>
        <w:rPr>
          <w:rFonts w:hint="default" w:ascii="Times New Roman" w:hAnsi="Times New Roman" w:eastAsia="仿宋" w:cs="Times New Roman"/>
          <w:sz w:val="32"/>
          <w:szCs w:val="22"/>
          <w:highlight w:val="none"/>
        </w:rPr>
        <w:t>指导原则适用范围的，还应同时参考相</w:t>
      </w:r>
      <w:r>
        <w:rPr>
          <w:rFonts w:hint="eastAsia" w:ascii="Times New Roman" w:hAnsi="Times New Roman" w:cs="Times New Roman"/>
          <w:sz w:val="32"/>
          <w:szCs w:val="22"/>
          <w:lang w:eastAsia="zh-CN"/>
        </w:rPr>
        <w:t>关</w:t>
      </w:r>
      <w:r>
        <w:rPr>
          <w:rFonts w:hint="default" w:ascii="Times New Roman" w:hAnsi="Times New Roman" w:eastAsia="仿宋" w:cs="Times New Roman"/>
          <w:sz w:val="32"/>
          <w:szCs w:val="22"/>
          <w:highlight w:val="none"/>
        </w:rPr>
        <w:t>技术要求</w:t>
      </w:r>
      <w:r>
        <w:rPr>
          <w:rFonts w:hint="eastAsia" w:ascii="Times New Roman" w:hAnsi="Times New Roman" w:cs="Times New Roman"/>
          <w:sz w:val="32"/>
          <w:szCs w:val="22"/>
          <w:highlight w:val="none"/>
          <w:lang w:eastAsia="zh-CN"/>
        </w:rPr>
        <w:t>或建议</w:t>
      </w:r>
      <w:r>
        <w:rPr>
          <w:rFonts w:hint="default" w:ascii="Times New Roman" w:hAnsi="Times New Roman" w:eastAsia="仿宋" w:cs="Times New Roman"/>
          <w:sz w:val="32"/>
          <w:szCs w:val="22"/>
          <w:highlight w:val="none"/>
        </w:rPr>
        <w:t>。</w:t>
      </w:r>
    </w:p>
    <w:p>
      <w:pPr>
        <w:pStyle w:val="2"/>
        <w:spacing w:line="600" w:lineRule="exact"/>
        <w:ind w:firstLine="640"/>
        <w:rPr>
          <w:rFonts w:hint="default" w:ascii="Times New Roman" w:hAnsi="Times New Roman"/>
          <w:highlight w:val="none"/>
        </w:rPr>
      </w:pPr>
      <w:bookmarkStart w:id="14" w:name="_Toc1055"/>
      <w:bookmarkStart w:id="15" w:name="_Toc6947"/>
      <w:bookmarkStart w:id="16" w:name="_Toc125556504"/>
      <w:bookmarkStart w:id="17" w:name="_Toc40"/>
      <w:bookmarkStart w:id="18" w:name="_Toc10770"/>
      <w:r>
        <w:rPr>
          <w:rFonts w:hint="default" w:ascii="Times New Roman" w:hAnsi="Times New Roman"/>
          <w:highlight w:val="none"/>
        </w:rPr>
        <w:t>三、</w:t>
      </w:r>
      <w:r>
        <w:rPr>
          <w:rFonts w:hint="eastAsia" w:ascii="Times New Roman" w:hAnsi="Times New Roman"/>
          <w:highlight w:val="none"/>
          <w:lang w:eastAsia="zh-CN"/>
        </w:rPr>
        <w:t>一般</w:t>
      </w:r>
      <w:r>
        <w:rPr>
          <w:rFonts w:hint="default" w:ascii="Times New Roman" w:hAnsi="Times New Roman"/>
          <w:highlight w:val="none"/>
        </w:rPr>
        <w:t>原则</w:t>
      </w:r>
      <w:bookmarkEnd w:id="14"/>
      <w:bookmarkEnd w:id="15"/>
      <w:bookmarkEnd w:id="16"/>
      <w:bookmarkEnd w:id="17"/>
      <w:bookmarkEnd w:id="18"/>
    </w:p>
    <w:p>
      <w:pPr>
        <w:pStyle w:val="5"/>
        <w:spacing w:line="600" w:lineRule="exact"/>
        <w:ind w:firstLine="640"/>
        <w:jc w:val="both"/>
        <w:rPr>
          <w:rFonts w:hint="eastAsia" w:ascii="Times New Roman" w:hAnsi="Times New Roman" w:eastAsia="仿宋" w:cs="Times New Roman"/>
          <w:highlight w:val="none"/>
          <w:lang w:eastAsia="zh-CN"/>
        </w:rPr>
      </w:pPr>
      <w:bookmarkStart w:id="19" w:name="_Toc22613"/>
      <w:bookmarkStart w:id="20" w:name="_Toc13734"/>
      <w:r>
        <w:rPr>
          <w:rFonts w:hint="eastAsia" w:ascii="Times New Roman" w:hAnsi="Times New Roman" w:cs="Times New Roman"/>
          <w:highlight w:val="none"/>
          <w:lang w:eastAsia="zh-CN"/>
        </w:rPr>
        <w:t>安全食用历史是</w:t>
      </w:r>
      <w:r>
        <w:rPr>
          <w:rFonts w:ascii="Times New Roman" w:hAnsi="Times New Roman" w:cs="Times New Roman"/>
          <w:highlight w:val="none"/>
        </w:rPr>
        <w:t>化妆品新原料</w:t>
      </w:r>
      <w:r>
        <w:rPr>
          <w:rFonts w:hint="eastAsia" w:ascii="Times New Roman" w:hAnsi="Times New Roman" w:cs="Times New Roman"/>
          <w:highlight w:val="none"/>
          <w:lang w:eastAsia="zh-CN"/>
        </w:rPr>
        <w:t>研究和评价中的一项重要资料，是新原料情形选择以及开展相应毒理学研究和安全评估的重要依据。</w:t>
      </w:r>
      <w:r>
        <w:rPr>
          <w:rFonts w:hint="eastAsia" w:ascii="Times New Roman" w:hAnsi="Times New Roman" w:eastAsia="仿宋" w:cs="Times New Roman"/>
          <w:bCs/>
          <w:color w:val="000000" w:themeColor="text1"/>
          <w:kern w:val="0"/>
          <w:sz w:val="32"/>
          <w:szCs w:val="32"/>
          <w:highlight w:val="none"/>
          <w:lang w:eastAsia="zh-CN"/>
          <w14:textFill>
            <w14:solidFill>
              <w14:schemeClr w14:val="tx1"/>
            </w14:solidFill>
          </w14:textFill>
        </w:rPr>
        <w:t>注备人</w:t>
      </w:r>
      <w:r>
        <w:rPr>
          <w:rFonts w:ascii="Times New Roman" w:hAnsi="Times New Roman" w:cs="Times New Roman"/>
          <w:highlight w:val="none"/>
        </w:rPr>
        <w:t>应对新原料的安全食用历史</w:t>
      </w:r>
      <w:r>
        <w:rPr>
          <w:rFonts w:hint="eastAsia" w:ascii="Times New Roman" w:hAnsi="Times New Roman" w:cs="Times New Roman"/>
          <w:highlight w:val="none"/>
          <w:lang w:eastAsia="zh-CN"/>
        </w:rPr>
        <w:t>开展</w:t>
      </w:r>
      <w:r>
        <w:rPr>
          <w:rFonts w:ascii="Times New Roman" w:hAnsi="Times New Roman" w:cs="Times New Roman"/>
          <w:highlight w:val="none"/>
        </w:rPr>
        <w:t>全面</w:t>
      </w:r>
      <w:r>
        <w:rPr>
          <w:rFonts w:hint="eastAsia" w:ascii="Times New Roman" w:hAnsi="Times New Roman" w:cs="Times New Roman"/>
          <w:highlight w:val="none"/>
          <w:lang w:eastAsia="zh-CN"/>
        </w:rPr>
        <w:t>、</w:t>
      </w:r>
      <w:r>
        <w:rPr>
          <w:rFonts w:ascii="Times New Roman" w:hAnsi="Times New Roman" w:cs="Times New Roman"/>
          <w:highlight w:val="none"/>
        </w:rPr>
        <w:t>充分研究，</w:t>
      </w:r>
      <w:r>
        <w:rPr>
          <w:rFonts w:hint="eastAsia" w:ascii="Times New Roman" w:hAnsi="Times New Roman" w:cs="Times New Roman"/>
          <w:highlight w:val="none"/>
          <w:lang w:eastAsia="zh-CN"/>
        </w:rPr>
        <w:t>并结合拟注册备案新原料的实际情况进行合理分析和安全评估。</w:t>
      </w:r>
    </w:p>
    <w:p>
      <w:pPr>
        <w:pStyle w:val="5"/>
        <w:spacing w:line="600" w:lineRule="exact"/>
        <w:ind w:firstLine="640"/>
        <w:rPr>
          <w:rFonts w:ascii="Times New Roman" w:hAnsi="Times New Roman" w:cs="Times New Roman"/>
          <w:highlight w:val="none"/>
        </w:rPr>
      </w:pPr>
      <w:r>
        <w:rPr>
          <w:rFonts w:hint="eastAsia" w:ascii="Times New Roman" w:hAnsi="Times New Roman" w:cs="Times New Roman"/>
          <w:highlight w:val="none"/>
          <w:lang w:eastAsia="zh-CN"/>
        </w:rPr>
        <w:t>经研究，如能够获得充足、确切的安全食用历史证明资料，且能够支撑拟注册备案新原料安全评估，可按照《资料规定》情形</w:t>
      </w:r>
      <w:r>
        <w:rPr>
          <w:rFonts w:hint="eastAsia" w:ascii="Times New Roman" w:hAnsi="Times New Roman" w:cs="Times New Roman"/>
          <w:highlight w:val="none"/>
          <w:lang w:val="en-US" w:eastAsia="zh-CN"/>
        </w:rPr>
        <w:t>5</w:t>
      </w:r>
      <w:r>
        <w:rPr>
          <w:rFonts w:hint="eastAsia" w:ascii="Times New Roman" w:hAnsi="Times New Roman" w:cs="Times New Roman"/>
          <w:highlight w:val="none"/>
        </w:rPr>
        <w:t>申请注册、进行备案</w:t>
      </w:r>
      <w:r>
        <w:rPr>
          <w:rFonts w:hint="eastAsia" w:ascii="Times New Roman" w:hAnsi="Times New Roman" w:cs="Times New Roman"/>
          <w:highlight w:val="none"/>
          <w:lang w:val="en-US" w:eastAsia="zh-CN"/>
        </w:rPr>
        <w:t>，并提交相应的安全食用历史相关资料、毒理学试验资料和安全评估资料等。</w:t>
      </w:r>
      <w:bookmarkEnd w:id="19"/>
      <w:bookmarkEnd w:id="20"/>
      <w:r>
        <w:rPr>
          <w:rFonts w:hint="eastAsia" w:ascii="Times New Roman" w:hAnsi="Times New Roman" w:cs="Times New Roman"/>
          <w:sz w:val="32"/>
          <w:szCs w:val="22"/>
          <w:highlight w:val="none"/>
          <w:lang w:eastAsia="zh-CN"/>
        </w:rPr>
        <w:t>相关资料的</w:t>
      </w:r>
      <w:r>
        <w:rPr>
          <w:rFonts w:hint="eastAsia" w:ascii="Times New Roman" w:hAnsi="Times New Roman" w:eastAsia="仿宋" w:cs="Times New Roman"/>
          <w:sz w:val="32"/>
          <w:szCs w:val="22"/>
          <w:highlight w:val="none"/>
        </w:rPr>
        <w:t>真实性、准确性、完整性和可追溯性由</w:t>
      </w:r>
      <w:r>
        <w:rPr>
          <w:rFonts w:hint="eastAsia" w:ascii="Times New Roman" w:hAnsi="Times New Roman" w:cs="Times New Roman"/>
          <w:sz w:val="32"/>
          <w:szCs w:val="22"/>
          <w:highlight w:val="none"/>
          <w:lang w:eastAsia="zh-CN"/>
        </w:rPr>
        <w:t>新原料</w:t>
      </w:r>
      <w:r>
        <w:rPr>
          <w:rFonts w:hint="eastAsia" w:ascii="Times New Roman" w:hAnsi="Times New Roman" w:eastAsia="仿宋" w:cs="Times New Roman"/>
          <w:bCs/>
          <w:color w:val="000000" w:themeColor="text1"/>
          <w:kern w:val="0"/>
          <w:sz w:val="32"/>
          <w:szCs w:val="32"/>
          <w:highlight w:val="none"/>
          <w:lang w:eastAsia="zh-CN"/>
          <w14:textFill>
            <w14:solidFill>
              <w14:schemeClr w14:val="tx1"/>
            </w14:solidFill>
          </w14:textFill>
        </w:rPr>
        <w:t>注备人</w:t>
      </w:r>
      <w:r>
        <w:rPr>
          <w:rFonts w:hint="eastAsia" w:ascii="Times New Roman" w:hAnsi="Times New Roman" w:eastAsia="仿宋" w:cs="Times New Roman"/>
          <w:sz w:val="32"/>
          <w:szCs w:val="22"/>
          <w:highlight w:val="none"/>
        </w:rPr>
        <w:t>负责。</w:t>
      </w:r>
    </w:p>
    <w:p>
      <w:pPr>
        <w:pStyle w:val="2"/>
        <w:spacing w:line="600" w:lineRule="exact"/>
        <w:ind w:firstLine="640"/>
        <w:rPr>
          <w:rFonts w:hint="default" w:ascii="Times New Roman" w:hAnsi="Times New Roman"/>
          <w:highlight w:val="none"/>
        </w:rPr>
      </w:pPr>
      <w:bookmarkStart w:id="21" w:name="_Toc125556507"/>
      <w:bookmarkStart w:id="22" w:name="_Toc13621"/>
      <w:bookmarkStart w:id="23" w:name="_Toc13493"/>
      <w:bookmarkStart w:id="24" w:name="_Toc17732"/>
      <w:bookmarkStart w:id="25" w:name="_Toc15160"/>
      <w:r>
        <w:rPr>
          <w:rFonts w:hint="default" w:ascii="Times New Roman" w:hAnsi="Times New Roman"/>
          <w:highlight w:val="none"/>
        </w:rPr>
        <w:t>四、</w:t>
      </w:r>
      <w:bookmarkEnd w:id="21"/>
      <w:bookmarkEnd w:id="22"/>
      <w:bookmarkEnd w:id="23"/>
      <w:bookmarkEnd w:id="24"/>
      <w:bookmarkEnd w:id="25"/>
      <w:r>
        <w:rPr>
          <w:rFonts w:hint="eastAsia" w:ascii="Times New Roman" w:hAnsi="Times New Roman"/>
          <w:highlight w:val="none"/>
          <w:lang w:eastAsia="zh-CN"/>
        </w:rPr>
        <w:t>安全</w:t>
      </w:r>
      <w:r>
        <w:rPr>
          <w:rFonts w:hint="eastAsia" w:ascii="Times New Roman" w:hAnsi="Times New Roman"/>
          <w:highlight w:val="none"/>
          <w:lang w:val="en-US" w:eastAsia="zh-CN"/>
        </w:rPr>
        <w:t>食</w:t>
      </w:r>
      <w:r>
        <w:rPr>
          <w:rFonts w:hint="eastAsia" w:ascii="Times New Roman" w:hAnsi="Times New Roman"/>
          <w:highlight w:val="none"/>
          <w:lang w:eastAsia="zh-CN"/>
        </w:rPr>
        <w:t>用历史</w:t>
      </w:r>
      <w:r>
        <w:rPr>
          <w:rFonts w:hint="eastAsia" w:ascii="Times New Roman" w:hAnsi="Times New Roman"/>
          <w:highlight w:val="none"/>
          <w:lang w:val="en-US" w:eastAsia="zh-CN"/>
        </w:rPr>
        <w:t>证明资料</w:t>
      </w:r>
      <w:r>
        <w:rPr>
          <w:rFonts w:hint="default" w:ascii="Times New Roman" w:hAnsi="Times New Roman"/>
          <w:highlight w:val="none"/>
        </w:rPr>
        <w:t>基本要求</w:t>
      </w:r>
    </w:p>
    <w:p>
      <w:pPr>
        <w:numPr>
          <w:ilvl w:val="255"/>
          <w:numId w:val="0"/>
        </w:numPr>
        <w:spacing w:line="600" w:lineRule="exact"/>
        <w:ind w:firstLine="640" w:firstLineChars="200"/>
        <w:rPr>
          <w:rFonts w:hint="eastAsia" w:ascii="Times New Roman" w:hAnsi="Times New Roman" w:eastAsia="仿宋" w:cs="Times New Roman"/>
          <w:highlight w:val="none"/>
          <w:lang w:eastAsia="zh-CN"/>
        </w:rPr>
      </w:pPr>
      <w:bookmarkStart w:id="26" w:name="_Toc29095"/>
      <w:bookmarkStart w:id="27" w:name="_Toc15423"/>
      <w:r>
        <w:rPr>
          <w:rFonts w:ascii="Times New Roman" w:hAnsi="Times New Roman" w:cs="Times New Roman"/>
          <w:highlight w:val="none"/>
        </w:rPr>
        <w:t>本</w:t>
      </w:r>
      <w:r>
        <w:rPr>
          <w:rFonts w:hint="eastAsia" w:ascii="Times New Roman" w:hAnsi="Times New Roman" w:cs="Times New Roman"/>
          <w:highlight w:val="none"/>
          <w:lang w:eastAsia="zh-CN"/>
        </w:rPr>
        <w:t>指南</w:t>
      </w:r>
      <w:r>
        <w:rPr>
          <w:rFonts w:ascii="Times New Roman" w:hAnsi="Times New Roman" w:cs="Times New Roman"/>
          <w:highlight w:val="none"/>
        </w:rPr>
        <w:t>中安全食用历史</w:t>
      </w:r>
      <w:r>
        <w:rPr>
          <w:rFonts w:hint="eastAsia" w:ascii="Times New Roman" w:hAnsi="Times New Roman"/>
          <w:highlight w:val="none"/>
          <w:lang w:val="en-US" w:eastAsia="zh-CN"/>
        </w:rPr>
        <w:t>证明资料中载明的原料</w:t>
      </w:r>
      <w:r>
        <w:rPr>
          <w:rFonts w:ascii="Times New Roman" w:hAnsi="Times New Roman" w:cs="Times New Roman"/>
          <w:highlight w:val="none"/>
        </w:rPr>
        <w:t>应为取得我国相关监督管理部门食品安全认证或其他相应资质的食品用原料，或经国内外相关监督管理部门、</w:t>
      </w:r>
      <w:r>
        <w:rPr>
          <w:rFonts w:hint="eastAsia" w:ascii="Times New Roman" w:hAnsi="Times New Roman" w:cs="Times New Roman"/>
          <w:highlight w:val="none"/>
          <w:lang w:val="en-US" w:eastAsia="zh-CN"/>
        </w:rPr>
        <w:t>权威</w:t>
      </w:r>
      <w:r>
        <w:rPr>
          <w:rFonts w:ascii="Times New Roman" w:hAnsi="Times New Roman" w:cs="Times New Roman"/>
          <w:highlight w:val="none"/>
        </w:rPr>
        <w:t>技术机构发布的可安全食用的原料</w:t>
      </w:r>
      <w:r>
        <w:rPr>
          <w:rFonts w:hint="eastAsia" w:ascii="Times New Roman" w:hAnsi="Times New Roman" w:cs="Times New Roman"/>
          <w:highlight w:val="none"/>
          <w:lang w:eastAsia="zh-CN"/>
        </w:rPr>
        <w:t>，</w:t>
      </w:r>
      <w:r>
        <w:rPr>
          <w:rFonts w:hint="eastAsia" w:ascii="Times New Roman" w:hAnsi="Times New Roman" w:cs="Times New Roman"/>
          <w:lang w:val="en-US" w:eastAsia="zh-CN"/>
        </w:rPr>
        <w:t>且</w:t>
      </w:r>
      <w:r>
        <w:rPr>
          <w:rFonts w:hint="eastAsia" w:ascii="Times New Roman" w:hAnsi="Times New Roman" w:cs="Times New Roman"/>
          <w:lang w:eastAsia="zh-CN"/>
        </w:rPr>
        <w:t>与拟注册备案新原料具有一定的对应关系</w:t>
      </w:r>
      <w:r>
        <w:rPr>
          <w:rFonts w:ascii="Times New Roman" w:hAnsi="Times New Roman" w:cs="Times New Roman"/>
        </w:rPr>
        <w:t>。</w:t>
      </w:r>
      <w:r>
        <w:rPr>
          <w:rFonts w:hint="eastAsia" w:ascii="Times New Roman" w:hAnsi="Times New Roman" w:cs="Times New Roman"/>
          <w:lang w:eastAsia="zh-CN"/>
        </w:rPr>
        <w:t>具体可</w:t>
      </w:r>
      <w:r>
        <w:rPr>
          <w:rFonts w:hint="eastAsia" w:ascii="Times New Roman" w:hAnsi="Times New Roman" w:cs="Times New Roman"/>
          <w:highlight w:val="none"/>
          <w:lang w:eastAsia="zh-CN"/>
        </w:rPr>
        <w:t>从食用历史</w:t>
      </w:r>
      <w:r>
        <w:rPr>
          <w:rFonts w:hint="eastAsia" w:ascii="Times New Roman" w:hAnsi="Times New Roman"/>
          <w:highlight w:val="none"/>
          <w:lang w:val="en-US" w:eastAsia="zh-CN"/>
        </w:rPr>
        <w:t>证明资料</w:t>
      </w:r>
      <w:r>
        <w:rPr>
          <w:rFonts w:hint="eastAsia" w:ascii="Times New Roman" w:hAnsi="Times New Roman" w:cs="Times New Roman"/>
          <w:highlight w:val="none"/>
          <w:lang w:eastAsia="zh-CN"/>
        </w:rPr>
        <w:t>来源、</w:t>
      </w:r>
      <w:r>
        <w:rPr>
          <w:rFonts w:hint="eastAsia" w:ascii="Times New Roman" w:hAnsi="Times New Roman" w:cs="Times New Roman"/>
          <w:highlight w:val="none"/>
          <w:lang w:val="en-US" w:eastAsia="zh-CN"/>
        </w:rPr>
        <w:t>原料一致性/相关性</w:t>
      </w:r>
      <w:r>
        <w:rPr>
          <w:rFonts w:hint="eastAsia" w:ascii="Times New Roman" w:hAnsi="Times New Roman" w:cs="Times New Roman"/>
          <w:highlight w:val="none"/>
          <w:lang w:eastAsia="zh-CN"/>
        </w:rPr>
        <w:t>、</w:t>
      </w:r>
      <w:r>
        <w:rPr>
          <w:rFonts w:hint="eastAsia" w:ascii="Times New Roman" w:hAnsi="Times New Roman" w:cs="Times New Roman"/>
          <w:highlight w:val="none"/>
        </w:rPr>
        <w:t>食用情况和限制要求</w:t>
      </w:r>
      <w:r>
        <w:rPr>
          <w:rFonts w:hint="eastAsia" w:ascii="仿宋" w:hAnsi="仿宋" w:eastAsia="仿宋"/>
          <w:bCs/>
          <w:color w:val="000000" w:themeColor="text1"/>
          <w:kern w:val="0"/>
          <w:sz w:val="32"/>
          <w:szCs w:val="32"/>
          <w:highlight w:val="none"/>
          <w14:textFill>
            <w14:solidFill>
              <w14:schemeClr w14:val="tx1"/>
            </w14:solidFill>
          </w14:textFill>
        </w:rPr>
        <w:t>等方面</w:t>
      </w:r>
      <w:r>
        <w:rPr>
          <w:rFonts w:hint="eastAsia" w:ascii="仿宋" w:hAnsi="仿宋"/>
          <w:bCs/>
          <w:color w:val="000000" w:themeColor="text1"/>
          <w:kern w:val="0"/>
          <w:sz w:val="32"/>
          <w:szCs w:val="32"/>
          <w:highlight w:val="none"/>
          <w:lang w:eastAsia="zh-CN"/>
          <w14:textFill>
            <w14:solidFill>
              <w14:schemeClr w14:val="tx1"/>
            </w14:solidFill>
          </w14:textFill>
        </w:rPr>
        <w:t>，</w:t>
      </w:r>
      <w:r>
        <w:rPr>
          <w:rFonts w:hint="eastAsia" w:ascii="仿宋" w:hAnsi="仿宋"/>
          <w:bCs/>
          <w:color w:val="000000" w:themeColor="text1"/>
          <w:kern w:val="0"/>
          <w:sz w:val="32"/>
          <w:szCs w:val="32"/>
          <w:highlight w:val="none"/>
          <w:lang w:val="en-US" w:eastAsia="zh-CN"/>
          <w14:textFill>
            <w14:solidFill>
              <w14:schemeClr w14:val="tx1"/>
            </w14:solidFill>
          </w14:textFill>
        </w:rPr>
        <w:t>对</w:t>
      </w:r>
      <w:r>
        <w:rPr>
          <w:rFonts w:hint="eastAsia" w:ascii="仿宋" w:hAnsi="仿宋" w:eastAsia="仿宋"/>
          <w:bCs/>
          <w:color w:val="000000" w:themeColor="text1"/>
          <w:kern w:val="0"/>
          <w:sz w:val="32"/>
          <w:szCs w:val="32"/>
          <w:highlight w:val="none"/>
          <w14:textFill>
            <w14:solidFill>
              <w14:schemeClr w14:val="tx1"/>
            </w14:solidFill>
          </w14:textFill>
        </w:rPr>
        <w:t>资料信息</w:t>
      </w:r>
      <w:r>
        <w:rPr>
          <w:rFonts w:hint="eastAsia" w:ascii="仿宋" w:hAnsi="仿宋"/>
          <w:bCs/>
          <w:color w:val="000000" w:themeColor="text1"/>
          <w:kern w:val="0"/>
          <w:sz w:val="32"/>
          <w:szCs w:val="32"/>
          <w:highlight w:val="none"/>
          <w:lang w:val="en-US" w:eastAsia="zh-CN"/>
          <w14:textFill>
            <w14:solidFill>
              <w14:schemeClr w14:val="tx1"/>
            </w14:solidFill>
          </w14:textFill>
        </w:rPr>
        <w:t>进行</w:t>
      </w:r>
      <w:r>
        <w:rPr>
          <w:rFonts w:hint="eastAsia" w:ascii="仿宋" w:hAnsi="仿宋" w:eastAsia="仿宋"/>
          <w:bCs/>
          <w:color w:val="000000" w:themeColor="text1"/>
          <w:kern w:val="0"/>
          <w:sz w:val="32"/>
          <w:szCs w:val="32"/>
          <w:highlight w:val="none"/>
          <w14:textFill>
            <w14:solidFill>
              <w14:schemeClr w14:val="tx1"/>
            </w14:solidFill>
          </w14:textFill>
        </w:rPr>
        <w:t>收集</w:t>
      </w:r>
      <w:r>
        <w:rPr>
          <w:rFonts w:hint="eastAsia" w:ascii="仿宋" w:hAnsi="仿宋"/>
          <w:bCs/>
          <w:color w:val="000000" w:themeColor="text1"/>
          <w:kern w:val="0"/>
          <w:sz w:val="32"/>
          <w:szCs w:val="32"/>
          <w:highlight w:val="none"/>
          <w:lang w:val="en-US" w:eastAsia="zh-CN"/>
          <w14:textFill>
            <w14:solidFill>
              <w14:schemeClr w14:val="tx1"/>
            </w14:solidFill>
          </w14:textFill>
        </w:rPr>
        <w:t>并开展适用性</w:t>
      </w:r>
      <w:r>
        <w:rPr>
          <w:rFonts w:hint="eastAsia" w:ascii="仿宋" w:hAnsi="仿宋"/>
          <w:bCs/>
          <w:color w:val="000000" w:themeColor="text1"/>
          <w:kern w:val="0"/>
          <w:sz w:val="32"/>
          <w:szCs w:val="32"/>
          <w:highlight w:val="none"/>
          <w:lang w:eastAsia="zh-CN"/>
          <w14:textFill>
            <w14:solidFill>
              <w14:schemeClr w14:val="tx1"/>
            </w14:solidFill>
          </w14:textFill>
        </w:rPr>
        <w:t>分析。</w:t>
      </w:r>
    </w:p>
    <w:p>
      <w:pPr>
        <w:numPr>
          <w:ilvl w:val="255"/>
          <w:numId w:val="0"/>
        </w:numPr>
        <w:spacing w:line="600" w:lineRule="exact"/>
        <w:ind w:firstLine="643" w:firstLineChars="200"/>
        <w:rPr>
          <w:rFonts w:hint="eastAsia" w:ascii="Times New Roman" w:hAnsi="Times New Roman" w:cs="Times New Roman"/>
          <w:b/>
          <w:bCs/>
          <w:highlight w:val="none"/>
          <w:lang w:eastAsia="zh-CN"/>
        </w:rPr>
      </w:pPr>
      <w:r>
        <w:rPr>
          <w:rFonts w:hint="eastAsia" w:ascii="Times New Roman" w:hAnsi="Times New Roman" w:cs="Times New Roman"/>
          <w:b/>
          <w:bCs/>
          <w:highlight w:val="none"/>
          <w:lang w:eastAsia="zh-CN"/>
        </w:rPr>
        <w:t>（一）</w:t>
      </w:r>
      <w:r>
        <w:rPr>
          <w:rFonts w:hint="eastAsia" w:ascii="Times New Roman" w:hAnsi="Times New Roman" w:cs="Times New Roman"/>
          <w:b/>
          <w:bCs/>
          <w:highlight w:val="none"/>
          <w:lang w:val="en-US" w:eastAsia="zh-CN"/>
        </w:rPr>
        <w:t>安全食用历史</w:t>
      </w:r>
      <w:r>
        <w:rPr>
          <w:rFonts w:hint="eastAsia" w:ascii="Times New Roman" w:hAnsi="Times New Roman"/>
          <w:b/>
          <w:bCs/>
          <w:highlight w:val="none"/>
          <w:lang w:val="en-US" w:eastAsia="zh-CN"/>
        </w:rPr>
        <w:t>证明资料</w:t>
      </w:r>
      <w:r>
        <w:rPr>
          <w:rFonts w:hint="eastAsia" w:ascii="Times New Roman" w:hAnsi="Times New Roman" w:cs="Times New Roman"/>
          <w:b/>
          <w:bCs/>
          <w:highlight w:val="none"/>
          <w:lang w:val="en-US" w:eastAsia="zh-CN"/>
        </w:rPr>
        <w:t>来源</w:t>
      </w:r>
    </w:p>
    <w:p>
      <w:pPr>
        <w:numPr>
          <w:ilvl w:val="255"/>
          <w:numId w:val="0"/>
        </w:numPr>
        <w:spacing w:line="600" w:lineRule="exact"/>
        <w:ind w:firstLine="640" w:firstLineChars="200"/>
        <w:rPr>
          <w:rFonts w:hint="eastAsia" w:ascii="Times New Roman" w:hAnsi="Times New Roman" w:cs="Times New Roman"/>
          <w:highlight w:val="none"/>
          <w:lang w:eastAsia="zh-CN"/>
        </w:rPr>
      </w:pPr>
      <w:r>
        <w:rPr>
          <w:rFonts w:hint="eastAsia" w:ascii="Times New Roman" w:hAnsi="Times New Roman" w:cs="Times New Roman"/>
          <w:lang w:val="en-US" w:eastAsia="zh-CN"/>
        </w:rPr>
        <w:t>安全食用历史</w:t>
      </w:r>
      <w:r>
        <w:rPr>
          <w:rFonts w:hint="eastAsia" w:ascii="Times New Roman" w:hAnsi="Times New Roman"/>
          <w:highlight w:val="none"/>
          <w:lang w:val="en-US" w:eastAsia="zh-CN"/>
        </w:rPr>
        <w:t>证明资料</w:t>
      </w:r>
      <w:r>
        <w:rPr>
          <w:rFonts w:hint="eastAsia" w:ascii="Times New Roman" w:hAnsi="Times New Roman" w:cs="Times New Roman"/>
          <w:lang w:val="en-US" w:eastAsia="zh-CN"/>
        </w:rPr>
        <w:t>应来源于食品、农业、卫生等相关领域的监督管理部门，或具有食品安全风险评估相关职能或技术能力的技术机构，应是公开发布的数据信息，且具有一定权威性。其中，我国监督管理部门应是</w:t>
      </w:r>
      <w:r>
        <w:rPr>
          <w:rFonts w:hint="eastAsia" w:ascii="Times New Roman" w:hAnsi="Times New Roman" w:cs="Times New Roman"/>
          <w:highlight w:val="none"/>
          <w:lang w:val="en-US" w:eastAsia="zh-CN"/>
        </w:rPr>
        <w:t>省级及以上，如相关部门发布的</w:t>
      </w:r>
      <w:r>
        <w:rPr>
          <w:rFonts w:hint="eastAsia" w:ascii="Times New Roman" w:hAnsi="Times New Roman" w:cs="Times New Roman"/>
          <w:strike w:val="0"/>
        </w:rPr>
        <w:t>公告</w:t>
      </w:r>
      <w:r>
        <w:rPr>
          <w:rFonts w:hint="eastAsia" w:ascii="Times New Roman" w:hAnsi="Times New Roman" w:cs="Times New Roman"/>
          <w:strike w:val="0"/>
          <w:lang w:eastAsia="zh-CN"/>
        </w:rPr>
        <w:t>、</w:t>
      </w:r>
      <w:r>
        <w:rPr>
          <w:rFonts w:hint="eastAsia" w:ascii="Times New Roman" w:hAnsi="Times New Roman" w:cs="Times New Roman"/>
          <w:strike w:val="0"/>
          <w:lang w:val="en-US" w:eastAsia="zh-CN"/>
        </w:rPr>
        <w:t>通知、技术标准等</w:t>
      </w:r>
      <w:r>
        <w:rPr>
          <w:rFonts w:hint="eastAsia" w:ascii="Times New Roman" w:hAnsi="Times New Roman" w:cs="Times New Roman"/>
          <w:highlight w:val="none"/>
          <w:lang w:val="en-US" w:eastAsia="zh-CN"/>
        </w:rPr>
        <w:t>。国外监督管理部门应至少是国家级，</w:t>
      </w:r>
      <w:r>
        <w:rPr>
          <w:rFonts w:hint="eastAsia" w:ascii="Times New Roman" w:hAnsi="Times New Roman" w:cs="Times New Roman"/>
          <w:highlight w:val="none"/>
        </w:rPr>
        <w:t>技术机构</w:t>
      </w:r>
      <w:r>
        <w:rPr>
          <w:rFonts w:hint="eastAsia" w:ascii="Times New Roman" w:hAnsi="Times New Roman" w:cs="Times New Roman"/>
          <w:highlight w:val="none"/>
          <w:lang w:val="en-US" w:eastAsia="zh-CN"/>
        </w:rPr>
        <w:t>应是国际公认的权威</w:t>
      </w:r>
      <w:r>
        <w:rPr>
          <w:rFonts w:hint="eastAsia" w:ascii="Times New Roman" w:hAnsi="Times New Roman" w:cs="Times New Roman"/>
          <w:highlight w:val="none"/>
          <w:lang w:eastAsia="zh-CN"/>
        </w:rPr>
        <w:t>机构</w:t>
      </w:r>
      <w:r>
        <w:rPr>
          <w:rFonts w:hint="eastAsia" w:ascii="Times New Roman" w:hAnsi="Times New Roman" w:cs="Times New Roman"/>
          <w:highlight w:val="none"/>
          <w:lang w:val="en-US" w:eastAsia="zh-CN"/>
        </w:rPr>
        <w:t>或组织</w:t>
      </w:r>
      <w:r>
        <w:rPr>
          <w:rFonts w:hint="eastAsia" w:ascii="Times New Roman" w:hAnsi="Times New Roman" w:cs="Times New Roman"/>
          <w:highlight w:val="none"/>
          <w:lang w:eastAsia="zh-CN"/>
        </w:rPr>
        <w:t>。</w:t>
      </w:r>
    </w:p>
    <w:p>
      <w:pPr>
        <w:numPr>
          <w:ilvl w:val="255"/>
          <w:numId w:val="0"/>
        </w:numPr>
        <w:spacing w:line="600" w:lineRule="exact"/>
        <w:ind w:firstLine="643" w:firstLineChars="200"/>
        <w:rPr>
          <w:rFonts w:hint="eastAsia" w:ascii="Times New Roman" w:hAnsi="Times New Roman" w:cs="Times New Roman"/>
          <w:b/>
          <w:bCs/>
          <w:lang w:eastAsia="zh-CN"/>
        </w:rPr>
      </w:pPr>
      <w:r>
        <w:rPr>
          <w:rFonts w:hint="eastAsia" w:ascii="Times New Roman" w:hAnsi="Times New Roman" w:cs="Times New Roman"/>
          <w:b/>
          <w:bCs/>
          <w:lang w:eastAsia="zh-CN"/>
        </w:rPr>
        <w:t>（二）原料一致性</w:t>
      </w:r>
      <w:r>
        <w:rPr>
          <w:rFonts w:hint="eastAsia" w:ascii="Times New Roman" w:hAnsi="Times New Roman" w:cs="Times New Roman"/>
          <w:b/>
          <w:bCs/>
          <w:lang w:val="en-US" w:eastAsia="zh-CN"/>
        </w:rPr>
        <w:t>/相关性</w:t>
      </w:r>
    </w:p>
    <w:p>
      <w:pPr>
        <w:numPr>
          <w:ilvl w:val="-1"/>
          <w:numId w:val="0"/>
        </w:numPr>
        <w:adjustRightInd w:val="0"/>
        <w:spacing w:line="600" w:lineRule="exact"/>
        <w:ind w:firstLine="640" w:firstLineChars="200"/>
        <w:rPr>
          <w:rFonts w:hint="eastAsia" w:ascii="Times New Roman" w:hAnsi="Times New Roman" w:cs="Times New Roman"/>
          <w:strike w:val="0"/>
          <w:highlight w:val="none"/>
          <w:lang w:eastAsia="zh-CN"/>
        </w:rPr>
      </w:pPr>
      <w:r>
        <w:rPr>
          <w:rFonts w:hint="eastAsia" w:ascii="Times New Roman" w:hAnsi="Times New Roman" w:cs="Times New Roman"/>
          <w:lang w:val="en-US" w:eastAsia="zh-CN"/>
        </w:rPr>
        <w:t>应根据</w:t>
      </w:r>
      <w:r>
        <w:rPr>
          <w:rFonts w:hint="eastAsia" w:ascii="Times New Roman" w:hAnsi="Times New Roman" w:cs="Times New Roman"/>
          <w:highlight w:val="none"/>
          <w:lang w:val="en-US" w:eastAsia="zh-CN"/>
        </w:rPr>
        <w:t>安全食用历史</w:t>
      </w:r>
      <w:r>
        <w:rPr>
          <w:rFonts w:hint="eastAsia" w:ascii="Times New Roman" w:hAnsi="Times New Roman"/>
          <w:highlight w:val="none"/>
          <w:lang w:val="en-US" w:eastAsia="zh-CN"/>
        </w:rPr>
        <w:t>证明资料</w:t>
      </w:r>
      <w:r>
        <w:rPr>
          <w:rFonts w:hint="eastAsia" w:ascii="Times New Roman" w:hAnsi="Times New Roman" w:cs="Times New Roman"/>
          <w:strike w:val="0"/>
          <w:highlight w:val="none"/>
          <w:lang w:val="en-US" w:eastAsia="zh-CN"/>
        </w:rPr>
        <w:t>中载明信息</w:t>
      </w:r>
      <w:r>
        <w:rPr>
          <w:rFonts w:hint="eastAsia" w:ascii="Times New Roman" w:hAnsi="Times New Roman" w:cs="Times New Roman"/>
          <w:strike w:val="0"/>
          <w:highlight w:val="none"/>
          <w:lang w:eastAsia="zh-CN"/>
        </w:rPr>
        <w:t>，</w:t>
      </w:r>
      <w:r>
        <w:rPr>
          <w:rFonts w:hint="eastAsia" w:ascii="Times New Roman" w:hAnsi="Times New Roman" w:cs="Times New Roman"/>
          <w:strike w:val="0"/>
          <w:highlight w:val="none"/>
          <w:lang w:val="en-US" w:eastAsia="zh-CN"/>
        </w:rPr>
        <w:t>与拟注册备案新原料的相关信息进行比对分析，充分说明二者的一致性或相关性</w:t>
      </w:r>
      <w:r>
        <w:rPr>
          <w:rFonts w:hint="eastAsia" w:ascii="Times New Roman" w:hAnsi="Times New Roman" w:cs="Times New Roman"/>
          <w:strike w:val="0"/>
          <w:highlight w:val="none"/>
          <w:lang w:eastAsia="zh-CN"/>
        </w:rPr>
        <w:t>。</w:t>
      </w:r>
    </w:p>
    <w:p>
      <w:pPr>
        <w:numPr>
          <w:ilvl w:val="-1"/>
          <w:numId w:val="0"/>
        </w:numPr>
        <w:adjustRightInd w:val="0"/>
        <w:spacing w:line="600" w:lineRule="exact"/>
        <w:ind w:firstLine="640" w:firstLineChars="2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其中，对于</w:t>
      </w:r>
      <w:r>
        <w:rPr>
          <w:rFonts w:hint="eastAsia" w:ascii="Times New Roman" w:hAnsi="Times New Roman" w:cs="Times New Roman"/>
          <w:strike w:val="0"/>
          <w:highlight w:val="none"/>
          <w:lang w:val="en-US" w:eastAsia="zh-CN"/>
        </w:rPr>
        <w:t>拟注册备案</w:t>
      </w:r>
      <w:r>
        <w:rPr>
          <w:rFonts w:hint="eastAsia" w:ascii="Times New Roman" w:hAnsi="Times New Roman" w:cs="Times New Roman"/>
          <w:highlight w:val="none"/>
          <w:lang w:val="en-US" w:eastAsia="zh-CN"/>
        </w:rPr>
        <w:t>新原料与安全食用历史</w:t>
      </w:r>
      <w:r>
        <w:rPr>
          <w:rFonts w:hint="eastAsia" w:ascii="Times New Roman" w:hAnsi="Times New Roman"/>
          <w:highlight w:val="none"/>
          <w:lang w:val="en-US" w:eastAsia="zh-CN"/>
        </w:rPr>
        <w:t>证明资料</w:t>
      </w:r>
      <w:r>
        <w:rPr>
          <w:rFonts w:hint="eastAsia" w:ascii="Times New Roman" w:hAnsi="Times New Roman" w:cs="Times New Roman"/>
          <w:highlight w:val="none"/>
          <w:lang w:val="en-US" w:eastAsia="zh-CN"/>
        </w:rPr>
        <w:t>中载明的食品原料完全一致的，应充分证明两者一致性，包括来源、工艺、实际组成、使用规格等。来源为动物或植物，应由专业机构进行种属鉴定，且与动植物食用部位一致；</w:t>
      </w:r>
      <w:r>
        <w:rPr>
          <w:rFonts w:hint="eastAsia" w:ascii="Times New Roman" w:hAnsi="Times New Roman" w:cs="Times New Roman"/>
          <w:lang w:val="en-US" w:eastAsia="zh-CN"/>
        </w:rPr>
        <w:t>来源为动物，还应提供动物卫生监督机构检验、检疫合格相关证明。</w:t>
      </w:r>
    </w:p>
    <w:p>
      <w:pPr>
        <w:numPr>
          <w:ilvl w:val="-1"/>
          <w:numId w:val="0"/>
        </w:numPr>
        <w:adjustRightInd w:val="0"/>
        <w:spacing w:line="600" w:lineRule="exact"/>
        <w:ind w:firstLine="640" w:firstLineChars="2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如安全食用历史</w:t>
      </w:r>
      <w:r>
        <w:rPr>
          <w:rFonts w:hint="eastAsia" w:ascii="Times New Roman" w:hAnsi="Times New Roman"/>
          <w:highlight w:val="none"/>
          <w:lang w:val="en-US" w:eastAsia="zh-CN"/>
        </w:rPr>
        <w:t>证明资料</w:t>
      </w:r>
      <w:r>
        <w:rPr>
          <w:rFonts w:hint="eastAsia" w:ascii="Times New Roman" w:hAnsi="Times New Roman" w:cs="Times New Roman"/>
          <w:highlight w:val="none"/>
          <w:lang w:val="en-US" w:eastAsia="zh-CN"/>
        </w:rPr>
        <w:t>中载明的是原材料形式，拟注册备案新原料在此基础上作进一步加工，应充分证明生产化妆品新原料所用原材料与资料载明食品原料的一致性（要求同上），且加工方式应与食品食用加工方式</w:t>
      </w:r>
      <w:r>
        <w:rPr>
          <w:rFonts w:hint="default" w:ascii="Times New Roman" w:hAnsi="Times New Roman" w:cs="Times New Roman"/>
          <w:highlight w:val="none"/>
          <w:lang w:val="en-US" w:eastAsia="zh-CN"/>
        </w:rPr>
        <w:t>基本一致</w:t>
      </w:r>
      <w:r>
        <w:rPr>
          <w:rFonts w:hint="eastAsia" w:ascii="Times New Roman" w:hAnsi="Times New Roman" w:cs="Times New Roman"/>
          <w:highlight w:val="none"/>
          <w:lang w:val="en-US" w:eastAsia="zh-CN"/>
        </w:rPr>
        <w:t>（如仅</w:t>
      </w:r>
      <w:r>
        <w:rPr>
          <w:rFonts w:hint="eastAsia" w:ascii="Times New Roman" w:hAnsi="Times New Roman" w:cs="Times New Roman"/>
          <w:highlight w:val="none"/>
        </w:rPr>
        <w:t>水提、蒸煮等</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，必要时对成分变化和富集情况进行分析。</w:t>
      </w:r>
    </w:p>
    <w:p>
      <w:pPr>
        <w:numPr>
          <w:ilvl w:val="-1"/>
          <w:numId w:val="0"/>
        </w:numPr>
        <w:adjustRightInd w:val="0"/>
        <w:spacing w:line="600" w:lineRule="exact"/>
        <w:ind w:firstLine="640" w:firstLineChars="200"/>
        <w:rPr>
          <w:rFonts w:hint="eastAsia" w:ascii="Times New Roman" w:hAnsi="Times New Roman" w:cs="Times New Roman"/>
          <w:highlight w:val="none"/>
          <w:lang w:val="en-US" w:eastAsia="zh-CN"/>
        </w:rPr>
      </w:pPr>
      <w:r>
        <w:rPr>
          <w:rFonts w:hint="eastAsia" w:ascii="Times New Roman" w:hAnsi="Times New Roman" w:cs="Times New Roman"/>
          <w:highlight w:val="none"/>
        </w:rPr>
        <w:t>生物发酵类原料</w:t>
      </w:r>
      <w:r>
        <w:rPr>
          <w:rFonts w:hint="eastAsia" w:ascii="Times New Roman" w:hAnsi="Times New Roman" w:eastAsia="仿宋" w:cs="Times New Roman"/>
          <w:sz w:val="32"/>
          <w:highlight w:val="none"/>
          <w:shd w:val="clear" w:color="auto" w:fill="auto"/>
        </w:rPr>
        <w:t>成分较为复杂，最终原料组成和安全风险不仅与所用菌种</w:t>
      </w:r>
      <w:r>
        <w:rPr>
          <w:rFonts w:hint="eastAsia" w:ascii="Times New Roman" w:hAnsi="Times New Roman" w:cs="Times New Roman"/>
          <w:sz w:val="32"/>
          <w:highlight w:val="none"/>
          <w:shd w:val="clear" w:color="auto" w:fill="auto"/>
          <w:lang w:eastAsia="zh-CN"/>
        </w:rPr>
        <w:t>、底物</w:t>
      </w:r>
      <w:r>
        <w:rPr>
          <w:rFonts w:hint="eastAsia" w:ascii="Times New Roman" w:hAnsi="Times New Roman" w:eastAsia="仿宋" w:cs="Times New Roman"/>
          <w:sz w:val="32"/>
          <w:highlight w:val="none"/>
          <w:shd w:val="clear" w:color="auto" w:fill="auto"/>
        </w:rPr>
        <w:t>等相关，也与具体发酵和</w:t>
      </w:r>
      <w:r>
        <w:rPr>
          <w:rFonts w:hint="eastAsia" w:ascii="Times New Roman" w:hAnsi="Times New Roman" w:cs="Times New Roman"/>
          <w:sz w:val="32"/>
          <w:highlight w:val="none"/>
          <w:shd w:val="clear" w:color="auto" w:fill="auto"/>
          <w:lang w:eastAsia="zh-CN"/>
        </w:rPr>
        <w:t>后续</w:t>
      </w:r>
      <w:r>
        <w:rPr>
          <w:rFonts w:hint="eastAsia" w:ascii="Times New Roman" w:hAnsi="Times New Roman" w:eastAsia="仿宋" w:cs="Times New Roman"/>
          <w:sz w:val="32"/>
          <w:highlight w:val="none"/>
          <w:shd w:val="clear" w:color="auto" w:fill="auto"/>
        </w:rPr>
        <w:t>生产过程密切相关。因此，菌种</w:t>
      </w:r>
      <w:r>
        <w:rPr>
          <w:rFonts w:hint="eastAsia" w:ascii="Times New Roman" w:hAnsi="Times New Roman" w:cs="Times New Roman"/>
          <w:sz w:val="32"/>
          <w:highlight w:val="none"/>
          <w:shd w:val="clear"/>
          <w:lang w:val="en-US" w:eastAsia="zh-CN"/>
        </w:rPr>
        <w:t>和底物</w:t>
      </w:r>
      <w:r>
        <w:rPr>
          <w:rFonts w:hint="eastAsia" w:ascii="Times New Roman" w:hAnsi="Times New Roman" w:eastAsia="仿宋" w:cs="Times New Roman"/>
          <w:sz w:val="32"/>
          <w:highlight w:val="none"/>
          <w:shd w:val="clear" w:color="auto" w:fill="auto"/>
        </w:rPr>
        <w:t>各自安全食用</w:t>
      </w:r>
      <w:r>
        <w:rPr>
          <w:rFonts w:hint="eastAsia" w:ascii="Times New Roman" w:hAnsi="Times New Roman" w:cs="Times New Roman"/>
          <w:sz w:val="32"/>
          <w:highlight w:val="none"/>
          <w:shd w:val="clear"/>
          <w:lang w:val="en-US" w:eastAsia="zh-CN"/>
        </w:rPr>
        <w:t>历史</w:t>
      </w:r>
      <w:r>
        <w:rPr>
          <w:rFonts w:hint="eastAsia" w:ascii="Times New Roman" w:hAnsi="Times New Roman" w:eastAsia="仿宋" w:cs="Times New Roman"/>
          <w:sz w:val="32"/>
          <w:highlight w:val="none"/>
          <w:shd w:val="clear" w:color="auto" w:fill="auto"/>
        </w:rPr>
        <w:t>并不代表发酵产物安全</w:t>
      </w:r>
      <w:r>
        <w:rPr>
          <w:rFonts w:hint="eastAsia" w:ascii="Times New Roman" w:hAnsi="Times New Roman" w:cs="Times New Roman"/>
          <w:sz w:val="32"/>
          <w:highlight w:val="none"/>
          <w:shd w:val="clear"/>
          <w:lang w:val="en-US" w:eastAsia="zh-CN"/>
        </w:rPr>
        <w:t>可</w:t>
      </w:r>
      <w:r>
        <w:rPr>
          <w:rFonts w:hint="eastAsia" w:ascii="Times New Roman" w:hAnsi="Times New Roman" w:eastAsia="仿宋" w:cs="Times New Roman"/>
          <w:sz w:val="32"/>
          <w:highlight w:val="none"/>
          <w:shd w:val="clear" w:color="auto" w:fill="auto"/>
        </w:rPr>
        <w:t>食用</w:t>
      </w:r>
      <w:r>
        <w:rPr>
          <w:rFonts w:hint="eastAsia" w:ascii="Times New Roman" w:hAnsi="Times New Roman" w:cs="Times New Roman"/>
          <w:sz w:val="32"/>
          <w:highlight w:val="none"/>
          <w:shd w:val="clear"/>
          <w:lang w:eastAsia="zh-CN"/>
        </w:rPr>
        <w:t>，</w:t>
      </w:r>
      <w:r>
        <w:rPr>
          <w:rFonts w:hint="eastAsia" w:ascii="Times New Roman" w:hAnsi="Times New Roman" w:cs="Times New Roman"/>
          <w:highlight w:val="none"/>
        </w:rPr>
        <w:t>应提供</w:t>
      </w:r>
      <w:r>
        <w:rPr>
          <w:rFonts w:hint="eastAsia" w:ascii="Times New Roman" w:hAnsi="Times New Roman" w:cs="Times New Roman"/>
          <w:highlight w:val="none"/>
          <w:lang w:val="en-US" w:eastAsia="zh-CN"/>
        </w:rPr>
        <w:t>最终获得</w:t>
      </w:r>
      <w:r>
        <w:rPr>
          <w:rFonts w:hint="eastAsia" w:ascii="Times New Roman" w:hAnsi="Times New Roman" w:cs="Times New Roman"/>
          <w:highlight w:val="none"/>
        </w:rPr>
        <w:t>发酵</w:t>
      </w:r>
      <w:r>
        <w:rPr>
          <w:rFonts w:hint="eastAsia" w:ascii="Times New Roman" w:hAnsi="Times New Roman" w:cs="Times New Roman"/>
          <w:highlight w:val="none"/>
          <w:lang w:val="en-US" w:eastAsia="zh-CN"/>
        </w:rPr>
        <w:t>产物可</w:t>
      </w:r>
      <w:r>
        <w:rPr>
          <w:rFonts w:hint="eastAsia" w:ascii="Times New Roman" w:hAnsi="Times New Roman" w:cs="Times New Roman"/>
          <w:highlight w:val="none"/>
        </w:rPr>
        <w:t>作为食品原料的</w:t>
      </w:r>
      <w:r>
        <w:rPr>
          <w:rFonts w:hint="eastAsia" w:ascii="Times New Roman" w:hAnsi="Times New Roman" w:cs="Times New Roman"/>
          <w:highlight w:val="none"/>
          <w:lang w:val="en-US" w:eastAsia="zh-CN"/>
        </w:rPr>
        <w:t>安全食用</w:t>
      </w:r>
      <w:r>
        <w:rPr>
          <w:rFonts w:hint="eastAsia" w:ascii="Times New Roman" w:hAnsi="Times New Roman"/>
          <w:highlight w:val="none"/>
          <w:lang w:val="en-US" w:eastAsia="zh-CN"/>
        </w:rPr>
        <w:t>证明</w:t>
      </w:r>
      <w:r>
        <w:rPr>
          <w:rFonts w:hint="eastAsia" w:ascii="Times New Roman" w:hAnsi="Times New Roman" w:cs="Times New Roman"/>
          <w:strike w:val="0"/>
          <w:highlight w:val="none"/>
          <w:lang w:val="en-US" w:eastAsia="zh-CN"/>
        </w:rPr>
        <w:t>资料</w:t>
      </w:r>
      <w:r>
        <w:rPr>
          <w:rFonts w:hint="eastAsia" w:ascii="Times New Roman" w:hAnsi="Times New Roman" w:cs="Times New Roman"/>
          <w:highlight w:val="none"/>
          <w:lang w:eastAsia="zh-CN"/>
        </w:rPr>
        <w:t>。</w:t>
      </w:r>
    </w:p>
    <w:p>
      <w:pPr>
        <w:numPr>
          <w:ilvl w:val="255"/>
          <w:numId w:val="0"/>
        </w:numPr>
        <w:spacing w:line="600" w:lineRule="exact"/>
        <w:ind w:firstLine="643" w:firstLineChars="200"/>
        <w:rPr>
          <w:rFonts w:hint="eastAsia" w:ascii="Times New Roman" w:hAnsi="Times New Roman" w:cs="Times New Roman"/>
          <w:b/>
          <w:bCs/>
          <w:highlight w:val="none"/>
          <w:lang w:eastAsia="zh-CN"/>
        </w:rPr>
      </w:pPr>
      <w:r>
        <w:rPr>
          <w:rFonts w:hint="eastAsia" w:ascii="Times New Roman" w:hAnsi="Times New Roman" w:cs="Times New Roman"/>
          <w:b/>
          <w:bCs/>
          <w:highlight w:val="none"/>
          <w:lang w:eastAsia="zh-CN"/>
        </w:rPr>
        <w:t>（三）食用情况和限制要求</w:t>
      </w:r>
    </w:p>
    <w:p>
      <w:pPr>
        <w:numPr>
          <w:ilvl w:val="255"/>
          <w:numId w:val="0"/>
        </w:numPr>
        <w:spacing w:line="600" w:lineRule="exact"/>
        <w:ind w:firstLine="640" w:firstLineChars="200"/>
        <w:rPr>
          <w:rFonts w:hint="eastAsia" w:ascii="Times New Roman" w:hAnsi="Times New Roman" w:cs="Times New Roman"/>
          <w:lang w:eastAsia="zh-CN"/>
        </w:rPr>
      </w:pPr>
      <w:r>
        <w:rPr>
          <w:rFonts w:hint="eastAsia" w:ascii="Times New Roman" w:hAnsi="Times New Roman" w:cs="Times New Roman"/>
          <w:highlight w:val="none"/>
          <w:lang w:val="en-US" w:eastAsia="zh-CN"/>
        </w:rPr>
        <w:t>应结合所采用的安全食用历史证明资料，提供在</w:t>
      </w:r>
      <w:r>
        <w:rPr>
          <w:rFonts w:hint="eastAsia" w:ascii="Times New Roman" w:hAnsi="Times New Roman" w:cs="Times New Roman"/>
          <w:highlight w:val="none"/>
          <w:lang w:eastAsia="zh-CN"/>
        </w:rPr>
        <w:t>食品中食用情况和限制要求，如</w:t>
      </w:r>
      <w:r>
        <w:rPr>
          <w:rFonts w:hint="eastAsia" w:ascii="Times New Roman" w:hAnsi="Times New Roman" w:cs="Times New Roman"/>
          <w:strike w:val="0"/>
          <w:highlight w:val="none"/>
        </w:rPr>
        <w:t>食用方式</w:t>
      </w:r>
      <w:r>
        <w:rPr>
          <w:rFonts w:hint="eastAsia" w:ascii="Times New Roman" w:hAnsi="Times New Roman" w:cs="Times New Roman"/>
          <w:strike w:val="0"/>
          <w:highlight w:val="none"/>
          <w:lang w:eastAsia="zh-CN"/>
        </w:rPr>
        <w:t>、</w:t>
      </w:r>
      <w:r>
        <w:rPr>
          <w:rFonts w:hint="eastAsia" w:ascii="Times New Roman" w:hAnsi="Times New Roman" w:cs="Times New Roman"/>
          <w:strike w:val="0"/>
          <w:highlight w:val="none"/>
          <w:lang w:val="en-US" w:eastAsia="zh-CN"/>
        </w:rPr>
        <w:t>用途、</w:t>
      </w:r>
      <w:r>
        <w:rPr>
          <w:rFonts w:hint="eastAsia" w:ascii="Times New Roman" w:hAnsi="Times New Roman" w:cs="Times New Roman"/>
          <w:strike w:val="0"/>
          <w:highlight w:val="none"/>
          <w:lang w:eastAsia="zh-CN"/>
        </w:rPr>
        <w:t>食用</w:t>
      </w:r>
      <w:r>
        <w:rPr>
          <w:rFonts w:hint="eastAsia" w:ascii="Times New Roman" w:hAnsi="Times New Roman" w:cs="Times New Roman"/>
          <w:strike w:val="0"/>
          <w:highlight w:val="none"/>
          <w:lang w:val="en-US" w:eastAsia="zh-CN"/>
        </w:rPr>
        <w:t>限</w:t>
      </w:r>
      <w:r>
        <w:rPr>
          <w:rFonts w:hint="eastAsia" w:ascii="Times New Roman" w:hAnsi="Times New Roman" w:cs="Times New Roman"/>
          <w:strike w:val="0"/>
          <w:highlight w:val="none"/>
          <w:lang w:eastAsia="zh-CN"/>
        </w:rPr>
        <w:t>量</w:t>
      </w:r>
      <w:r>
        <w:rPr>
          <w:rFonts w:hint="eastAsia" w:ascii="Times New Roman" w:hAnsi="Times New Roman" w:cs="Times New Roman"/>
          <w:strike w:val="0"/>
          <w:highlight w:val="none"/>
        </w:rPr>
        <w:t>、</w:t>
      </w:r>
      <w:r>
        <w:rPr>
          <w:rFonts w:hint="eastAsia" w:ascii="Times New Roman" w:hAnsi="Times New Roman" w:cs="Times New Roman"/>
          <w:strike w:val="0"/>
          <w:highlight w:val="none"/>
          <w:lang w:val="en-US" w:eastAsia="zh-CN"/>
        </w:rPr>
        <w:t>适宜及不适宜</w:t>
      </w:r>
      <w:r>
        <w:rPr>
          <w:rFonts w:hint="eastAsia" w:ascii="Times New Roman" w:hAnsi="Times New Roman" w:cs="Times New Roman"/>
          <w:strike w:val="0"/>
          <w:highlight w:val="none"/>
        </w:rPr>
        <w:t>人群</w:t>
      </w:r>
      <w:r>
        <w:rPr>
          <w:rFonts w:hint="eastAsia" w:ascii="Times New Roman" w:hAnsi="Times New Roman" w:cs="Times New Roman"/>
          <w:strike w:val="0"/>
          <w:highlight w:val="none"/>
          <w:lang w:val="en-US" w:eastAsia="zh-CN"/>
        </w:rPr>
        <w:t>、注意事项</w:t>
      </w:r>
      <w:r>
        <w:rPr>
          <w:rFonts w:hint="eastAsia" w:ascii="Times New Roman" w:hAnsi="Times New Roman" w:cs="Times New Roman"/>
          <w:highlight w:val="none"/>
        </w:rPr>
        <w:t>等</w:t>
      </w:r>
      <w:r>
        <w:rPr>
          <w:rFonts w:hint="eastAsia" w:ascii="Times New Roman" w:hAnsi="Times New Roman" w:cs="Times New Roman"/>
          <w:highlight w:val="none"/>
          <w:lang w:eastAsia="zh-CN"/>
        </w:rPr>
        <w:t>，并结合拟注册备案新原料进行分析，对食用限制要求中提示的安全风险予以特别关注。</w:t>
      </w:r>
      <w:r>
        <w:rPr>
          <w:rFonts w:hint="eastAsia" w:ascii="Times New Roman" w:hAnsi="Times New Roman" w:cs="Times New Roman"/>
          <w:highlight w:val="none"/>
          <w:lang w:val="en-US" w:eastAsia="zh-CN"/>
        </w:rPr>
        <w:t>证明资料</w:t>
      </w:r>
      <w:r>
        <w:rPr>
          <w:rFonts w:hint="eastAsia" w:ascii="Times New Roman" w:hAnsi="Times New Roman" w:cs="Times New Roman"/>
          <w:lang w:eastAsia="zh-CN"/>
        </w:rPr>
        <w:t>中未包含相关信息的，</w:t>
      </w:r>
      <w:r>
        <w:rPr>
          <w:rFonts w:hint="eastAsia" w:ascii="Times New Roman" w:hAnsi="Times New Roman" w:cs="Times New Roman"/>
          <w:lang w:val="en-US" w:eastAsia="zh-CN"/>
        </w:rPr>
        <w:t>也</w:t>
      </w:r>
      <w:r>
        <w:rPr>
          <w:rFonts w:hint="eastAsia" w:ascii="Times New Roman" w:hAnsi="Times New Roman" w:cs="Times New Roman"/>
          <w:lang w:eastAsia="zh-CN"/>
        </w:rPr>
        <w:t>应自行开展研究</w:t>
      </w:r>
      <w:r>
        <w:rPr>
          <w:rFonts w:hint="eastAsia" w:ascii="Times New Roman" w:hAnsi="Times New Roman" w:cs="Times New Roman"/>
          <w:lang w:val="en-US" w:eastAsia="zh-CN"/>
        </w:rPr>
        <w:t>和</w:t>
      </w:r>
      <w:r>
        <w:rPr>
          <w:rFonts w:hint="eastAsia" w:ascii="Times New Roman" w:hAnsi="Times New Roman" w:cs="Times New Roman"/>
          <w:strike w:val="0"/>
        </w:rPr>
        <w:t>充分分析</w:t>
      </w:r>
      <w:r>
        <w:rPr>
          <w:rFonts w:hint="eastAsia" w:ascii="Times New Roman" w:hAnsi="Times New Roman" w:cs="Times New Roman"/>
          <w:lang w:eastAsia="zh-CN"/>
        </w:rPr>
        <w:t>。</w:t>
      </w:r>
    </w:p>
    <w:p>
      <w:pPr>
        <w:numPr>
          <w:ilvl w:val="255"/>
          <w:numId w:val="0"/>
        </w:numPr>
        <w:spacing w:line="600" w:lineRule="exact"/>
        <w:ind w:firstLine="640" w:firstLineChars="200"/>
        <w:rPr>
          <w:rFonts w:hint="eastAsia" w:ascii="Times New Roman" w:hAnsi="Times New Roman" w:cs="Times New Roman"/>
          <w:highlight w:val="yellow"/>
          <w:lang w:val="en-US" w:eastAsia="zh-CN"/>
        </w:rPr>
      </w:pPr>
      <w:r>
        <w:rPr>
          <w:rFonts w:hint="eastAsia" w:ascii="Times New Roman" w:hAnsi="Times New Roman" w:cs="Times New Roman"/>
          <w:highlight w:val="none"/>
          <w:lang w:val="en-US" w:eastAsia="zh-CN"/>
        </w:rPr>
        <w:t>对于有食用限制要求的保健食品原料、食品添加剂等，应充分研究在食品中的具体使用要求，包括食用限量、食用人群、注意事项及其他限制条件，分析作为化妆品新原料使用的安全性。尤其对于其中安全风险</w:t>
      </w:r>
      <w:r>
        <w:rPr>
          <w:rFonts w:hint="default" w:ascii="Times New Roman" w:hAnsi="Times New Roman" w:cs="Times New Roman"/>
          <w:highlight w:val="none"/>
          <w:lang w:val="en-US" w:eastAsia="zh-CN"/>
        </w:rPr>
        <w:t>较高</w:t>
      </w:r>
      <w:r>
        <w:rPr>
          <w:rFonts w:hint="eastAsia" w:ascii="Times New Roman" w:hAnsi="Times New Roman" w:cs="Times New Roman"/>
          <w:highlight w:val="none"/>
          <w:lang w:val="en-US" w:eastAsia="zh-CN"/>
        </w:rPr>
        <w:t>原料，应对原料毒性信息进行全面研究。</w:t>
      </w:r>
    </w:p>
    <w:p>
      <w:pPr>
        <w:pStyle w:val="2"/>
        <w:spacing w:line="600" w:lineRule="exact"/>
        <w:ind w:firstLine="640"/>
        <w:rPr>
          <w:rFonts w:hint="eastAsia" w:ascii="Times New Roman" w:hAnsi="Times New Roman" w:cs="Times New Roman"/>
          <w:strike w:val="0"/>
          <w:lang w:val="en-US" w:eastAsia="zh-CN"/>
        </w:rPr>
      </w:pPr>
      <w:r>
        <w:rPr>
          <w:rFonts w:hint="eastAsia" w:ascii="Times New Roman" w:hAnsi="Times New Roman"/>
          <w:lang w:eastAsia="zh-CN"/>
        </w:rPr>
        <w:t>五</w:t>
      </w:r>
      <w:r>
        <w:rPr>
          <w:rFonts w:hint="eastAsia" w:ascii="Times New Roman" w:hAnsi="Times New Roman"/>
        </w:rPr>
        <w:t>、</w:t>
      </w:r>
      <w:r>
        <w:rPr>
          <w:rFonts w:hint="eastAsia" w:ascii="Times New Roman" w:hAnsi="Times New Roman"/>
          <w:lang w:eastAsia="zh-CN"/>
        </w:rPr>
        <w:t>常见证明来源及其要点</w:t>
      </w:r>
    </w:p>
    <w:bookmarkEnd w:id="26"/>
    <w:bookmarkEnd w:id="27"/>
    <w:p>
      <w:pPr>
        <w:numPr>
          <w:ilvl w:val="255"/>
          <w:numId w:val="0"/>
        </w:numPr>
        <w:spacing w:line="600" w:lineRule="exact"/>
        <w:ind w:firstLine="640" w:firstLineChars="200"/>
        <w:rPr>
          <w:rFonts w:hint="default" w:ascii="Times New Roman" w:hAnsi="Times New Roman" w:cs="Times New Roman"/>
          <w:b w:val="0"/>
          <w:bCs w:val="0"/>
          <w:sz w:val="32"/>
          <w:szCs w:val="22"/>
          <w:highlight w:val="none"/>
          <w:shd w:val="clear"/>
          <w:lang w:val="en-US" w:eastAsia="zh-CN"/>
        </w:rPr>
      </w:pPr>
      <w:r>
        <w:rPr>
          <w:rFonts w:hint="eastAsia" w:ascii="Times New Roman" w:hAnsi="Times New Roman" w:cs="Times New Roman"/>
          <w:highlight w:val="none"/>
          <w:lang w:eastAsia="zh-CN"/>
        </w:rPr>
        <w:t>为指导新原料注备人对安全食用历史</w:t>
      </w:r>
      <w:r>
        <w:rPr>
          <w:rFonts w:hint="eastAsia" w:ascii="Times New Roman" w:hAnsi="Times New Roman" w:cs="Times New Roman"/>
          <w:highlight w:val="none"/>
          <w:lang w:val="en-US" w:eastAsia="zh-CN"/>
        </w:rPr>
        <w:t>证明资料</w:t>
      </w:r>
      <w:r>
        <w:rPr>
          <w:rFonts w:hint="eastAsia" w:ascii="Times New Roman" w:hAnsi="Times New Roman" w:cs="Times New Roman"/>
          <w:highlight w:val="none"/>
          <w:lang w:eastAsia="zh-CN"/>
        </w:rPr>
        <w:t>的收集和应用，对常见证明来源及其要点总结如下。在使用相关证明时，应根据证明资料的收载形式和具体收录信息，分析拟注册备案新原料</w:t>
      </w:r>
      <w:r>
        <w:rPr>
          <w:rFonts w:hint="eastAsia" w:ascii="Times New Roman" w:hAnsi="Times New Roman" w:cs="Times New Roman"/>
          <w:highlight w:val="none"/>
          <w:lang w:val="en-US" w:eastAsia="zh-CN"/>
        </w:rPr>
        <w:t>与资料载明食品原料</w:t>
      </w:r>
      <w:r>
        <w:rPr>
          <w:rFonts w:hint="eastAsia" w:ascii="Times New Roman" w:hAnsi="Times New Roman" w:cs="Times New Roman"/>
          <w:highlight w:val="none"/>
          <w:lang w:eastAsia="zh-CN"/>
        </w:rPr>
        <w:t>的一致性或相关性，并提供相关说明或证明资料。</w:t>
      </w:r>
    </w:p>
    <w:p>
      <w:pPr>
        <w:numPr>
          <w:ilvl w:val="0"/>
          <w:numId w:val="1"/>
        </w:numPr>
        <w:spacing w:line="600" w:lineRule="exact"/>
        <w:ind w:firstLine="643" w:firstLineChars="200"/>
        <w:rPr>
          <w:rFonts w:hint="default" w:ascii="Times New Roman" w:hAnsi="Times New Roman" w:cs="Times New Roman"/>
          <w:b/>
          <w:bCs/>
          <w:sz w:val="32"/>
          <w:szCs w:val="22"/>
          <w:shd w:val="clear"/>
          <w:lang w:val="en-US" w:eastAsia="zh-CN"/>
        </w:rPr>
      </w:pPr>
      <w:r>
        <w:rPr>
          <w:rFonts w:hint="eastAsia" w:ascii="Times New Roman" w:hAnsi="Times New Roman" w:cs="Times New Roman"/>
          <w:b/>
          <w:bCs/>
          <w:sz w:val="32"/>
          <w:szCs w:val="22"/>
          <w:shd w:val="clear" w:color="auto" w:fill="auto"/>
          <w:lang w:val="en-US" w:eastAsia="zh-CN"/>
        </w:rPr>
        <w:t>我国相关监管部门发布的可安全食用原料</w:t>
      </w:r>
    </w:p>
    <w:p>
      <w:pPr>
        <w:numPr>
          <w:ilvl w:val="-1"/>
          <w:numId w:val="0"/>
        </w:numPr>
        <w:spacing w:line="600" w:lineRule="exact"/>
        <w:ind w:firstLine="643" w:firstLineChars="200"/>
        <w:rPr>
          <w:rFonts w:hint="default" w:ascii="Times New Roman" w:hAnsi="Times New Roman" w:cs="Times New Roman"/>
          <w:b/>
          <w:bCs/>
          <w:sz w:val="32"/>
          <w:szCs w:val="22"/>
          <w:shd w:val="clear"/>
          <w:lang w:val="en-US" w:eastAsia="zh-CN"/>
        </w:rPr>
      </w:pPr>
      <w:r>
        <w:rPr>
          <w:rFonts w:hint="eastAsia" w:ascii="Times New Roman" w:hAnsi="Times New Roman" w:cs="Times New Roman"/>
          <w:b/>
          <w:bCs/>
          <w:sz w:val="32"/>
          <w:szCs w:val="22"/>
          <w:shd w:val="clear" w:color="auto" w:fill="auto"/>
          <w:lang w:val="en-US" w:eastAsia="zh-CN"/>
        </w:rPr>
        <w:t>1、常见食物原料</w:t>
      </w:r>
    </w:p>
    <w:p>
      <w:pPr>
        <w:numPr>
          <w:ilvl w:val="-1"/>
          <w:numId w:val="0"/>
        </w:numPr>
        <w:spacing w:line="600" w:lineRule="exact"/>
        <w:ind w:firstLine="640" w:firstLineChars="200"/>
        <w:rPr>
          <w:rFonts w:hint="default" w:ascii="Times New Roman" w:hAnsi="Times New Roman" w:cs="Times New Roman"/>
          <w:lang w:val="en-US" w:eastAsia="zh-CN"/>
        </w:rPr>
      </w:pPr>
      <w:r>
        <w:rPr>
          <w:rFonts w:hint="eastAsia" w:ascii="Times New Roman" w:hAnsi="Times New Roman" w:cs="Times New Roman"/>
          <w:sz w:val="32"/>
          <w:szCs w:val="22"/>
          <w:shd w:val="clear"/>
          <w:lang w:val="en-US" w:eastAsia="zh-CN"/>
        </w:rPr>
        <w:t>来源为常见食物原料的，如粮食、瓜果蔬菜、肉类等，应提供官方发布的相关证明，如</w:t>
      </w:r>
      <w:r>
        <w:rPr>
          <w:rFonts w:hint="eastAsia" w:ascii="Times New Roman" w:hAnsi="Times New Roman" w:cs="Times New Roman"/>
        </w:rPr>
        <w:t>农业农村部发布的《国家畜禽遗传资源品种名录》、国家粮食和物资储备局发布的《现行粮油行业标准目录》</w:t>
      </w:r>
      <w:r>
        <w:rPr>
          <w:rFonts w:hint="eastAsia" w:ascii="Times New Roman" w:hAnsi="Times New Roman" w:cs="Times New Roman"/>
          <w:lang w:eastAsia="zh-CN"/>
        </w:rPr>
        <w:t>等证明资料。</w:t>
      </w:r>
    </w:p>
    <w:p>
      <w:pPr>
        <w:numPr>
          <w:ilvl w:val="-1"/>
          <w:numId w:val="0"/>
        </w:numPr>
        <w:spacing w:line="600" w:lineRule="exact"/>
        <w:ind w:firstLine="643" w:firstLineChars="200"/>
        <w:rPr>
          <w:rFonts w:hint="default" w:ascii="Times New Roman" w:hAnsi="Times New Roman" w:cs="Times New Roman"/>
          <w:b/>
          <w:bCs/>
          <w:sz w:val="32"/>
          <w:szCs w:val="22"/>
          <w:highlight w:val="none"/>
          <w:shd w:val="clear"/>
          <w:lang w:val="en-US" w:eastAsia="zh-CN"/>
        </w:rPr>
      </w:pPr>
      <w:r>
        <w:rPr>
          <w:rFonts w:hint="eastAsia" w:ascii="Times New Roman" w:hAnsi="Times New Roman" w:cs="Times New Roman"/>
          <w:b/>
          <w:bCs/>
          <w:sz w:val="32"/>
          <w:szCs w:val="22"/>
          <w:shd w:val="clear" w:color="auto" w:fill="auto"/>
          <w:lang w:val="en-US" w:eastAsia="zh-CN"/>
        </w:rPr>
        <w:t>2、</w:t>
      </w:r>
      <w:r>
        <w:rPr>
          <w:rFonts w:ascii="Times New Roman" w:hAnsi="Times New Roman" w:cs="Times New Roman"/>
          <w:b/>
          <w:bCs/>
          <w:sz w:val="32"/>
          <w:szCs w:val="22"/>
          <w:shd w:val="clear" w:color="auto" w:fill="auto"/>
        </w:rPr>
        <w:t>普通食品</w:t>
      </w:r>
      <w:r>
        <w:rPr>
          <w:rFonts w:hint="default" w:ascii="Times New Roman" w:hAnsi="Times New Roman" w:cs="Times New Roman"/>
          <w:b/>
          <w:bCs/>
          <w:sz w:val="32"/>
          <w:szCs w:val="22"/>
          <w:shd w:val="clear" w:color="auto" w:fill="auto"/>
          <w:lang w:val="en-US" w:eastAsia="zh-CN"/>
        </w:rPr>
        <w:t>原料</w:t>
      </w:r>
    </w:p>
    <w:p>
      <w:pPr>
        <w:numPr>
          <w:ilvl w:val="-1"/>
          <w:numId w:val="0"/>
        </w:numPr>
        <w:spacing w:line="600" w:lineRule="exact"/>
        <w:ind w:firstLine="640" w:firstLineChars="200"/>
        <w:rPr>
          <w:rFonts w:hint="eastAsia" w:ascii="Times New Roman" w:hAnsi="Times New Roman" w:cs="Times New Roman"/>
          <w:highlight w:val="yellow"/>
          <w:lang w:val="en-US" w:eastAsia="zh-CN"/>
        </w:rPr>
      </w:pPr>
      <w:r>
        <w:rPr>
          <w:rFonts w:hint="eastAsia" w:ascii="Times New Roman" w:hAnsi="Times New Roman" w:cs="Times New Roman"/>
          <w:sz w:val="32"/>
          <w:szCs w:val="22"/>
          <w:highlight w:val="none"/>
          <w:shd w:val="clear"/>
          <w:lang w:val="en-US" w:eastAsia="zh-CN"/>
        </w:rPr>
        <w:t>来源为普通食品原料的，应提供国家食品安全标准、国家监管部门发布的函、公告等证明资料。</w:t>
      </w:r>
    </w:p>
    <w:p>
      <w:pPr>
        <w:numPr>
          <w:ilvl w:val="-1"/>
          <w:numId w:val="0"/>
        </w:numPr>
        <w:spacing w:line="600" w:lineRule="exact"/>
        <w:ind w:firstLine="643" w:firstLineChars="200"/>
        <w:rPr>
          <w:rFonts w:hint="eastAsia" w:ascii="Times New Roman" w:hAnsi="Times New Roman" w:cs="Times New Roman"/>
          <w:b/>
          <w:bCs/>
          <w:sz w:val="32"/>
          <w:szCs w:val="22"/>
          <w:shd w:val="clear" w:color="auto" w:fill="auto"/>
          <w:lang w:val="en-US" w:eastAsia="zh-CN"/>
        </w:rPr>
      </w:pPr>
      <w:r>
        <w:rPr>
          <w:rFonts w:hint="eastAsia" w:ascii="Times New Roman" w:hAnsi="Times New Roman" w:cs="Times New Roman"/>
          <w:b/>
          <w:bCs/>
          <w:shd w:val="clear" w:color="auto" w:fill="auto"/>
          <w:lang w:val="en-US" w:eastAsia="zh-CN"/>
        </w:rPr>
        <w:t>3、</w:t>
      </w:r>
      <w:r>
        <w:rPr>
          <w:rFonts w:hint="eastAsia" w:ascii="Times New Roman" w:hAnsi="Times New Roman" w:cs="Times New Roman"/>
          <w:b/>
          <w:bCs/>
          <w:shd w:val="clear" w:color="auto" w:fill="auto"/>
        </w:rPr>
        <w:t>地方特色食品原料</w:t>
      </w:r>
    </w:p>
    <w:p>
      <w:pPr>
        <w:numPr>
          <w:ilvl w:val="-1"/>
          <w:numId w:val="0"/>
        </w:numPr>
        <w:spacing w:line="600" w:lineRule="exact"/>
        <w:ind w:firstLine="640" w:firstLineChars="200"/>
        <w:rPr>
          <w:rFonts w:hint="eastAsia" w:ascii="Times New Roman" w:hAnsi="Times New Roman" w:cs="Times New Roman"/>
        </w:rPr>
      </w:pPr>
      <w:r>
        <w:rPr>
          <w:rFonts w:hint="eastAsia" w:ascii="Times New Roman" w:hAnsi="Times New Roman" w:cs="Times New Roman"/>
          <w:sz w:val="32"/>
          <w:szCs w:val="22"/>
          <w:shd w:val="clear"/>
          <w:lang w:val="en-US" w:eastAsia="zh-CN"/>
        </w:rPr>
        <w:t>地方特色食品是</w:t>
      </w:r>
      <w:r>
        <w:rPr>
          <w:rFonts w:hint="eastAsia" w:ascii="Times New Roman" w:hAnsi="Times New Roman" w:cs="Times New Roman"/>
        </w:rPr>
        <w:t>指在</w:t>
      </w:r>
      <w:r>
        <w:rPr>
          <w:rFonts w:hint="eastAsia" w:ascii="Times New Roman" w:hAnsi="Times New Roman" w:cs="Times New Roman"/>
          <w:lang w:eastAsia="zh-CN"/>
        </w:rPr>
        <w:t>我国</w:t>
      </w:r>
      <w:r>
        <w:rPr>
          <w:rFonts w:hint="eastAsia" w:ascii="Times New Roman" w:hAnsi="Times New Roman" w:cs="Times New Roman"/>
        </w:rPr>
        <w:t>部分地域有30年以上传统食用习惯的食品，包括地方特有的食品原料和采用传统工艺生产的、涉及的食品安全指标或要求现有食品安全国家标准不能覆盖的食品。</w:t>
      </w:r>
      <w:r>
        <w:rPr>
          <w:rFonts w:hint="eastAsia" w:ascii="Times New Roman" w:hAnsi="Times New Roman" w:cs="Times New Roman"/>
          <w:lang w:eastAsia="zh-CN"/>
        </w:rPr>
        <w:t>应具有明确的食品安全标准，且不存在</w:t>
      </w:r>
      <w:r>
        <w:rPr>
          <w:rFonts w:hint="eastAsia" w:ascii="Times New Roman" w:hAnsi="Times New Roman" w:cs="Times New Roman"/>
          <w:sz w:val="32"/>
          <w:szCs w:val="22"/>
          <w:shd w:val="clear"/>
          <w:lang w:val="en-US" w:eastAsia="zh-CN"/>
        </w:rPr>
        <w:t>公认的食用健康风险隐患。</w:t>
      </w:r>
    </w:p>
    <w:p>
      <w:pPr>
        <w:numPr>
          <w:ilvl w:val="-1"/>
          <w:numId w:val="0"/>
        </w:numPr>
        <w:spacing w:line="600" w:lineRule="exact"/>
        <w:ind w:firstLine="640" w:firstLineChars="200"/>
        <w:rPr>
          <w:rFonts w:hint="eastAsia" w:ascii="Times New Roman" w:hAnsi="Times New Roman" w:cs="Times New Roman"/>
          <w:sz w:val="32"/>
          <w:szCs w:val="22"/>
          <w:shd w:val="clear"/>
          <w:lang w:val="en-US" w:eastAsia="zh-CN"/>
        </w:rPr>
      </w:pPr>
      <w:r>
        <w:rPr>
          <w:rFonts w:hint="eastAsia" w:ascii="Times New Roman" w:hAnsi="Times New Roman" w:cs="Times New Roman"/>
          <w:sz w:val="32"/>
          <w:szCs w:val="22"/>
          <w:shd w:val="clear"/>
          <w:lang w:val="en-US" w:eastAsia="zh-CN"/>
        </w:rPr>
        <w:t>地方特色食品原料应提供官方发布的相关证明，如国务院卫生行政部门发布的有关公告（或批复、复函），省级相关行政部门出具的作为地方特色食品管理的证明以及制定并公布的食品安全地方标准（已有</w:t>
      </w:r>
      <w:r>
        <w:rPr>
          <w:rFonts w:hint="eastAsia" w:ascii="Times New Roman" w:hAnsi="Times New Roman" w:cs="Times New Roman"/>
        </w:rPr>
        <w:t>食品安全国家标准</w:t>
      </w:r>
      <w:r>
        <w:rPr>
          <w:rFonts w:hint="eastAsia" w:ascii="Times New Roman" w:hAnsi="Times New Roman" w:cs="Times New Roman"/>
          <w:sz w:val="32"/>
          <w:szCs w:val="22"/>
          <w:shd w:val="clear"/>
          <w:lang w:val="en-US" w:eastAsia="zh-CN"/>
        </w:rPr>
        <w:t>的，提供国家标准）。</w:t>
      </w:r>
    </w:p>
    <w:p>
      <w:pPr>
        <w:numPr>
          <w:ilvl w:val="-1"/>
          <w:numId w:val="0"/>
        </w:numPr>
        <w:spacing w:line="600" w:lineRule="exact"/>
        <w:ind w:firstLine="643" w:firstLineChars="200"/>
        <w:rPr>
          <w:rFonts w:hint="eastAsia" w:ascii="Times New Roman" w:hAnsi="Times New Roman" w:eastAsia="仿宋" w:cs="Times New Roman"/>
          <w:b/>
          <w:bCs/>
          <w:shd w:val="clear" w:color="auto" w:fill="auto"/>
          <w:lang w:val="en-US" w:eastAsia="zh-CN"/>
        </w:rPr>
      </w:pPr>
      <w:r>
        <w:rPr>
          <w:rFonts w:hint="eastAsia" w:ascii="Times New Roman" w:hAnsi="Times New Roman" w:cs="Times New Roman"/>
          <w:b/>
          <w:bCs/>
          <w:shd w:val="clear" w:color="auto" w:fill="auto"/>
          <w:lang w:val="en-US" w:eastAsia="zh-CN"/>
        </w:rPr>
        <w:t>4、</w:t>
      </w:r>
      <w:r>
        <w:rPr>
          <w:rFonts w:hint="eastAsia" w:ascii="Times New Roman" w:hAnsi="Times New Roman" w:cs="Times New Roman"/>
          <w:b/>
          <w:bCs/>
          <w:shd w:val="clear" w:color="auto" w:fill="auto"/>
        </w:rPr>
        <w:t>新食品原料</w:t>
      </w:r>
    </w:p>
    <w:p>
      <w:pPr>
        <w:numPr>
          <w:ilvl w:val="-1"/>
          <w:numId w:val="0"/>
        </w:numPr>
        <w:spacing w:line="600" w:lineRule="exact"/>
        <w:ind w:firstLine="640" w:firstLineChars="200"/>
        <w:rPr>
          <w:rFonts w:hint="default" w:ascii="Times New Roman" w:hAnsi="Times New Roman" w:eastAsia="仿宋" w:cs="Times New Roman"/>
          <w:lang w:val="en-US" w:eastAsia="zh-CN"/>
        </w:rPr>
      </w:pPr>
      <w:r>
        <w:rPr>
          <w:rFonts w:hint="eastAsia" w:ascii="Times New Roman" w:hAnsi="Times New Roman" w:cs="Times New Roman"/>
        </w:rPr>
        <w:t>来源为</w:t>
      </w:r>
      <w:r>
        <w:rPr>
          <w:rFonts w:hint="default" w:ascii="Times New Roman" w:hAnsi="Times New Roman" w:cs="Times New Roman"/>
        </w:rPr>
        <w:t>新食品原料</w:t>
      </w:r>
      <w:r>
        <w:rPr>
          <w:rFonts w:hint="eastAsia" w:ascii="Times New Roman" w:hAnsi="Times New Roman" w:cs="Times New Roman"/>
        </w:rPr>
        <w:t>的</w:t>
      </w:r>
      <w:r>
        <w:rPr>
          <w:rFonts w:hint="eastAsia" w:ascii="Times New Roman" w:hAnsi="Times New Roman" w:cs="Times New Roman"/>
          <w:lang w:eastAsia="zh-CN"/>
        </w:rPr>
        <w:t>，应提供</w:t>
      </w:r>
      <w:r>
        <w:rPr>
          <w:rFonts w:hint="eastAsia" w:ascii="Times New Roman" w:hAnsi="Times New Roman" w:cs="Times New Roman"/>
        </w:rPr>
        <w:t>新食品原料</w:t>
      </w:r>
      <w:r>
        <w:rPr>
          <w:rFonts w:hint="eastAsia" w:ascii="Times New Roman" w:hAnsi="Times New Roman" w:cs="Times New Roman"/>
          <w:lang w:eastAsia="zh-CN"/>
        </w:rPr>
        <w:t>的相关证明</w:t>
      </w:r>
      <w:r>
        <w:rPr>
          <w:rFonts w:hint="eastAsia" w:ascii="Times New Roman" w:hAnsi="Times New Roman" w:cs="Times New Roman"/>
        </w:rPr>
        <w:t>，包括批准的公告以及该新食品原料在公告目录中的详细信息，包括中英文名称或拉丁学名、来源信息（种属、食用部位）、主要成分、生产工艺简述、食用量、食用部位、不适宜人群、质量要求及其他必要信息</w:t>
      </w:r>
      <w:r>
        <w:rPr>
          <w:rFonts w:hint="eastAsia" w:ascii="Times New Roman" w:hAnsi="Times New Roman" w:cs="Times New Roman"/>
          <w:lang w:eastAsia="zh-CN"/>
        </w:rPr>
        <w:t>。</w:t>
      </w:r>
    </w:p>
    <w:p>
      <w:pPr>
        <w:numPr>
          <w:ilvl w:val="-1"/>
          <w:numId w:val="0"/>
        </w:numPr>
        <w:spacing w:line="600" w:lineRule="exact"/>
        <w:ind w:firstLine="643" w:firstLineChars="200"/>
        <w:rPr>
          <w:rFonts w:hint="eastAsia" w:ascii="Times New Roman" w:hAnsi="Times New Roman" w:eastAsia="仿宋" w:cs="Times New Roman"/>
          <w:b/>
          <w:bCs/>
          <w:shd w:val="clear" w:color="auto" w:fill="auto"/>
          <w:lang w:val="en-US" w:eastAsia="zh-CN"/>
        </w:rPr>
      </w:pPr>
      <w:r>
        <w:rPr>
          <w:rFonts w:hint="eastAsia" w:ascii="Times New Roman" w:hAnsi="Times New Roman" w:cs="Times New Roman"/>
          <w:b/>
          <w:bCs/>
          <w:shd w:val="clear" w:color="auto" w:fill="auto"/>
          <w:lang w:val="en-US" w:eastAsia="zh-CN"/>
        </w:rPr>
        <w:t>5、</w:t>
      </w:r>
      <w:r>
        <w:rPr>
          <w:rFonts w:hint="eastAsia" w:ascii="Times New Roman" w:hAnsi="Times New Roman" w:eastAsia="仿宋" w:cs="Times New Roman"/>
          <w:b/>
          <w:bCs/>
          <w:shd w:val="clear" w:color="auto" w:fill="auto"/>
          <w:lang w:val="en-US" w:eastAsia="zh-CN"/>
        </w:rPr>
        <w:t>药食同源物质</w:t>
      </w:r>
    </w:p>
    <w:p>
      <w:pPr>
        <w:numPr>
          <w:ilvl w:val="-1"/>
          <w:numId w:val="0"/>
        </w:numPr>
        <w:spacing w:line="600" w:lineRule="exact"/>
        <w:ind w:firstLine="640" w:firstLineChars="200"/>
        <w:rPr>
          <w:rFonts w:hint="eastAsia" w:ascii="Times New Roman" w:hAnsi="Times New Roman" w:cs="Times New Roman"/>
        </w:rPr>
      </w:pPr>
      <w:r>
        <w:rPr>
          <w:rFonts w:hint="eastAsia" w:ascii="Times New Roman" w:hAnsi="Times New Roman" w:cs="Times New Roman"/>
          <w:lang w:eastAsia="zh-CN"/>
        </w:rPr>
        <w:t>药食同源物质是指</w:t>
      </w:r>
      <w:r>
        <w:rPr>
          <w:rFonts w:hint="eastAsia" w:ascii="Times New Roman" w:hAnsi="Times New Roman" w:cs="Times New Roman"/>
        </w:rPr>
        <w:t>按照传统既是食品又是中药材物质</w:t>
      </w:r>
      <w:r>
        <w:rPr>
          <w:rFonts w:hint="eastAsia" w:ascii="Times New Roman" w:hAnsi="Times New Roman" w:cs="Times New Roman"/>
          <w:lang w:eastAsia="zh-CN"/>
        </w:rPr>
        <w:t>。来源为药食同源物质的，应提供相关监管部门批准的公告</w:t>
      </w:r>
      <w:r>
        <w:rPr>
          <w:rFonts w:hint="eastAsia" w:ascii="Times New Roman" w:hAnsi="Times New Roman" w:cs="Times New Roman"/>
        </w:rPr>
        <w:t>。</w:t>
      </w:r>
    </w:p>
    <w:p>
      <w:pPr>
        <w:numPr>
          <w:ilvl w:val="-1"/>
          <w:numId w:val="0"/>
        </w:numPr>
        <w:spacing w:line="600" w:lineRule="exact"/>
        <w:ind w:firstLine="643" w:firstLineChars="200"/>
        <w:rPr>
          <w:rFonts w:hint="default" w:ascii="Times New Roman" w:hAnsi="Times New Roman" w:cs="Times New Roman"/>
          <w:b/>
          <w:bCs/>
          <w:shd w:val="clear" w:color="auto" w:fill="auto"/>
          <w:lang w:val="en-US" w:eastAsia="zh-CN"/>
        </w:rPr>
      </w:pPr>
      <w:r>
        <w:rPr>
          <w:rFonts w:hint="eastAsia" w:ascii="Times New Roman" w:hAnsi="Times New Roman" w:cs="Times New Roman"/>
          <w:b/>
          <w:bCs/>
          <w:lang w:eastAsia="zh-CN"/>
        </w:rPr>
        <w:t>（</w:t>
      </w:r>
      <w:r>
        <w:rPr>
          <w:rFonts w:hint="eastAsia" w:ascii="Times New Roman" w:hAnsi="Times New Roman" w:cs="Times New Roman"/>
          <w:b/>
          <w:bCs/>
          <w:lang w:val="en-US" w:eastAsia="zh-CN"/>
        </w:rPr>
        <w:t>二）</w:t>
      </w:r>
      <w:r>
        <w:rPr>
          <w:rFonts w:hint="eastAsia" w:ascii="Times New Roman" w:hAnsi="Times New Roman" w:cs="Times New Roman"/>
          <w:b/>
          <w:bCs/>
          <w:shd w:val="clear" w:color="auto" w:fill="auto"/>
          <w:lang w:val="en-US" w:eastAsia="zh-CN"/>
        </w:rPr>
        <w:t>国外</w:t>
      </w:r>
      <w:r>
        <w:rPr>
          <w:rFonts w:hint="eastAsia" w:ascii="Times New Roman" w:hAnsi="Times New Roman" w:cs="Times New Roman"/>
          <w:b/>
          <w:bCs/>
          <w:sz w:val="32"/>
          <w:szCs w:val="22"/>
          <w:shd w:val="clear" w:color="auto" w:fill="auto"/>
          <w:lang w:val="en-US" w:eastAsia="zh-CN"/>
        </w:rPr>
        <w:t>监管部门或技术机构发布</w:t>
      </w:r>
      <w:r>
        <w:rPr>
          <w:rFonts w:hint="eastAsia" w:ascii="Times New Roman" w:hAnsi="Times New Roman" w:cs="Times New Roman"/>
          <w:b/>
          <w:bCs/>
          <w:shd w:val="clear" w:color="auto" w:fill="auto"/>
          <w:lang w:val="en-US" w:eastAsia="zh-CN"/>
        </w:rPr>
        <w:t>的可安全食用原料</w:t>
      </w:r>
    </w:p>
    <w:p>
      <w:pPr>
        <w:numPr>
          <w:ilvl w:val="-1"/>
          <w:numId w:val="0"/>
        </w:numPr>
        <w:spacing w:line="600" w:lineRule="exact"/>
        <w:ind w:firstLine="640" w:firstLineChars="200"/>
        <w:rPr>
          <w:rFonts w:hint="default" w:ascii="Times New Roman" w:hAnsi="Times New Roman" w:cs="Times New Roman"/>
          <w:lang w:val="en-US" w:eastAsia="zh-CN"/>
        </w:rPr>
      </w:pPr>
      <w:r>
        <w:rPr>
          <w:rFonts w:hint="eastAsia" w:ascii="Times New Roman" w:hAnsi="Times New Roman" w:cs="Times New Roman"/>
          <w:lang w:val="en-US" w:eastAsia="zh-CN"/>
        </w:rPr>
        <w:t>选择</w:t>
      </w:r>
      <w:r>
        <w:rPr>
          <w:rFonts w:hint="eastAsia" w:ascii="Times New Roman" w:hAnsi="Times New Roman" w:cs="Times New Roman"/>
        </w:rPr>
        <w:t>国外监管部门</w:t>
      </w:r>
      <w:r>
        <w:rPr>
          <w:rFonts w:hint="eastAsia" w:ascii="Times New Roman" w:hAnsi="Times New Roman" w:cs="Times New Roman"/>
          <w:lang w:eastAsia="zh-CN"/>
        </w:rPr>
        <w:t>或技术机构</w:t>
      </w:r>
      <w:r>
        <w:rPr>
          <w:rFonts w:hint="eastAsia" w:ascii="Times New Roman" w:hAnsi="Times New Roman" w:cs="Times New Roman"/>
        </w:rPr>
        <w:t>发布的可安全食用原料</w:t>
      </w:r>
      <w:r>
        <w:rPr>
          <w:rFonts w:hint="eastAsia" w:ascii="Times New Roman" w:hAnsi="Times New Roman" w:cs="Times New Roman"/>
          <w:lang w:eastAsia="zh-CN"/>
        </w:rPr>
        <w:t>相关信息作为安全食用历史证明的，除应</w:t>
      </w:r>
      <w:r>
        <w:rPr>
          <w:rFonts w:hint="eastAsia" w:ascii="Times New Roman" w:hAnsi="Times New Roman" w:cs="Times New Roman"/>
          <w:lang w:val="en-US" w:eastAsia="zh-CN"/>
        </w:rPr>
        <w:t>符合前述原则和基本要求外，还应提供相关背景资料，包括完整公告内容、发布国家（地区）和发布人、部门/机构信息、发布时间、安全评估背景资料等。其中，公告内容应载明可食用原料的具体信息和限制要求（如有）；部门/机构信息应体现其在食品安全相关领域的监管职能或技术地位；安全评估背景资料中应体现</w:t>
      </w:r>
      <w:r>
        <w:rPr>
          <w:rFonts w:hint="eastAsia" w:ascii="Times New Roman" w:hAnsi="Times New Roman" w:cs="Times New Roman"/>
          <w:highlight w:val="none"/>
          <w:lang w:val="en-US" w:eastAsia="zh-CN"/>
        </w:rPr>
        <w:t>安全食用相关信息的评估流程、数据来源（有毒理学数据的，应提供一级文献）、数据要求、纳入标准等。</w:t>
      </w:r>
    </w:p>
    <w:p>
      <w:pPr>
        <w:pStyle w:val="2"/>
        <w:spacing w:line="600" w:lineRule="exact"/>
        <w:ind w:firstLine="640"/>
        <w:rPr>
          <w:rFonts w:hint="default" w:ascii="Times New Roman" w:hAnsi="Times New Roman" w:cs="Times New Roman"/>
          <w:lang w:eastAsia="zh-CN"/>
        </w:rPr>
      </w:pPr>
      <w:r>
        <w:rPr>
          <w:rFonts w:hint="eastAsia" w:ascii="Times New Roman" w:hAnsi="Times New Roman" w:cs="Times New Roman"/>
          <w:lang w:eastAsia="zh-CN"/>
        </w:rPr>
        <w:t>六</w:t>
      </w:r>
      <w:r>
        <w:rPr>
          <w:rFonts w:hint="default" w:ascii="Times New Roman" w:hAnsi="Times New Roman" w:cs="Times New Roman"/>
          <w:lang w:eastAsia="zh-CN"/>
        </w:rPr>
        <w:t>、安全评估要求</w:t>
      </w:r>
    </w:p>
    <w:p>
      <w:pPr>
        <w:widowControl/>
        <w:numPr>
          <w:ilvl w:val="255"/>
          <w:numId w:val="0"/>
        </w:numPr>
        <w:spacing w:line="600" w:lineRule="exact"/>
        <w:ind w:firstLine="640" w:firstLineChars="200"/>
        <w:rPr>
          <w:rFonts w:ascii="Times New Roman" w:hAnsi="Times New Roman" w:cs="Times New Roman"/>
        </w:rPr>
      </w:pPr>
      <w:r>
        <w:rPr>
          <w:rFonts w:hint="eastAsia" w:ascii="Times New Roman" w:hAnsi="Times New Roman" w:cs="Times New Roman"/>
          <w:highlight w:val="none"/>
          <w:lang w:val="en-US" w:eastAsia="zh-CN"/>
        </w:rPr>
        <w:t>对于具有充分的安全食用历史，按照情形5申请注册或进行备案的化妆品新原料，仍需按照《化妆品安全评估技术导则》等相关法规和技术原则要求，完成化妆品新原料的安全风险评估。具体</w:t>
      </w:r>
      <w:r>
        <w:rPr>
          <w:rFonts w:hint="default" w:ascii="Times New Roman" w:hAnsi="Times New Roman" w:cs="Times New Roman"/>
          <w:sz w:val="32"/>
          <w:szCs w:val="22"/>
          <w:highlight w:val="none"/>
          <w:lang w:val="en-US" w:eastAsia="zh-CN"/>
        </w:rPr>
        <w:t>可</w:t>
      </w:r>
      <w:r>
        <w:rPr>
          <w:rFonts w:hint="eastAsia" w:ascii="Times New Roman" w:hAnsi="Times New Roman" w:cs="Times New Roman"/>
          <w:sz w:val="32"/>
          <w:szCs w:val="22"/>
          <w:highlight w:val="none"/>
          <w:lang w:eastAsia="zh-CN"/>
        </w:rPr>
        <w:t>结合</w:t>
      </w:r>
      <w:r>
        <w:rPr>
          <w:rFonts w:hint="default" w:ascii="Times New Roman" w:hAnsi="Times New Roman" w:cs="Times New Roman"/>
          <w:sz w:val="32"/>
          <w:szCs w:val="22"/>
          <w:highlight w:val="none"/>
          <w:lang w:eastAsia="zh-CN"/>
        </w:rPr>
        <w:t>安全食用历史</w:t>
      </w:r>
      <w:r>
        <w:rPr>
          <w:rFonts w:hint="eastAsia" w:ascii="Times New Roman" w:hAnsi="Times New Roman" w:cs="Times New Roman"/>
          <w:sz w:val="32"/>
          <w:szCs w:val="22"/>
          <w:highlight w:val="none"/>
          <w:lang w:eastAsia="zh-CN"/>
        </w:rPr>
        <w:t>相关数据信息</w:t>
      </w:r>
      <w:r>
        <w:rPr>
          <w:rFonts w:hint="default" w:ascii="Times New Roman" w:hAnsi="Times New Roman" w:cs="Times New Roman"/>
          <w:sz w:val="32"/>
          <w:szCs w:val="22"/>
          <w:highlight w:val="none"/>
          <w:lang w:eastAsia="zh-CN"/>
        </w:rPr>
        <w:t>，</w:t>
      </w:r>
      <w:r>
        <w:rPr>
          <w:rFonts w:hint="eastAsia" w:ascii="Times New Roman" w:hAnsi="Times New Roman" w:cs="Times New Roman"/>
          <w:sz w:val="32"/>
          <w:szCs w:val="22"/>
          <w:highlight w:val="none"/>
          <w:lang w:eastAsia="zh-CN"/>
        </w:rPr>
        <w:t>并根据</w:t>
      </w:r>
      <w:r>
        <w:rPr>
          <w:rFonts w:hint="eastAsia" w:ascii="Times New Roman" w:hAnsi="Times New Roman" w:cs="Times New Roman"/>
          <w:highlight w:val="none"/>
          <w:lang w:val="en-US" w:eastAsia="zh-CN"/>
        </w:rPr>
        <w:t>原料的暴露量、使用</w:t>
      </w:r>
      <w:r>
        <w:rPr>
          <w:rFonts w:hint="eastAsia" w:ascii="Times New Roman" w:hAnsi="Times New Roman" w:cs="Times New Roman"/>
          <w:lang w:val="en-US" w:eastAsia="zh-CN"/>
        </w:rPr>
        <w:t>方式等，对原料在化妆品中使用的安全性进行充分评估。有明确食用限量的，应</w:t>
      </w:r>
      <w:r>
        <w:rPr>
          <w:rFonts w:hint="eastAsia" w:ascii="Times New Roman" w:hAnsi="Times New Roman" w:cs="Times New Roman"/>
          <w:lang w:eastAsia="zh-CN"/>
        </w:rPr>
        <w:t>根据原料在化妆品中的适用或使用范围等，确定原料的安全使用量；</w:t>
      </w:r>
      <w:r>
        <w:rPr>
          <w:rFonts w:hint="eastAsia" w:ascii="Times New Roman" w:hAnsi="Times New Roman" w:cs="Times New Roman"/>
          <w:lang w:val="en-US" w:eastAsia="zh-CN"/>
        </w:rPr>
        <w:t>无明确</w:t>
      </w:r>
      <w:r>
        <w:rPr>
          <w:rFonts w:hint="eastAsia" w:ascii="仿宋" w:hAnsi="仿宋" w:cs="仿宋"/>
          <w:lang w:val="en-US" w:eastAsia="zh-CN"/>
        </w:rPr>
        <w:t>食用限量的，应对</w:t>
      </w:r>
      <w:r>
        <w:rPr>
          <w:rFonts w:hint="eastAsia" w:ascii="仿宋" w:hAnsi="仿宋" w:eastAsia="仿宋" w:cs="仿宋"/>
          <w:sz w:val="32"/>
          <w:szCs w:val="32"/>
        </w:rPr>
        <w:t>人群流行病学资料</w:t>
      </w:r>
      <w:r>
        <w:rPr>
          <w:rFonts w:hint="eastAsia" w:ascii="仿宋" w:hAnsi="仿宋" w:eastAsia="仿宋" w:cs="仿宋"/>
          <w:sz w:val="32"/>
          <w:szCs w:val="32"/>
          <w:lang w:eastAsia="zh-CN"/>
        </w:rPr>
        <w:t>、人群食用习惯</w:t>
      </w:r>
      <w:r>
        <w:rPr>
          <w:rFonts w:hint="eastAsia" w:ascii="仿宋" w:hAnsi="仿宋" w:eastAsia="仿宋" w:cs="仿宋"/>
          <w:sz w:val="32"/>
          <w:szCs w:val="32"/>
          <w:lang w:val="en-US" w:eastAsia="zh-CN"/>
        </w:rPr>
        <w:t>常规安全用量</w:t>
      </w:r>
      <w:r>
        <w:rPr>
          <w:rFonts w:hint="eastAsia" w:ascii="仿宋" w:hAnsi="仿宋" w:eastAsia="仿宋" w:cs="仿宋"/>
          <w:sz w:val="32"/>
          <w:szCs w:val="32"/>
          <w:lang w:eastAsia="zh-CN"/>
        </w:rPr>
        <w:t>等信息开展必要研究</w:t>
      </w:r>
      <w:bookmarkStart w:id="28" w:name="_GoBack"/>
      <w:bookmarkEnd w:id="28"/>
      <w:r>
        <w:rPr>
          <w:rFonts w:hint="eastAsia" w:ascii="仿宋" w:hAnsi="仿宋" w:eastAsia="仿宋" w:cs="仿宋"/>
          <w:sz w:val="32"/>
          <w:szCs w:val="32"/>
          <w:lang w:eastAsia="zh-CN"/>
        </w:rPr>
        <w:t>，并结合原料在化妆品中的暴露情况开展合理评估。</w:t>
      </w:r>
    </w:p>
    <w:sectPr>
      <w:footerReference r:id="rId11"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ind w:firstLine="36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5268E"/>
    <w:multiLevelType w:val="singleLevel"/>
    <w:tmpl w:val="913526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3YWJkNDhkM2Y5YmE5MTgxZDc5ZDJjZTc4NDQ1NjYifQ=="/>
  </w:docVars>
  <w:rsids>
    <w:rsidRoot w:val="503D45F6"/>
    <w:rsid w:val="00492757"/>
    <w:rsid w:val="005020F0"/>
    <w:rsid w:val="007B254F"/>
    <w:rsid w:val="008E433C"/>
    <w:rsid w:val="00A17397"/>
    <w:rsid w:val="00EE3B7F"/>
    <w:rsid w:val="00EE5ADB"/>
    <w:rsid w:val="01215CD4"/>
    <w:rsid w:val="014B36BC"/>
    <w:rsid w:val="01B20346"/>
    <w:rsid w:val="02084093"/>
    <w:rsid w:val="020A533B"/>
    <w:rsid w:val="02505DF6"/>
    <w:rsid w:val="02D51995"/>
    <w:rsid w:val="02FF7BF3"/>
    <w:rsid w:val="03266551"/>
    <w:rsid w:val="039B0B63"/>
    <w:rsid w:val="04043713"/>
    <w:rsid w:val="04497378"/>
    <w:rsid w:val="0563172C"/>
    <w:rsid w:val="059D6883"/>
    <w:rsid w:val="05B31994"/>
    <w:rsid w:val="060317A8"/>
    <w:rsid w:val="060663F2"/>
    <w:rsid w:val="06E64512"/>
    <w:rsid w:val="06EE00CB"/>
    <w:rsid w:val="06F37A6F"/>
    <w:rsid w:val="071B08DB"/>
    <w:rsid w:val="071F6D48"/>
    <w:rsid w:val="075F6D46"/>
    <w:rsid w:val="07AA5A78"/>
    <w:rsid w:val="07FC2953"/>
    <w:rsid w:val="08352400"/>
    <w:rsid w:val="08566235"/>
    <w:rsid w:val="088932C4"/>
    <w:rsid w:val="08A70B11"/>
    <w:rsid w:val="08F12CCF"/>
    <w:rsid w:val="08F80650"/>
    <w:rsid w:val="09552FEF"/>
    <w:rsid w:val="09835D9C"/>
    <w:rsid w:val="09C42B50"/>
    <w:rsid w:val="0A5151D8"/>
    <w:rsid w:val="0A5922DF"/>
    <w:rsid w:val="0B875A68"/>
    <w:rsid w:val="0BAA604E"/>
    <w:rsid w:val="0C083FBC"/>
    <w:rsid w:val="0C1E733C"/>
    <w:rsid w:val="0CC550C6"/>
    <w:rsid w:val="0D553231"/>
    <w:rsid w:val="0D646657"/>
    <w:rsid w:val="0D750E08"/>
    <w:rsid w:val="0DE41578"/>
    <w:rsid w:val="0E1A6942"/>
    <w:rsid w:val="0E1D7FF6"/>
    <w:rsid w:val="0E9644C4"/>
    <w:rsid w:val="0EA33418"/>
    <w:rsid w:val="0F470B37"/>
    <w:rsid w:val="0FE63AC6"/>
    <w:rsid w:val="0FF360CA"/>
    <w:rsid w:val="10362ACE"/>
    <w:rsid w:val="10CB0F1B"/>
    <w:rsid w:val="10D40D6D"/>
    <w:rsid w:val="11293D76"/>
    <w:rsid w:val="114015F3"/>
    <w:rsid w:val="11420CBB"/>
    <w:rsid w:val="11736908"/>
    <w:rsid w:val="117E379B"/>
    <w:rsid w:val="12912E05"/>
    <w:rsid w:val="12BC78AF"/>
    <w:rsid w:val="12D315B3"/>
    <w:rsid w:val="13052B3C"/>
    <w:rsid w:val="13217712"/>
    <w:rsid w:val="13635F0C"/>
    <w:rsid w:val="13BB3ABE"/>
    <w:rsid w:val="14400CD8"/>
    <w:rsid w:val="144878C2"/>
    <w:rsid w:val="1481490C"/>
    <w:rsid w:val="149A777C"/>
    <w:rsid w:val="14E31122"/>
    <w:rsid w:val="15003A82"/>
    <w:rsid w:val="15DE716E"/>
    <w:rsid w:val="15EE5FD1"/>
    <w:rsid w:val="16A248E1"/>
    <w:rsid w:val="17312619"/>
    <w:rsid w:val="177D47DC"/>
    <w:rsid w:val="17C05958"/>
    <w:rsid w:val="17FC33CE"/>
    <w:rsid w:val="182A52EE"/>
    <w:rsid w:val="182E3881"/>
    <w:rsid w:val="18C620FF"/>
    <w:rsid w:val="18EA49A9"/>
    <w:rsid w:val="197467ED"/>
    <w:rsid w:val="19787EBD"/>
    <w:rsid w:val="19B40DA5"/>
    <w:rsid w:val="19FA7CBC"/>
    <w:rsid w:val="1A130087"/>
    <w:rsid w:val="1A907657"/>
    <w:rsid w:val="1A93570A"/>
    <w:rsid w:val="1B1010D6"/>
    <w:rsid w:val="1B23671D"/>
    <w:rsid w:val="1B7E0EDF"/>
    <w:rsid w:val="1B9E0E49"/>
    <w:rsid w:val="1BE20386"/>
    <w:rsid w:val="1C2E62B0"/>
    <w:rsid w:val="1C9A7A19"/>
    <w:rsid w:val="1D4B1F5B"/>
    <w:rsid w:val="1D905BC0"/>
    <w:rsid w:val="1E380731"/>
    <w:rsid w:val="1F036142"/>
    <w:rsid w:val="1FBB38B7"/>
    <w:rsid w:val="203767C6"/>
    <w:rsid w:val="20592BE1"/>
    <w:rsid w:val="209B6D55"/>
    <w:rsid w:val="20C95670"/>
    <w:rsid w:val="20F326ED"/>
    <w:rsid w:val="216E6483"/>
    <w:rsid w:val="21CD5A04"/>
    <w:rsid w:val="21D947A8"/>
    <w:rsid w:val="22DF6260"/>
    <w:rsid w:val="23496F3C"/>
    <w:rsid w:val="237C2C77"/>
    <w:rsid w:val="23D9620E"/>
    <w:rsid w:val="23DA596A"/>
    <w:rsid w:val="24727DCD"/>
    <w:rsid w:val="24A26904"/>
    <w:rsid w:val="24D67FB9"/>
    <w:rsid w:val="24D740D4"/>
    <w:rsid w:val="255F198E"/>
    <w:rsid w:val="25990037"/>
    <w:rsid w:val="259C53A9"/>
    <w:rsid w:val="26527EB6"/>
    <w:rsid w:val="274C6FFB"/>
    <w:rsid w:val="27640ECD"/>
    <w:rsid w:val="27C37DF5"/>
    <w:rsid w:val="286B170F"/>
    <w:rsid w:val="28B409B4"/>
    <w:rsid w:val="295F7B97"/>
    <w:rsid w:val="29AC1FD3"/>
    <w:rsid w:val="2A4574E1"/>
    <w:rsid w:val="2B3109E2"/>
    <w:rsid w:val="2B585EB3"/>
    <w:rsid w:val="2BD01FA4"/>
    <w:rsid w:val="2C5524AE"/>
    <w:rsid w:val="2D27472A"/>
    <w:rsid w:val="2D867376"/>
    <w:rsid w:val="2DC72F38"/>
    <w:rsid w:val="2E74304B"/>
    <w:rsid w:val="2E7A34C7"/>
    <w:rsid w:val="2E8C12C4"/>
    <w:rsid w:val="2EA97D64"/>
    <w:rsid w:val="2F7C3359"/>
    <w:rsid w:val="30006BD5"/>
    <w:rsid w:val="30446AC1"/>
    <w:rsid w:val="30907616"/>
    <w:rsid w:val="30BC0D4E"/>
    <w:rsid w:val="30D53B71"/>
    <w:rsid w:val="31263130"/>
    <w:rsid w:val="312D1C4B"/>
    <w:rsid w:val="31350B2E"/>
    <w:rsid w:val="317177AC"/>
    <w:rsid w:val="319E1860"/>
    <w:rsid w:val="31C0661C"/>
    <w:rsid w:val="31D86B38"/>
    <w:rsid w:val="326C33FB"/>
    <w:rsid w:val="335A484E"/>
    <w:rsid w:val="340F6B57"/>
    <w:rsid w:val="34842A78"/>
    <w:rsid w:val="34B855F8"/>
    <w:rsid w:val="353B062B"/>
    <w:rsid w:val="35EB7C22"/>
    <w:rsid w:val="36254DAF"/>
    <w:rsid w:val="36B87C32"/>
    <w:rsid w:val="373378C4"/>
    <w:rsid w:val="374159AC"/>
    <w:rsid w:val="375277EF"/>
    <w:rsid w:val="376050B5"/>
    <w:rsid w:val="377063EE"/>
    <w:rsid w:val="378B147A"/>
    <w:rsid w:val="385043C3"/>
    <w:rsid w:val="38E52E0C"/>
    <w:rsid w:val="38F9403B"/>
    <w:rsid w:val="3A322081"/>
    <w:rsid w:val="3AD46C94"/>
    <w:rsid w:val="3AD77EA7"/>
    <w:rsid w:val="3B7E5EF0"/>
    <w:rsid w:val="3BD17B72"/>
    <w:rsid w:val="3C047CD1"/>
    <w:rsid w:val="3C0C45FD"/>
    <w:rsid w:val="3C3E5CA8"/>
    <w:rsid w:val="3CCD42E3"/>
    <w:rsid w:val="3CE37662"/>
    <w:rsid w:val="3D5A7CFE"/>
    <w:rsid w:val="3DB94353"/>
    <w:rsid w:val="3DD87013"/>
    <w:rsid w:val="3DED1795"/>
    <w:rsid w:val="3E014244"/>
    <w:rsid w:val="3E0B6A3A"/>
    <w:rsid w:val="3E9627AB"/>
    <w:rsid w:val="3EA230E4"/>
    <w:rsid w:val="3EC45A53"/>
    <w:rsid w:val="3EFA6090"/>
    <w:rsid w:val="40502CE1"/>
    <w:rsid w:val="40515F76"/>
    <w:rsid w:val="40A86BF9"/>
    <w:rsid w:val="40B206C8"/>
    <w:rsid w:val="40D84324"/>
    <w:rsid w:val="40E14463"/>
    <w:rsid w:val="40F1268F"/>
    <w:rsid w:val="40FD201B"/>
    <w:rsid w:val="415D390F"/>
    <w:rsid w:val="419A025A"/>
    <w:rsid w:val="41F6388D"/>
    <w:rsid w:val="421D7172"/>
    <w:rsid w:val="42B45D29"/>
    <w:rsid w:val="42D77C69"/>
    <w:rsid w:val="42F87742"/>
    <w:rsid w:val="43FF00D3"/>
    <w:rsid w:val="441856C3"/>
    <w:rsid w:val="44B10046"/>
    <w:rsid w:val="44D76C0D"/>
    <w:rsid w:val="462E6F30"/>
    <w:rsid w:val="46656B21"/>
    <w:rsid w:val="466C23E9"/>
    <w:rsid w:val="472C5BD7"/>
    <w:rsid w:val="47571378"/>
    <w:rsid w:val="477D6972"/>
    <w:rsid w:val="47A8634D"/>
    <w:rsid w:val="480F755D"/>
    <w:rsid w:val="485B27A2"/>
    <w:rsid w:val="486D499A"/>
    <w:rsid w:val="48D4584F"/>
    <w:rsid w:val="48E72288"/>
    <w:rsid w:val="49036944"/>
    <w:rsid w:val="494B6CBB"/>
    <w:rsid w:val="499555AC"/>
    <w:rsid w:val="49F033BE"/>
    <w:rsid w:val="4A360912"/>
    <w:rsid w:val="4BCA0873"/>
    <w:rsid w:val="4C505D2B"/>
    <w:rsid w:val="4C574D1B"/>
    <w:rsid w:val="4CDA0AB3"/>
    <w:rsid w:val="4D243AAB"/>
    <w:rsid w:val="4D37030D"/>
    <w:rsid w:val="4E387731"/>
    <w:rsid w:val="4E5C007D"/>
    <w:rsid w:val="4EFF7763"/>
    <w:rsid w:val="4FE85BEB"/>
    <w:rsid w:val="503D45F6"/>
    <w:rsid w:val="506D5769"/>
    <w:rsid w:val="509947B0"/>
    <w:rsid w:val="51927F0A"/>
    <w:rsid w:val="519571C1"/>
    <w:rsid w:val="521A045F"/>
    <w:rsid w:val="52412560"/>
    <w:rsid w:val="524B13B4"/>
    <w:rsid w:val="52602F5C"/>
    <w:rsid w:val="52734B8D"/>
    <w:rsid w:val="53014CEF"/>
    <w:rsid w:val="532D3D01"/>
    <w:rsid w:val="538E5AD6"/>
    <w:rsid w:val="53AD000C"/>
    <w:rsid w:val="54040192"/>
    <w:rsid w:val="54AD3F92"/>
    <w:rsid w:val="54C212F7"/>
    <w:rsid w:val="5501154E"/>
    <w:rsid w:val="5511546E"/>
    <w:rsid w:val="559E38A3"/>
    <w:rsid w:val="55CB585D"/>
    <w:rsid w:val="562E0261"/>
    <w:rsid w:val="56344BB2"/>
    <w:rsid w:val="567A32F2"/>
    <w:rsid w:val="57A44166"/>
    <w:rsid w:val="57D904B8"/>
    <w:rsid w:val="58426A8E"/>
    <w:rsid w:val="58562F86"/>
    <w:rsid w:val="594A112E"/>
    <w:rsid w:val="59701E26"/>
    <w:rsid w:val="597B4753"/>
    <w:rsid w:val="59B843A4"/>
    <w:rsid w:val="59BC2C49"/>
    <w:rsid w:val="59CB2135"/>
    <w:rsid w:val="59E4254F"/>
    <w:rsid w:val="5A3B41BB"/>
    <w:rsid w:val="5A6608EB"/>
    <w:rsid w:val="5A8F3085"/>
    <w:rsid w:val="5AAC1679"/>
    <w:rsid w:val="5B1B2822"/>
    <w:rsid w:val="5B2757C0"/>
    <w:rsid w:val="5BBA2F5E"/>
    <w:rsid w:val="5BF1724E"/>
    <w:rsid w:val="5C0278D7"/>
    <w:rsid w:val="5C4F54D6"/>
    <w:rsid w:val="5C8F2147"/>
    <w:rsid w:val="5CB3087B"/>
    <w:rsid w:val="5D5F2696"/>
    <w:rsid w:val="5D8365CC"/>
    <w:rsid w:val="5DD60DF1"/>
    <w:rsid w:val="5DDD6D59"/>
    <w:rsid w:val="5E0E0DF6"/>
    <w:rsid w:val="5FEA701E"/>
    <w:rsid w:val="5FED2422"/>
    <w:rsid w:val="60055270"/>
    <w:rsid w:val="604F3614"/>
    <w:rsid w:val="60FC01A1"/>
    <w:rsid w:val="61381EB3"/>
    <w:rsid w:val="6166743A"/>
    <w:rsid w:val="616C54B0"/>
    <w:rsid w:val="61F730E4"/>
    <w:rsid w:val="62A468BF"/>
    <w:rsid w:val="63782C1A"/>
    <w:rsid w:val="63B02816"/>
    <w:rsid w:val="64376335"/>
    <w:rsid w:val="64870E4D"/>
    <w:rsid w:val="64E75195"/>
    <w:rsid w:val="65530F79"/>
    <w:rsid w:val="669246D8"/>
    <w:rsid w:val="66B31BF8"/>
    <w:rsid w:val="66BE5951"/>
    <w:rsid w:val="68264152"/>
    <w:rsid w:val="68750E86"/>
    <w:rsid w:val="68961A6F"/>
    <w:rsid w:val="69620250"/>
    <w:rsid w:val="699D62A6"/>
    <w:rsid w:val="69E76AEC"/>
    <w:rsid w:val="69E879C6"/>
    <w:rsid w:val="6A52152F"/>
    <w:rsid w:val="6AAF0798"/>
    <w:rsid w:val="6B056872"/>
    <w:rsid w:val="6B3C5BB6"/>
    <w:rsid w:val="6B7B2FD8"/>
    <w:rsid w:val="6B8D0D5A"/>
    <w:rsid w:val="6BA01D5F"/>
    <w:rsid w:val="6C813345"/>
    <w:rsid w:val="6C8C6B1F"/>
    <w:rsid w:val="6D5E495F"/>
    <w:rsid w:val="6D6630B4"/>
    <w:rsid w:val="6D6C4D14"/>
    <w:rsid w:val="6D836378"/>
    <w:rsid w:val="6DBD711E"/>
    <w:rsid w:val="6DD96BEE"/>
    <w:rsid w:val="6E04614D"/>
    <w:rsid w:val="6E405E13"/>
    <w:rsid w:val="6E647D14"/>
    <w:rsid w:val="6EDA1DC4"/>
    <w:rsid w:val="6F317260"/>
    <w:rsid w:val="70451C25"/>
    <w:rsid w:val="706933FF"/>
    <w:rsid w:val="70A16FB7"/>
    <w:rsid w:val="70B02CF6"/>
    <w:rsid w:val="70BF62C0"/>
    <w:rsid w:val="70DD5B9B"/>
    <w:rsid w:val="70F96E79"/>
    <w:rsid w:val="71A02533"/>
    <w:rsid w:val="71B16C93"/>
    <w:rsid w:val="71D15516"/>
    <w:rsid w:val="71DB657E"/>
    <w:rsid w:val="72211AA5"/>
    <w:rsid w:val="72477770"/>
    <w:rsid w:val="7295497F"/>
    <w:rsid w:val="72A06B51"/>
    <w:rsid w:val="72A42906"/>
    <w:rsid w:val="740718AD"/>
    <w:rsid w:val="7419608F"/>
    <w:rsid w:val="745F4EF0"/>
    <w:rsid w:val="74DA666D"/>
    <w:rsid w:val="74DD260E"/>
    <w:rsid w:val="75C31803"/>
    <w:rsid w:val="768550F4"/>
    <w:rsid w:val="76A41635"/>
    <w:rsid w:val="76ED3052"/>
    <w:rsid w:val="772267CF"/>
    <w:rsid w:val="77492E55"/>
    <w:rsid w:val="777E77D1"/>
    <w:rsid w:val="781D3F14"/>
    <w:rsid w:val="782D565A"/>
    <w:rsid w:val="78464274"/>
    <w:rsid w:val="785E3A65"/>
    <w:rsid w:val="78AA6CAB"/>
    <w:rsid w:val="79603040"/>
    <w:rsid w:val="7967668A"/>
    <w:rsid w:val="798E3ED6"/>
    <w:rsid w:val="7A5B32F9"/>
    <w:rsid w:val="7AB10FD4"/>
    <w:rsid w:val="7AFB3B98"/>
    <w:rsid w:val="7B1C3B93"/>
    <w:rsid w:val="7B476A33"/>
    <w:rsid w:val="7B616325"/>
    <w:rsid w:val="7B6763B9"/>
    <w:rsid w:val="7B7D5D13"/>
    <w:rsid w:val="7C2E4811"/>
    <w:rsid w:val="7C463876"/>
    <w:rsid w:val="7CCA16C9"/>
    <w:rsid w:val="7DFB5E34"/>
    <w:rsid w:val="7E584AB3"/>
    <w:rsid w:val="7E6E42D6"/>
    <w:rsid w:val="7E9E4BBC"/>
    <w:rsid w:val="7EDB7BBE"/>
    <w:rsid w:val="7EDF0216"/>
    <w:rsid w:val="7F0D1D41"/>
    <w:rsid w:val="7F144E7E"/>
    <w:rsid w:val="7F2822B2"/>
    <w:rsid w:val="7F4057D8"/>
    <w:rsid w:val="7F6250E4"/>
    <w:rsid w:val="7F95245E"/>
    <w:rsid w:val="7F977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1446" w:firstLineChars="200"/>
      <w:jc w:val="both"/>
    </w:pPr>
    <w:rPr>
      <w:rFonts w:eastAsia="仿宋" w:asciiTheme="minorHAnsi" w:hAnsiTheme="minorHAnsi" w:cstheme="minorBidi"/>
      <w:kern w:val="2"/>
      <w:sz w:val="32"/>
      <w:szCs w:val="22"/>
      <w:lang w:val="en-US" w:eastAsia="zh-CN" w:bidi="ar-SA"/>
    </w:rPr>
  </w:style>
  <w:style w:type="paragraph" w:styleId="2">
    <w:name w:val="heading 1"/>
    <w:basedOn w:val="1"/>
    <w:next w:val="1"/>
    <w:autoRedefine/>
    <w:qFormat/>
    <w:uiPriority w:val="0"/>
    <w:pPr>
      <w:jc w:val="left"/>
      <w:outlineLvl w:val="0"/>
    </w:pPr>
    <w:rPr>
      <w:rFonts w:hint="eastAsia" w:ascii="宋体" w:hAnsi="宋体" w:eastAsia="黑体" w:cs="Times New Roman"/>
      <w:bCs/>
      <w:kern w:val="44"/>
      <w:szCs w:val="48"/>
    </w:rPr>
  </w:style>
  <w:style w:type="paragraph" w:styleId="3">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alloon Text"/>
    <w:basedOn w:val="1"/>
    <w:link w:val="19"/>
    <w:autoRedefine/>
    <w:qFormat/>
    <w:uiPriority w:val="0"/>
    <w:pPr>
      <w:spacing w:line="240" w:lineRule="auto"/>
    </w:pPr>
    <w:rPr>
      <w:sz w:val="18"/>
      <w:szCs w:val="18"/>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toc 1"/>
    <w:basedOn w:val="1"/>
    <w:next w:val="1"/>
    <w:autoRedefine/>
    <w:qFormat/>
    <w:uiPriority w:val="0"/>
  </w:style>
  <w:style w:type="paragraph" w:styleId="10">
    <w:name w:val="Normal (Web)"/>
    <w:basedOn w:val="1"/>
    <w:autoRedefine/>
    <w:qFormat/>
    <w:uiPriority w:val="0"/>
    <w:pPr>
      <w:spacing w:beforeAutospacing="1" w:afterAutospacing="1"/>
      <w:jc w:val="left"/>
    </w:pPr>
    <w:rPr>
      <w:rFonts w:cs="Times New Roman"/>
      <w:kern w:val="0"/>
      <w:sz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autoRedefine/>
    <w:qFormat/>
    <w:uiPriority w:val="0"/>
    <w:rPr>
      <w:b/>
    </w:rPr>
  </w:style>
  <w:style w:type="character" w:styleId="15">
    <w:name w:val="Hyperlink"/>
    <w:basedOn w:val="13"/>
    <w:autoRedefine/>
    <w:qFormat/>
    <w:uiPriority w:val="0"/>
    <w:rPr>
      <w:color w:val="0000FF"/>
      <w:u w:val="single"/>
    </w:rPr>
  </w:style>
  <w:style w:type="character" w:styleId="16">
    <w:name w:val="annotation reference"/>
    <w:basedOn w:val="13"/>
    <w:autoRedefine/>
    <w:qFormat/>
    <w:uiPriority w:val="0"/>
    <w:rPr>
      <w:sz w:val="21"/>
      <w:szCs w:val="21"/>
    </w:rPr>
  </w:style>
  <w:style w:type="paragraph" w:styleId="17">
    <w:name w:val="List Paragraph"/>
    <w:basedOn w:val="1"/>
    <w:autoRedefine/>
    <w:qFormat/>
    <w:uiPriority w:val="34"/>
    <w:pPr>
      <w:ind w:firstLine="420"/>
    </w:pPr>
  </w:style>
  <w:style w:type="paragraph" w:customStyle="1" w:styleId="18">
    <w:name w:val="WPSOffice手动目录 1"/>
    <w:autoRedefine/>
    <w:qFormat/>
    <w:uiPriority w:val="0"/>
    <w:rPr>
      <w:rFonts w:ascii="Times New Roman" w:hAnsi="Times New Roman" w:eastAsia="宋体" w:cs="Times New Roman"/>
      <w:lang w:val="en-US" w:eastAsia="zh-CN" w:bidi="ar-SA"/>
    </w:rPr>
  </w:style>
  <w:style w:type="character" w:customStyle="1" w:styleId="19">
    <w:name w:val="批注框文本 Char"/>
    <w:basedOn w:val="13"/>
    <w:link w:val="6"/>
    <w:autoRedefine/>
    <w:qFormat/>
    <w:uiPriority w:val="0"/>
    <w:rPr>
      <w:rFonts w:eastAsia="仿宋"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3085</Words>
  <Characters>3086</Characters>
  <Lines>1</Lines>
  <Paragraphs>4</Paragraphs>
  <TotalTime>14</TotalTime>
  <ScaleCrop>false</ScaleCrop>
  <LinksUpToDate>false</LinksUpToDate>
  <CharactersWithSpaces>3086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2023-03-30T01:37:00Z</dcterms:created>
  <dc:creator>王茜</dc:creator>
  <cp:lastModifiedBy>王茜</cp:lastModifiedBy>
  <cp:lastPrinted>2024-03-28T02:18:00Z</cp:lastPrinted>
  <dcterms:modified xsi:type="dcterms:W3CDTF">2024-05-29T01:33:36Z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486E7C38CEB3406F8146F8EAE0402A1B_13</vt:lpwstr>
  </property>
</Properties>
</file>