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C15" w:rsidRDefault="00D80C15">
      <w:pPr>
        <w:spacing w:line="660" w:lineRule="exact"/>
        <w:jc w:val="center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宋体"/>
          <w:sz w:val="32"/>
          <w:szCs w:val="32"/>
        </w:rPr>
        <w:t>GB/T 16886.7-2015</w:t>
      </w:r>
    </w:p>
    <w:p w:rsidR="00D80C15" w:rsidRPr="005762A2" w:rsidRDefault="00D80C15">
      <w:pPr>
        <w:spacing w:line="660" w:lineRule="exact"/>
        <w:jc w:val="center"/>
        <w:rPr>
          <w:rFonts w:ascii="方正小标宋简体" w:eastAsia="方正小标宋简体" w:hAnsi="宋体" w:cs="方正小标宋简体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《医疗器械生物</w:t>
      </w:r>
      <w:r w:rsidRPr="005762A2">
        <w:rPr>
          <w:rFonts w:ascii="方正小标宋简体" w:eastAsia="方正小标宋简体" w:hAnsi="宋体" w:cs="方正小标宋简体" w:hint="eastAsia"/>
          <w:sz w:val="32"/>
          <w:szCs w:val="32"/>
        </w:rPr>
        <w:t>学评价</w:t>
      </w:r>
      <w:r w:rsidRPr="005762A2">
        <w:rPr>
          <w:rFonts w:ascii="方正小标宋简体" w:eastAsia="方正小标宋简体" w:hAnsi="宋体" w:cs="方正小标宋简体"/>
          <w:sz w:val="32"/>
          <w:szCs w:val="32"/>
        </w:rPr>
        <w:t xml:space="preserve"> </w:t>
      </w:r>
      <w:r w:rsidRPr="005762A2">
        <w:rPr>
          <w:rFonts w:ascii="方正小标宋简体" w:eastAsia="方正小标宋简体" w:hAnsi="宋体" w:cs="方正小标宋简体" w:hint="eastAsia"/>
          <w:sz w:val="32"/>
          <w:szCs w:val="32"/>
        </w:rPr>
        <w:t>第</w:t>
      </w:r>
      <w:r w:rsidRPr="005762A2">
        <w:rPr>
          <w:rFonts w:ascii="方正小标宋简体" w:eastAsia="方正小标宋简体" w:hAnsi="宋体" w:cs="方正小标宋简体"/>
          <w:sz w:val="32"/>
          <w:szCs w:val="32"/>
        </w:rPr>
        <w:t>7</w:t>
      </w:r>
      <w:r w:rsidRPr="005762A2">
        <w:rPr>
          <w:rFonts w:ascii="方正小标宋简体" w:eastAsia="方正小标宋简体" w:hAnsi="宋体" w:cs="方正小标宋简体" w:hint="eastAsia"/>
          <w:sz w:val="32"/>
          <w:szCs w:val="32"/>
        </w:rPr>
        <w:t>部分：环氧乙烷灭菌残留量》</w:t>
      </w:r>
    </w:p>
    <w:p w:rsidR="00D80C15" w:rsidRDefault="00D80C15">
      <w:pPr>
        <w:widowControl/>
        <w:spacing w:line="600" w:lineRule="exact"/>
        <w:jc w:val="center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宋体" w:cs="方正小标宋简体" w:hint="eastAsia"/>
          <w:sz w:val="32"/>
          <w:szCs w:val="32"/>
        </w:rPr>
        <w:t>第</w:t>
      </w:r>
      <w:r>
        <w:rPr>
          <w:rFonts w:ascii="方正小标宋简体" w:eastAsia="方正小标宋简体" w:hAnsi="宋体" w:cs="方正小标宋简体"/>
          <w:sz w:val="32"/>
          <w:szCs w:val="32"/>
        </w:rPr>
        <w:t>1</w:t>
      </w:r>
      <w:r>
        <w:rPr>
          <w:rFonts w:ascii="方正小标宋简体" w:eastAsia="方正小标宋简体" w:hAnsi="宋体" w:cs="方正小标宋简体" w:hint="eastAsia"/>
          <w:sz w:val="32"/>
          <w:szCs w:val="32"/>
        </w:rPr>
        <w:t>号修改单编制说明</w:t>
      </w:r>
    </w:p>
    <w:p w:rsidR="00D80C15" w:rsidRDefault="00D80C15" w:rsidP="00515F95">
      <w:pPr>
        <w:spacing w:beforeLines="100" w:line="360" w:lineRule="auto"/>
        <w:rPr>
          <w:rFonts w:ascii="宋体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一、工作简况</w:t>
      </w:r>
    </w:p>
    <w:p w:rsidR="00D80C15" w:rsidRDefault="00D80C15">
      <w:pPr>
        <w:spacing w:line="360" w:lineRule="auto"/>
        <w:rPr>
          <w:rFonts w:ascii="宋体"/>
          <w:b/>
          <w:bCs/>
          <w:color w:val="000000"/>
          <w:sz w:val="24"/>
          <w:szCs w:val="24"/>
        </w:rPr>
      </w:pPr>
      <w:r>
        <w:rPr>
          <w:rFonts w:ascii="宋体" w:hAnsi="宋体" w:cs="宋体"/>
          <w:b/>
          <w:bCs/>
          <w:color w:val="000000"/>
          <w:sz w:val="24"/>
          <w:szCs w:val="24"/>
        </w:rPr>
        <w:t>1.</w:t>
      </w: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任务来源</w:t>
      </w:r>
    </w:p>
    <w:p w:rsidR="00D80C15" w:rsidRDefault="00D80C15" w:rsidP="009B2214">
      <w:pPr>
        <w:spacing w:line="360" w:lineRule="auto"/>
        <w:ind w:firstLineChars="200" w:firstLine="31680"/>
        <w:rPr>
          <w:kern w:val="0"/>
          <w:sz w:val="24"/>
          <w:szCs w:val="24"/>
        </w:rPr>
      </w:pPr>
      <w:bookmarkStart w:id="0" w:name="OLE_LINK15"/>
      <w:r>
        <w:rPr>
          <w:rFonts w:hint="eastAsia"/>
          <w:kern w:val="0"/>
          <w:sz w:val="24"/>
          <w:szCs w:val="24"/>
        </w:rPr>
        <w:t>全国医疗器械生物学评价标准化技术委员会根据</w:t>
      </w:r>
      <w:r>
        <w:rPr>
          <w:kern w:val="0"/>
          <w:sz w:val="24"/>
          <w:szCs w:val="24"/>
        </w:rPr>
        <w:t>ISO 10993-7:2008/AMD 1:2019</w:t>
      </w:r>
      <w:r>
        <w:rPr>
          <w:rFonts w:hint="eastAsia"/>
          <w:kern w:val="0"/>
          <w:sz w:val="24"/>
          <w:szCs w:val="24"/>
        </w:rPr>
        <w:t>，启动了</w:t>
      </w:r>
      <w:r>
        <w:rPr>
          <w:kern w:val="0"/>
          <w:sz w:val="24"/>
          <w:szCs w:val="24"/>
        </w:rPr>
        <w:t>GB/T 16886.7-2015</w:t>
      </w:r>
      <w:r>
        <w:rPr>
          <w:rFonts w:hint="eastAsia"/>
          <w:kern w:val="0"/>
          <w:sz w:val="24"/>
          <w:szCs w:val="24"/>
        </w:rPr>
        <w:t>《医疗器械生物学评价</w:t>
      </w:r>
      <w:r>
        <w:rPr>
          <w:kern w:val="0"/>
          <w:sz w:val="24"/>
          <w:szCs w:val="24"/>
        </w:rPr>
        <w:t xml:space="preserve"> </w:t>
      </w:r>
      <w:r>
        <w:rPr>
          <w:rFonts w:hint="eastAsia"/>
          <w:kern w:val="0"/>
          <w:sz w:val="24"/>
          <w:szCs w:val="24"/>
        </w:rPr>
        <w:t>第</w:t>
      </w:r>
      <w:r>
        <w:rPr>
          <w:kern w:val="0"/>
          <w:sz w:val="24"/>
          <w:szCs w:val="24"/>
        </w:rPr>
        <w:t>7</w:t>
      </w:r>
      <w:r>
        <w:rPr>
          <w:rFonts w:hint="eastAsia"/>
          <w:kern w:val="0"/>
          <w:sz w:val="24"/>
          <w:szCs w:val="24"/>
        </w:rPr>
        <w:t>部分：环氧乙烷灭菌残留量》标准修改单的相关工作。</w:t>
      </w:r>
    </w:p>
    <w:p w:rsidR="00D80C15" w:rsidRDefault="00D80C15">
      <w:pPr>
        <w:spacing w:line="360" w:lineRule="auto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2.</w:t>
      </w:r>
      <w:r>
        <w:rPr>
          <w:rFonts w:hint="eastAsia"/>
          <w:b/>
          <w:bCs/>
          <w:color w:val="000000"/>
          <w:sz w:val="24"/>
          <w:szCs w:val="24"/>
        </w:rPr>
        <w:t>主要工作过程</w:t>
      </w:r>
    </w:p>
    <w:bookmarkEnd w:id="0"/>
    <w:p w:rsidR="00D80C15" w:rsidRDefault="00D80C15" w:rsidP="009D5D92">
      <w:pPr>
        <w:spacing w:line="360" w:lineRule="auto"/>
        <w:ind w:firstLineChars="200" w:firstLine="31680"/>
        <w:rPr>
          <w:sz w:val="24"/>
        </w:rPr>
      </w:pPr>
      <w:r>
        <w:rPr>
          <w:kern w:val="0"/>
          <w:sz w:val="24"/>
          <w:szCs w:val="24"/>
        </w:rPr>
        <w:t>ISO 10993-7:2008/AMD 1:2019</w:t>
      </w:r>
      <w:r>
        <w:rPr>
          <w:rFonts w:hint="eastAsia"/>
          <w:kern w:val="0"/>
          <w:sz w:val="24"/>
          <w:szCs w:val="24"/>
        </w:rPr>
        <w:t>发布后，</w:t>
      </w:r>
      <w:r>
        <w:rPr>
          <w:rFonts w:hint="eastAsia"/>
          <w:sz w:val="24"/>
        </w:rPr>
        <w:t>秘书处立即成立了</w:t>
      </w:r>
      <w:r>
        <w:rPr>
          <w:rFonts w:hint="eastAsia"/>
          <w:kern w:val="0"/>
          <w:sz w:val="24"/>
          <w:szCs w:val="24"/>
        </w:rPr>
        <w:t>修改单</w:t>
      </w:r>
      <w:r>
        <w:rPr>
          <w:rFonts w:hint="eastAsia"/>
          <w:sz w:val="24"/>
        </w:rPr>
        <w:t>起草工作组，对标准</w:t>
      </w:r>
      <w:r>
        <w:rPr>
          <w:rFonts w:hint="eastAsia"/>
          <w:kern w:val="0"/>
          <w:sz w:val="24"/>
          <w:szCs w:val="24"/>
        </w:rPr>
        <w:t>修改单</w:t>
      </w:r>
      <w:r>
        <w:rPr>
          <w:rFonts w:hint="eastAsia"/>
          <w:sz w:val="24"/>
        </w:rPr>
        <w:t>翻译稿进行了仔细的校对和深入研究，在此基础上形成翻译稿。由于修改单原文中规范性引用了</w:t>
      </w:r>
      <w:r>
        <w:rPr>
          <w:sz w:val="24"/>
        </w:rPr>
        <w:t>ISO 10993-1:2018</w:t>
      </w:r>
      <w:r>
        <w:rPr>
          <w:rFonts w:hint="eastAsia"/>
          <w:sz w:val="24"/>
        </w:rPr>
        <w:t>，故待</w:t>
      </w:r>
      <w:r>
        <w:rPr>
          <w:sz w:val="24"/>
        </w:rPr>
        <w:t>GB/T 16886.1-2022</w:t>
      </w:r>
      <w:r>
        <w:rPr>
          <w:rFonts w:hint="eastAsia"/>
          <w:sz w:val="24"/>
        </w:rPr>
        <w:t>发布后，</w:t>
      </w:r>
      <w:r>
        <w:rPr>
          <w:rFonts w:hint="eastAsia"/>
          <w:sz w:val="24"/>
          <w:szCs w:val="24"/>
        </w:rPr>
        <w:t>于</w:t>
      </w:r>
      <w:r>
        <w:rPr>
          <w:sz w:val="24"/>
          <w:szCs w:val="24"/>
        </w:rPr>
        <w:t>2022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>4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</w:rPr>
        <w:t>提出了标准征求意见稿，向各有关单位征求意见。</w:t>
      </w:r>
    </w:p>
    <w:p w:rsidR="00D80C15" w:rsidRDefault="00D80C15">
      <w:pPr>
        <w:spacing w:line="360" w:lineRule="auto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二、标准编制原则和确定标准主要内容的论据</w:t>
      </w:r>
    </w:p>
    <w:p w:rsidR="00D80C15" w:rsidRDefault="00D80C15" w:rsidP="009D5D92">
      <w:pPr>
        <w:spacing w:line="360" w:lineRule="auto"/>
        <w:ind w:firstLineChars="200" w:firstLine="316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以下条款号与标准中一致</w:t>
      </w:r>
    </w:p>
    <w:p w:rsidR="00D80C15" w:rsidRDefault="00D80C15" w:rsidP="009D5D92">
      <w:pPr>
        <w:spacing w:line="360" w:lineRule="auto"/>
        <w:ind w:firstLineChars="200" w:firstLine="316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（一）</w:t>
      </w:r>
      <w:r>
        <w:rPr>
          <w:kern w:val="0"/>
          <w:sz w:val="24"/>
          <w:szCs w:val="24"/>
        </w:rPr>
        <w:t xml:space="preserve">4.2 </w:t>
      </w:r>
      <w:r>
        <w:rPr>
          <w:rFonts w:hint="eastAsia"/>
          <w:kern w:val="0"/>
          <w:sz w:val="24"/>
          <w:szCs w:val="24"/>
        </w:rPr>
        <w:t>器械分类：</w:t>
      </w:r>
    </w:p>
    <w:p w:rsidR="00D80C15" w:rsidRDefault="00D80C15" w:rsidP="009D5D92">
      <w:pPr>
        <w:spacing w:line="360" w:lineRule="auto"/>
        <w:ind w:firstLineChars="200" w:firstLine="316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根据</w:t>
      </w:r>
      <w:r>
        <w:rPr>
          <w:kern w:val="0"/>
          <w:sz w:val="24"/>
          <w:szCs w:val="24"/>
        </w:rPr>
        <w:t>GB/T 16886.1-20XX</w:t>
      </w:r>
      <w:r>
        <w:rPr>
          <w:rFonts w:hint="eastAsia"/>
          <w:kern w:val="0"/>
          <w:sz w:val="24"/>
          <w:szCs w:val="24"/>
        </w:rPr>
        <w:t>的最新定义，将器械的三种分类重新描述如下：</w:t>
      </w:r>
    </w:p>
    <w:p w:rsidR="00D80C15" w:rsidRDefault="00D80C15" w:rsidP="009D5D92">
      <w:pPr>
        <w:spacing w:line="360" w:lineRule="auto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 xml:space="preserve">“a) </w:t>
      </w:r>
      <w:r>
        <w:rPr>
          <w:rFonts w:hint="eastAsia"/>
          <w:sz w:val="24"/>
          <w:szCs w:val="24"/>
        </w:rPr>
        <w:t>短期接触</w:t>
      </w:r>
      <w:r>
        <w:rPr>
          <w:sz w:val="24"/>
          <w:szCs w:val="24"/>
        </w:rPr>
        <w:t xml:space="preserve">(A): </w:t>
      </w:r>
      <w:r>
        <w:rPr>
          <w:rFonts w:hint="eastAsia"/>
          <w:sz w:val="24"/>
          <w:szCs w:val="24"/>
        </w:rPr>
        <w:t>一次、多次或重复接触，累计时间在</w:t>
      </w:r>
      <w:r>
        <w:rPr>
          <w:sz w:val="24"/>
          <w:szCs w:val="24"/>
        </w:rPr>
        <w:t>24h</w:t>
      </w:r>
      <w:r>
        <w:rPr>
          <w:rFonts w:hint="eastAsia"/>
          <w:sz w:val="24"/>
          <w:szCs w:val="24"/>
        </w:rPr>
        <w:t>以内的医疗器械；</w:t>
      </w:r>
    </w:p>
    <w:p w:rsidR="00D80C15" w:rsidRDefault="00D80C15" w:rsidP="009D5D92">
      <w:pPr>
        <w:spacing w:line="360" w:lineRule="auto"/>
        <w:ind w:firstLineChars="200" w:firstLine="31680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rFonts w:hint="eastAsia"/>
          <w:sz w:val="24"/>
          <w:szCs w:val="24"/>
        </w:rPr>
        <w:t>长期接触</w:t>
      </w:r>
      <w:r>
        <w:rPr>
          <w:sz w:val="24"/>
          <w:szCs w:val="24"/>
        </w:rPr>
        <w:t xml:space="preserve">(B): </w:t>
      </w:r>
      <w:r>
        <w:rPr>
          <w:rFonts w:hint="eastAsia"/>
          <w:sz w:val="24"/>
          <w:szCs w:val="24"/>
        </w:rPr>
        <w:t>一次、多次或重复接触，累计时间在</w:t>
      </w:r>
      <w:r>
        <w:rPr>
          <w:sz w:val="24"/>
          <w:szCs w:val="24"/>
        </w:rPr>
        <w:t>24h</w:t>
      </w:r>
      <w:r>
        <w:rPr>
          <w:rFonts w:hint="eastAsia"/>
          <w:sz w:val="24"/>
          <w:szCs w:val="24"/>
        </w:rPr>
        <w:t>以上</w:t>
      </w:r>
      <w:r>
        <w:rPr>
          <w:sz w:val="24"/>
          <w:szCs w:val="24"/>
        </w:rPr>
        <w:t>30d</w:t>
      </w:r>
      <w:r>
        <w:rPr>
          <w:rFonts w:hint="eastAsia"/>
          <w:sz w:val="24"/>
          <w:szCs w:val="24"/>
        </w:rPr>
        <w:t>以内的医疗器械；</w:t>
      </w:r>
    </w:p>
    <w:p w:rsidR="00D80C15" w:rsidRDefault="00D80C15" w:rsidP="009D5D92">
      <w:pPr>
        <w:spacing w:line="360" w:lineRule="auto"/>
        <w:ind w:firstLineChars="200" w:firstLine="31680"/>
        <w:rPr>
          <w:sz w:val="24"/>
          <w:szCs w:val="24"/>
        </w:rPr>
      </w:pPr>
      <w:r>
        <w:rPr>
          <w:kern w:val="0"/>
          <w:sz w:val="24"/>
          <w:szCs w:val="24"/>
        </w:rPr>
        <w:t xml:space="preserve">c) </w:t>
      </w:r>
      <w:r>
        <w:rPr>
          <w:rFonts w:hint="eastAsia"/>
          <w:kern w:val="0"/>
          <w:sz w:val="24"/>
          <w:szCs w:val="24"/>
        </w:rPr>
        <w:t>持久接触</w:t>
      </w:r>
      <w:r>
        <w:rPr>
          <w:kern w:val="0"/>
          <w:sz w:val="24"/>
          <w:szCs w:val="24"/>
        </w:rPr>
        <w:t xml:space="preserve">(C): </w:t>
      </w:r>
      <w:r>
        <w:rPr>
          <w:rFonts w:hint="eastAsia"/>
          <w:kern w:val="0"/>
          <w:sz w:val="24"/>
          <w:szCs w:val="24"/>
        </w:rPr>
        <w:t>一次、多次或重复接触，累计时间超过</w:t>
      </w:r>
      <w:r>
        <w:rPr>
          <w:kern w:val="0"/>
          <w:sz w:val="24"/>
          <w:szCs w:val="24"/>
        </w:rPr>
        <w:t>30d</w:t>
      </w:r>
      <w:r>
        <w:rPr>
          <w:rFonts w:hint="eastAsia"/>
          <w:kern w:val="0"/>
          <w:sz w:val="24"/>
          <w:szCs w:val="24"/>
        </w:rPr>
        <w:t>以上的医疗器械。</w:t>
      </w:r>
      <w:r>
        <w:rPr>
          <w:sz w:val="24"/>
          <w:szCs w:val="24"/>
        </w:rPr>
        <w:t>”</w:t>
      </w:r>
    </w:p>
    <w:p w:rsidR="00D80C15" w:rsidRDefault="00D80C15" w:rsidP="009D5D92">
      <w:pPr>
        <w:spacing w:line="360" w:lineRule="auto"/>
        <w:ind w:firstLineChars="200" w:firstLine="316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（二）</w:t>
      </w:r>
      <w:r>
        <w:rPr>
          <w:kern w:val="0"/>
          <w:sz w:val="24"/>
          <w:szCs w:val="24"/>
        </w:rPr>
        <w:t xml:space="preserve">4.3 </w:t>
      </w:r>
      <w:r>
        <w:rPr>
          <w:rFonts w:hint="eastAsia"/>
          <w:kern w:val="0"/>
          <w:sz w:val="24"/>
          <w:szCs w:val="24"/>
        </w:rPr>
        <w:t>允许限量</w:t>
      </w:r>
    </w:p>
    <w:p w:rsidR="00D80C15" w:rsidRDefault="00D80C15" w:rsidP="009D5D92">
      <w:pPr>
        <w:spacing w:line="360" w:lineRule="auto"/>
        <w:ind w:firstLineChars="200" w:firstLine="316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对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kern w:val="0"/>
            <w:sz w:val="24"/>
            <w:szCs w:val="24"/>
          </w:rPr>
          <w:t>4.3.1</w:t>
        </w:r>
      </w:smartTag>
      <w:r>
        <w:rPr>
          <w:rFonts w:hint="eastAsia"/>
          <w:kern w:val="0"/>
          <w:sz w:val="24"/>
          <w:szCs w:val="24"/>
        </w:rPr>
        <w:t>概述第二段进行了部分修改，如给出了</w:t>
      </w:r>
      <w:r>
        <w:rPr>
          <w:kern w:val="0"/>
          <w:sz w:val="24"/>
          <w:szCs w:val="24"/>
        </w:rPr>
        <w:t>“</w:t>
      </w:r>
      <w:r>
        <w:rPr>
          <w:rFonts w:hint="eastAsia"/>
          <w:kern w:val="0"/>
          <w:sz w:val="24"/>
          <w:szCs w:val="24"/>
        </w:rPr>
        <w:t>多个含关注残留物的器械</w:t>
      </w:r>
      <w:r>
        <w:rPr>
          <w:kern w:val="0"/>
          <w:sz w:val="24"/>
          <w:szCs w:val="24"/>
        </w:rPr>
        <w:t>”</w:t>
      </w:r>
      <w:r>
        <w:rPr>
          <w:rFonts w:hint="eastAsia"/>
          <w:kern w:val="0"/>
          <w:sz w:val="24"/>
          <w:szCs w:val="24"/>
        </w:rPr>
        <w:t>举例，降低和提高限量时去掉了</w:t>
      </w:r>
      <w:r>
        <w:rPr>
          <w:kern w:val="0"/>
          <w:sz w:val="24"/>
          <w:szCs w:val="24"/>
        </w:rPr>
        <w:t>“</w:t>
      </w:r>
      <w:r>
        <w:rPr>
          <w:rFonts w:hint="eastAsia"/>
          <w:kern w:val="0"/>
          <w:sz w:val="24"/>
          <w:szCs w:val="24"/>
        </w:rPr>
        <w:t>按比例</w:t>
      </w:r>
      <w:r>
        <w:rPr>
          <w:kern w:val="0"/>
          <w:sz w:val="24"/>
          <w:szCs w:val="24"/>
        </w:rPr>
        <w:t>”</w:t>
      </w:r>
      <w:r>
        <w:rPr>
          <w:rFonts w:hint="eastAsia"/>
          <w:kern w:val="0"/>
          <w:sz w:val="24"/>
          <w:szCs w:val="24"/>
        </w:rPr>
        <w:t>，并给出了多器械接触因子（</w:t>
      </w:r>
      <w:r>
        <w:rPr>
          <w:kern w:val="0"/>
          <w:sz w:val="24"/>
          <w:szCs w:val="24"/>
        </w:rPr>
        <w:t>CEF</w:t>
      </w:r>
      <w:r>
        <w:rPr>
          <w:rFonts w:hint="eastAsia"/>
          <w:kern w:val="0"/>
          <w:sz w:val="24"/>
          <w:szCs w:val="24"/>
        </w:rPr>
        <w:t>）值为</w:t>
      </w:r>
      <w:r>
        <w:rPr>
          <w:kern w:val="0"/>
          <w:sz w:val="24"/>
          <w:szCs w:val="24"/>
        </w:rPr>
        <w:t>0.2</w:t>
      </w:r>
      <w:r>
        <w:rPr>
          <w:rFonts w:hint="eastAsia"/>
          <w:kern w:val="0"/>
          <w:sz w:val="24"/>
          <w:szCs w:val="24"/>
        </w:rPr>
        <w:t>。</w:t>
      </w:r>
    </w:p>
    <w:p w:rsidR="00D80C15" w:rsidRDefault="00D80C15" w:rsidP="009D5D92">
      <w:pPr>
        <w:spacing w:line="360" w:lineRule="auto"/>
        <w:ind w:firstLineChars="200" w:firstLine="316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对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0"/>
          <w:attr w:name="Month" w:val="12"/>
          <w:attr w:name="Year" w:val="1899"/>
        </w:smartTagPr>
        <w:r>
          <w:rPr>
            <w:kern w:val="0"/>
            <w:sz w:val="24"/>
            <w:szCs w:val="24"/>
          </w:rPr>
          <w:t>4.3.2</w:t>
        </w:r>
      </w:smartTag>
      <w:r>
        <w:rPr>
          <w:rFonts w:hint="eastAsia"/>
          <w:kern w:val="0"/>
          <w:sz w:val="24"/>
          <w:szCs w:val="24"/>
        </w:rPr>
        <w:t>、</w:t>
      </w:r>
      <w:r>
        <w:rPr>
          <w:kern w:val="0"/>
          <w:sz w:val="24"/>
          <w:szCs w:val="24"/>
        </w:rPr>
        <w:t>4.3.3</w:t>
      </w:r>
      <w:r>
        <w:rPr>
          <w:rFonts w:hint="eastAsia"/>
          <w:kern w:val="0"/>
          <w:sz w:val="24"/>
          <w:szCs w:val="24"/>
        </w:rPr>
        <w:t>和</w:t>
      </w:r>
      <w:r>
        <w:rPr>
          <w:kern w:val="0"/>
          <w:sz w:val="24"/>
          <w:szCs w:val="24"/>
        </w:rPr>
        <w:t>4.3.4</w:t>
      </w:r>
      <w:r>
        <w:rPr>
          <w:rFonts w:hint="eastAsia"/>
          <w:kern w:val="0"/>
          <w:sz w:val="24"/>
          <w:szCs w:val="24"/>
        </w:rPr>
        <w:t>不同接触时间的器械允许限量进行修改，当器械拟用于特殊人群时，在推导允许限量时应使用合适的患者体重。并给出了拟用于早产儿、新生儿或儿童的</w:t>
      </w:r>
      <w:r>
        <w:rPr>
          <w:kern w:val="0"/>
          <w:sz w:val="24"/>
          <w:szCs w:val="24"/>
        </w:rPr>
        <w:t>EO</w:t>
      </w:r>
      <w:r>
        <w:rPr>
          <w:rFonts w:hint="eastAsia"/>
          <w:kern w:val="0"/>
          <w:sz w:val="24"/>
          <w:szCs w:val="24"/>
        </w:rPr>
        <w:t>和</w:t>
      </w:r>
      <w:r>
        <w:rPr>
          <w:kern w:val="0"/>
          <w:sz w:val="24"/>
          <w:szCs w:val="24"/>
        </w:rPr>
        <w:t>ECH</w:t>
      </w:r>
      <w:r>
        <w:rPr>
          <w:rFonts w:hint="eastAsia"/>
          <w:kern w:val="0"/>
          <w:sz w:val="24"/>
          <w:szCs w:val="24"/>
        </w:rPr>
        <w:t>的</w:t>
      </w:r>
      <w:r>
        <w:rPr>
          <w:kern w:val="0"/>
          <w:sz w:val="24"/>
          <w:szCs w:val="24"/>
        </w:rPr>
        <w:t>TI</w:t>
      </w:r>
      <w:r>
        <w:rPr>
          <w:rFonts w:hint="eastAsia"/>
          <w:kern w:val="0"/>
          <w:sz w:val="24"/>
          <w:szCs w:val="24"/>
        </w:rPr>
        <w:t>值。</w:t>
      </w:r>
    </w:p>
    <w:p w:rsidR="00D80C15" w:rsidRDefault="00D80C15" w:rsidP="009D5D92">
      <w:pPr>
        <w:spacing w:line="360" w:lineRule="auto"/>
        <w:ind w:firstLineChars="200" w:firstLine="316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（三）根据对</w:t>
      </w:r>
      <w:r>
        <w:rPr>
          <w:kern w:val="0"/>
          <w:sz w:val="24"/>
          <w:szCs w:val="24"/>
        </w:rPr>
        <w:t>4.3</w:t>
      </w:r>
      <w:r>
        <w:rPr>
          <w:rFonts w:hint="eastAsia"/>
          <w:kern w:val="0"/>
          <w:sz w:val="24"/>
          <w:szCs w:val="24"/>
        </w:rPr>
        <w:t>允许限量的修改，对标准中附录</w:t>
      </w:r>
      <w:r>
        <w:rPr>
          <w:kern w:val="0"/>
          <w:sz w:val="24"/>
          <w:szCs w:val="24"/>
        </w:rPr>
        <w:t>C</w:t>
      </w:r>
      <w:r>
        <w:rPr>
          <w:rFonts w:hint="eastAsia"/>
          <w:kern w:val="0"/>
          <w:sz w:val="24"/>
          <w:szCs w:val="24"/>
        </w:rPr>
        <w:t>的相关部分进行了相</w:t>
      </w:r>
      <w:r>
        <w:rPr>
          <w:rFonts w:ascii="Verdana" w:hAnsi="Verdana" w:cs="宋体" w:hint="eastAsia"/>
          <w:kern w:val="0"/>
          <w:sz w:val="24"/>
          <w:szCs w:val="24"/>
        </w:rPr>
        <w:t>应</w:t>
      </w:r>
      <w:r>
        <w:rPr>
          <w:rFonts w:hint="eastAsia"/>
          <w:kern w:val="0"/>
          <w:sz w:val="24"/>
          <w:szCs w:val="24"/>
        </w:rPr>
        <w:t>修改，如</w:t>
      </w:r>
      <w:r>
        <w:rPr>
          <w:kern w:val="0"/>
          <w:sz w:val="24"/>
          <w:szCs w:val="24"/>
        </w:rPr>
        <w:t>C.1</w:t>
      </w:r>
      <w:r>
        <w:rPr>
          <w:rFonts w:hint="eastAsia"/>
          <w:kern w:val="0"/>
          <w:sz w:val="24"/>
          <w:szCs w:val="24"/>
        </w:rPr>
        <w:t>背景、图</w:t>
      </w:r>
      <w:r>
        <w:rPr>
          <w:kern w:val="0"/>
          <w:sz w:val="24"/>
          <w:szCs w:val="24"/>
        </w:rPr>
        <w:t>C.3</w:t>
      </w:r>
      <w:r>
        <w:rPr>
          <w:rFonts w:hint="eastAsia"/>
          <w:kern w:val="0"/>
          <w:sz w:val="24"/>
          <w:szCs w:val="24"/>
        </w:rPr>
        <w:t>等。</w:t>
      </w:r>
    </w:p>
    <w:p w:rsidR="00D80C15" w:rsidRDefault="00D80C15">
      <w:pPr>
        <w:spacing w:line="360" w:lineRule="auto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三、主要实验（或验证）的分析、综述报告、技术经济论证、预期的经济效果</w:t>
      </w:r>
    </w:p>
    <w:p w:rsidR="00D80C15" w:rsidRDefault="00D80C15" w:rsidP="009D5D92">
      <w:pPr>
        <w:pStyle w:val="a"/>
        <w:framePr w:w="0" w:hRule="auto" w:wrap="auto" w:hAnchor="text" w:xAlign="left" w:yAlign="inline"/>
        <w:spacing w:line="360" w:lineRule="auto"/>
        <w:ind w:firstLineChars="200" w:firstLine="31680"/>
        <w:jc w:val="both"/>
        <w:rPr>
          <w:rFonts w:ascii="Times New Roman" w:eastAsia="宋体" w:cs="Times New Roman"/>
          <w:sz w:val="24"/>
          <w:szCs w:val="24"/>
        </w:rPr>
      </w:pPr>
      <w:r>
        <w:rPr>
          <w:rFonts w:ascii="Times New Roman" w:eastAsia="宋体" w:cs="Times New Roman"/>
          <w:sz w:val="24"/>
          <w:szCs w:val="24"/>
        </w:rPr>
        <w:t>/</w:t>
      </w:r>
    </w:p>
    <w:p w:rsidR="00D80C15" w:rsidRDefault="00D80C15">
      <w:pPr>
        <w:spacing w:line="360" w:lineRule="auto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四、采用国际标准和国外先进标准的程度，以及与国际、国外同类标准水平的对比情况，或与测试的国外样品、样机的有关数据对比情况</w:t>
      </w:r>
    </w:p>
    <w:p w:rsidR="00D80C15" w:rsidRDefault="00D80C15" w:rsidP="009D5D92">
      <w:pPr>
        <w:spacing w:line="360" w:lineRule="auto"/>
        <w:ind w:firstLineChars="200" w:firstLine="31680"/>
        <w:rPr>
          <w:sz w:val="24"/>
        </w:rPr>
      </w:pPr>
      <w:r>
        <w:rPr>
          <w:rFonts w:hint="eastAsia"/>
          <w:sz w:val="24"/>
        </w:rPr>
        <w:t>本修改单等同采用</w:t>
      </w:r>
      <w:r>
        <w:rPr>
          <w:sz w:val="24"/>
        </w:rPr>
        <w:t>ISO 10993-7:2008/AMD 1:2019</w:t>
      </w:r>
      <w:r>
        <w:rPr>
          <w:rFonts w:hint="eastAsia"/>
          <w:sz w:val="24"/>
        </w:rPr>
        <w:t>《医疗器械生物学评价</w:t>
      </w:r>
      <w:r>
        <w:rPr>
          <w:sz w:val="24"/>
        </w:rPr>
        <w:t xml:space="preserve"> </w:t>
      </w:r>
      <w:r>
        <w:rPr>
          <w:rFonts w:hint="eastAsia"/>
          <w:sz w:val="24"/>
        </w:rPr>
        <w:t>第</w:t>
      </w:r>
      <w:r>
        <w:rPr>
          <w:sz w:val="24"/>
        </w:rPr>
        <w:t>7</w:t>
      </w:r>
      <w:r>
        <w:rPr>
          <w:rFonts w:hint="eastAsia"/>
          <w:sz w:val="24"/>
        </w:rPr>
        <w:t>部分：环氧乙烷灭菌残留量</w:t>
      </w:r>
      <w:r>
        <w:rPr>
          <w:sz w:val="24"/>
        </w:rPr>
        <w:t xml:space="preserve"> </w:t>
      </w:r>
      <w:r>
        <w:rPr>
          <w:rFonts w:hint="eastAsia"/>
          <w:sz w:val="24"/>
        </w:rPr>
        <w:t>第</w:t>
      </w:r>
      <w:r>
        <w:rPr>
          <w:sz w:val="24"/>
        </w:rPr>
        <w:t>1</w:t>
      </w:r>
      <w:r>
        <w:rPr>
          <w:rFonts w:hint="eastAsia"/>
          <w:sz w:val="24"/>
        </w:rPr>
        <w:t>号修改单：适用于新生儿和婴儿的允许限量》。</w:t>
      </w:r>
    </w:p>
    <w:p w:rsidR="00D80C15" w:rsidRDefault="00D80C15">
      <w:pPr>
        <w:spacing w:line="360" w:lineRule="auto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五、与有关的现行法律、法规和强制性国家标准的关系。</w:t>
      </w:r>
    </w:p>
    <w:p w:rsidR="00D80C15" w:rsidRDefault="00D80C15" w:rsidP="009D5D92">
      <w:pPr>
        <w:pStyle w:val="a"/>
        <w:framePr w:w="0" w:hRule="auto" w:wrap="auto" w:hAnchor="text" w:xAlign="left" w:yAlign="inline"/>
        <w:spacing w:line="360" w:lineRule="auto"/>
        <w:ind w:firstLineChars="200" w:firstLine="31680"/>
        <w:jc w:val="both"/>
        <w:rPr>
          <w:rFonts w:ascii="Times New Roman" w:eastAsia="宋体" w:cs="Times New Roman"/>
          <w:color w:val="000000"/>
          <w:kern w:val="2"/>
          <w:sz w:val="24"/>
          <w:szCs w:val="24"/>
        </w:rPr>
      </w:pPr>
      <w:r>
        <w:rPr>
          <w:rFonts w:ascii="Times New Roman" w:eastAsia="宋体" w:cs="Times New Roman" w:hint="eastAsia"/>
          <w:color w:val="000000"/>
          <w:kern w:val="2"/>
          <w:sz w:val="24"/>
          <w:szCs w:val="24"/>
        </w:rPr>
        <w:t>本修改单与有关的现行法律、法规和强制性国家标准无冲突和交叉。</w:t>
      </w:r>
    </w:p>
    <w:p w:rsidR="00D80C15" w:rsidRDefault="00D80C15">
      <w:pPr>
        <w:spacing w:line="360" w:lineRule="auto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六、重大分歧意见的处理经过和依据。</w:t>
      </w:r>
    </w:p>
    <w:p w:rsidR="00D80C15" w:rsidRDefault="00D80C15" w:rsidP="009D5D92">
      <w:pPr>
        <w:pStyle w:val="a"/>
        <w:framePr w:w="0" w:hRule="auto" w:wrap="auto" w:hAnchor="text" w:xAlign="left" w:yAlign="inline"/>
        <w:spacing w:line="360" w:lineRule="auto"/>
        <w:ind w:firstLineChars="200" w:firstLine="31680"/>
        <w:jc w:val="both"/>
        <w:rPr>
          <w:rFonts w:ascii="Times New Roman" w:eastAsia="宋体" w:cs="Times New Roman"/>
          <w:color w:val="000000"/>
          <w:kern w:val="2"/>
          <w:sz w:val="24"/>
          <w:szCs w:val="24"/>
        </w:rPr>
      </w:pPr>
      <w:r>
        <w:rPr>
          <w:rFonts w:ascii="Times New Roman" w:eastAsia="宋体" w:cs="Times New Roman" w:hint="eastAsia"/>
          <w:color w:val="000000"/>
          <w:kern w:val="2"/>
          <w:sz w:val="24"/>
          <w:szCs w:val="24"/>
        </w:rPr>
        <w:t>无。</w:t>
      </w:r>
    </w:p>
    <w:p w:rsidR="00D80C15" w:rsidRDefault="00D80C15">
      <w:pPr>
        <w:spacing w:line="360" w:lineRule="auto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七、国家标准作为强制性国家标准或推荐性国家标准的建议。</w:t>
      </w:r>
    </w:p>
    <w:p w:rsidR="00D80C15" w:rsidRDefault="00D80C15" w:rsidP="009D5D92">
      <w:pPr>
        <w:pStyle w:val="HTMLPreformatted"/>
        <w:spacing w:line="360" w:lineRule="auto"/>
        <w:ind w:firstLineChars="200" w:firstLine="3168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 w:hint="eastAsia"/>
          <w:color w:val="000000"/>
        </w:rPr>
        <w:t>建议作为</w:t>
      </w:r>
      <w:r>
        <w:rPr>
          <w:rFonts w:ascii="Times New Roman" w:hAnsi="Times New Roman" w:cs="Times New Roman"/>
          <w:color w:val="000000"/>
        </w:rPr>
        <w:t>GB/T 16886.7-2015</w:t>
      </w:r>
      <w:r>
        <w:rPr>
          <w:rFonts w:ascii="Times New Roman" w:hAnsi="Times New Roman" w:cs="Times New Roman" w:hint="eastAsia"/>
          <w:color w:val="000000"/>
        </w:rPr>
        <w:t>第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ascii="Times New Roman" w:hAnsi="Times New Roman" w:cs="Times New Roman" w:hint="eastAsia"/>
          <w:color w:val="000000"/>
        </w:rPr>
        <w:t>号修改单，自公布之日起实施。</w:t>
      </w:r>
    </w:p>
    <w:p w:rsidR="00D80C15" w:rsidRDefault="00D80C15">
      <w:pPr>
        <w:spacing w:line="360" w:lineRule="auto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八、贯彻国家标准的要求和措施建议（包括组织措施、技术措施、过渡办法等内容）</w:t>
      </w:r>
    </w:p>
    <w:p w:rsidR="00D80C15" w:rsidRDefault="00D80C15" w:rsidP="009D5D92">
      <w:pPr>
        <w:widowControl/>
        <w:spacing w:line="440" w:lineRule="atLeast"/>
        <w:ind w:firstLineChars="200" w:firstLine="316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标准</w:t>
      </w:r>
      <w:r>
        <w:rPr>
          <w:rFonts w:hint="eastAsia"/>
          <w:color w:val="000000"/>
          <w:sz w:val="24"/>
          <w:szCs w:val="24"/>
        </w:rPr>
        <w:t>修改单</w:t>
      </w:r>
      <w:r>
        <w:rPr>
          <w:rFonts w:hint="eastAsia"/>
          <w:kern w:val="0"/>
          <w:sz w:val="24"/>
          <w:szCs w:val="24"/>
        </w:rPr>
        <w:t>发布后，及时在</w:t>
      </w:r>
      <w:r>
        <w:rPr>
          <w:rFonts w:hint="eastAsia"/>
          <w:sz w:val="24"/>
          <w:szCs w:val="24"/>
        </w:rPr>
        <w:t>秘书处挂靠单位</w:t>
      </w:r>
      <w:r>
        <w:rPr>
          <w:rFonts w:hint="eastAsia"/>
          <w:kern w:val="0"/>
          <w:sz w:val="24"/>
          <w:szCs w:val="24"/>
        </w:rPr>
        <w:t>网页标准宣贯专栏，向监管部门、技术审评部门、检验机构、生产企业、使用单位等公布，并配合上级部门做好相关解释和介绍工作。</w:t>
      </w:r>
    </w:p>
    <w:p w:rsidR="00D80C15" w:rsidRDefault="00D80C15">
      <w:pPr>
        <w:spacing w:line="360" w:lineRule="auto"/>
        <w:rPr>
          <w:b/>
          <w:bCs/>
          <w:color w:val="000000"/>
          <w:sz w:val="24"/>
          <w:szCs w:val="24"/>
        </w:rPr>
      </w:pPr>
      <w:r>
        <w:rPr>
          <w:rFonts w:hint="eastAsia"/>
          <w:b/>
          <w:bCs/>
          <w:color w:val="000000"/>
          <w:sz w:val="24"/>
          <w:szCs w:val="24"/>
        </w:rPr>
        <w:t>九、废止现行有关标准的建议。</w:t>
      </w:r>
    </w:p>
    <w:p w:rsidR="00D80C15" w:rsidRDefault="00D80C15" w:rsidP="009D5D92">
      <w:pPr>
        <w:pStyle w:val="a"/>
        <w:framePr w:w="0" w:hRule="auto" w:wrap="auto" w:hAnchor="text" w:xAlign="left" w:yAlign="inline"/>
        <w:spacing w:line="360" w:lineRule="auto"/>
        <w:ind w:firstLineChars="200" w:firstLine="31680"/>
        <w:jc w:val="both"/>
        <w:rPr>
          <w:rFonts w:ascii="宋体" w:eastAsia="宋体" w:hAnsi="宋体" w:cs="Times New Roman"/>
          <w:color w:val="000000"/>
          <w:kern w:val="2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2"/>
          <w:sz w:val="24"/>
          <w:szCs w:val="24"/>
        </w:rPr>
        <w:t>无。</w:t>
      </w:r>
    </w:p>
    <w:p w:rsidR="00D80C15" w:rsidRDefault="00D80C15">
      <w:pPr>
        <w:spacing w:line="360" w:lineRule="auto"/>
        <w:rPr>
          <w:rFonts w:ascii="宋体"/>
          <w:b/>
          <w:bCs/>
          <w:color w:val="000000"/>
          <w:sz w:val="24"/>
          <w:szCs w:val="24"/>
        </w:rPr>
      </w:pPr>
      <w:r>
        <w:rPr>
          <w:rFonts w:ascii="宋体" w:hAnsi="宋体" w:cs="宋体" w:hint="eastAsia"/>
          <w:b/>
          <w:bCs/>
          <w:color w:val="000000"/>
          <w:sz w:val="24"/>
          <w:szCs w:val="24"/>
        </w:rPr>
        <w:t>十、其他应予说明的事项。</w:t>
      </w:r>
    </w:p>
    <w:p w:rsidR="00D80C15" w:rsidRDefault="00D80C15" w:rsidP="009D5D92">
      <w:pPr>
        <w:pStyle w:val="a"/>
        <w:framePr w:w="0" w:hRule="auto" w:wrap="auto" w:hAnchor="text" w:xAlign="left" w:yAlign="inline"/>
        <w:spacing w:line="360" w:lineRule="auto"/>
        <w:ind w:firstLineChars="200" w:firstLine="31680"/>
        <w:jc w:val="both"/>
        <w:rPr>
          <w:rFonts w:ascii="宋体" w:eastAsia="宋体" w:hAnsi="宋体" w:cs="Times New Roman"/>
          <w:color w:val="000000"/>
          <w:kern w:val="2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2"/>
          <w:sz w:val="24"/>
          <w:szCs w:val="24"/>
        </w:rPr>
        <w:t>无。</w:t>
      </w:r>
    </w:p>
    <w:p w:rsidR="00D80C15" w:rsidRDefault="00D80C15" w:rsidP="009D5D92">
      <w:pPr>
        <w:pStyle w:val="a"/>
        <w:framePr w:w="0" w:hRule="auto" w:wrap="auto" w:hAnchor="text" w:xAlign="left" w:yAlign="inline"/>
        <w:spacing w:line="360" w:lineRule="auto"/>
        <w:ind w:firstLineChars="2350" w:firstLine="31680"/>
        <w:jc w:val="both"/>
        <w:rPr>
          <w:rFonts w:ascii="宋体" w:eastAsia="宋体" w:hAnsi="宋体" w:cs="Times New Roman"/>
          <w:color w:val="000000"/>
          <w:kern w:val="2"/>
          <w:sz w:val="24"/>
          <w:szCs w:val="24"/>
        </w:rPr>
      </w:pPr>
      <w:r>
        <w:rPr>
          <w:rFonts w:ascii="宋体" w:eastAsia="宋体" w:hAnsi="宋体" w:cs="宋体" w:hint="eastAsia"/>
          <w:color w:val="000000"/>
          <w:kern w:val="2"/>
          <w:sz w:val="24"/>
          <w:szCs w:val="24"/>
        </w:rPr>
        <w:t>标准起草工作组</w:t>
      </w:r>
    </w:p>
    <w:p w:rsidR="00D80C15" w:rsidRDefault="00D80C15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宋体" w:hAnsi="宋体" w:cs="宋体"/>
          <w:color w:val="000000"/>
          <w:sz w:val="24"/>
          <w:szCs w:val="24"/>
        </w:rPr>
        <w:t xml:space="preserve">                                            2022</w:t>
      </w:r>
      <w:r>
        <w:rPr>
          <w:rFonts w:ascii="宋体" w:hAnsi="宋体" w:cs="宋体" w:hint="eastAsia"/>
          <w:color w:val="000000"/>
          <w:sz w:val="24"/>
          <w:szCs w:val="24"/>
        </w:rPr>
        <w:t>年</w:t>
      </w:r>
      <w:bookmarkStart w:id="1" w:name="_GoBack"/>
      <w:bookmarkEnd w:id="1"/>
      <w:r>
        <w:rPr>
          <w:rFonts w:ascii="宋体" w:hAnsi="宋体" w:cs="宋体"/>
          <w:color w:val="000000"/>
          <w:sz w:val="24"/>
          <w:szCs w:val="24"/>
        </w:rPr>
        <w:t>4</w:t>
      </w:r>
      <w:r>
        <w:rPr>
          <w:rFonts w:ascii="宋体" w:hAnsi="宋体" w:cs="宋体" w:hint="eastAsia"/>
          <w:color w:val="000000"/>
          <w:sz w:val="24"/>
          <w:szCs w:val="24"/>
        </w:rPr>
        <w:t>月</w:t>
      </w:r>
      <w:r>
        <w:rPr>
          <w:rFonts w:ascii="宋体" w:hAnsi="宋体" w:cs="宋体"/>
          <w:color w:val="000000"/>
          <w:sz w:val="24"/>
          <w:szCs w:val="24"/>
        </w:rPr>
        <w:t xml:space="preserve">  </w:t>
      </w:r>
    </w:p>
    <w:sectPr w:rsidR="00D80C15" w:rsidSect="00D8144A">
      <w:footerReference w:type="default" r:id="rId6"/>
      <w:pgSz w:w="11906" w:h="16838"/>
      <w:pgMar w:top="1440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0C15" w:rsidRDefault="00D80C15" w:rsidP="00D8144A">
      <w:r>
        <w:separator/>
      </w:r>
    </w:p>
  </w:endnote>
  <w:endnote w:type="continuationSeparator" w:id="0">
    <w:p w:rsidR="00D80C15" w:rsidRDefault="00D80C15" w:rsidP="00D81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iYB2Hei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0C15" w:rsidRDefault="00D80C15">
    <w:pPr>
      <w:pStyle w:val="Footer"/>
      <w:jc w:val="center"/>
    </w:pPr>
    <w:fldSimple w:instr=" PAGE   \* MERGEFORMAT ">
      <w:r w:rsidRPr="005762A2">
        <w:rPr>
          <w:noProof/>
          <w:lang w:val="zh-CN"/>
        </w:rPr>
        <w:t>2</w:t>
      </w:r>
    </w:fldSimple>
  </w:p>
  <w:p w:rsidR="00D80C15" w:rsidRDefault="00D80C1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0C15" w:rsidRDefault="00D80C15" w:rsidP="00D8144A">
      <w:r>
        <w:separator/>
      </w:r>
    </w:p>
  </w:footnote>
  <w:footnote w:type="continuationSeparator" w:id="0">
    <w:p w:rsidR="00D80C15" w:rsidRDefault="00D80C15" w:rsidP="00D814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doNotDisplayPageBoundaries/>
  <w:embedSystemFont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D46D6"/>
    <w:rsid w:val="00015E2F"/>
    <w:rsid w:val="00022DD2"/>
    <w:rsid w:val="00025DD3"/>
    <w:rsid w:val="00031594"/>
    <w:rsid w:val="00075B5F"/>
    <w:rsid w:val="0008441C"/>
    <w:rsid w:val="00093174"/>
    <w:rsid w:val="00094F82"/>
    <w:rsid w:val="000A24D6"/>
    <w:rsid w:val="000A5E6D"/>
    <w:rsid w:val="000B7035"/>
    <w:rsid w:val="000D4393"/>
    <w:rsid w:val="000E1F9C"/>
    <w:rsid w:val="00102A44"/>
    <w:rsid w:val="001066F8"/>
    <w:rsid w:val="00135525"/>
    <w:rsid w:val="00136A12"/>
    <w:rsid w:val="00163370"/>
    <w:rsid w:val="00173F9D"/>
    <w:rsid w:val="0017525F"/>
    <w:rsid w:val="0019117E"/>
    <w:rsid w:val="001932C6"/>
    <w:rsid w:val="001959F5"/>
    <w:rsid w:val="001A0B8F"/>
    <w:rsid w:val="001A1465"/>
    <w:rsid w:val="001B5840"/>
    <w:rsid w:val="001C7341"/>
    <w:rsid w:val="001D0CF8"/>
    <w:rsid w:val="001E3B32"/>
    <w:rsid w:val="001E5553"/>
    <w:rsid w:val="001F347D"/>
    <w:rsid w:val="00206835"/>
    <w:rsid w:val="002221F5"/>
    <w:rsid w:val="00232FA1"/>
    <w:rsid w:val="00237819"/>
    <w:rsid w:val="002805E1"/>
    <w:rsid w:val="002853B2"/>
    <w:rsid w:val="0029120F"/>
    <w:rsid w:val="002B11A0"/>
    <w:rsid w:val="002B27A7"/>
    <w:rsid w:val="002C292A"/>
    <w:rsid w:val="002E5D27"/>
    <w:rsid w:val="002F49DA"/>
    <w:rsid w:val="002F69E3"/>
    <w:rsid w:val="0030463B"/>
    <w:rsid w:val="0030636C"/>
    <w:rsid w:val="00311039"/>
    <w:rsid w:val="00317569"/>
    <w:rsid w:val="0033005B"/>
    <w:rsid w:val="003322DF"/>
    <w:rsid w:val="00341A0B"/>
    <w:rsid w:val="0034706F"/>
    <w:rsid w:val="00347B59"/>
    <w:rsid w:val="00347E47"/>
    <w:rsid w:val="00356FB7"/>
    <w:rsid w:val="00372B3A"/>
    <w:rsid w:val="00373F17"/>
    <w:rsid w:val="003839E0"/>
    <w:rsid w:val="00392787"/>
    <w:rsid w:val="003A3D2E"/>
    <w:rsid w:val="003B139B"/>
    <w:rsid w:val="003F0FEB"/>
    <w:rsid w:val="003F50FA"/>
    <w:rsid w:val="003F5235"/>
    <w:rsid w:val="004239F6"/>
    <w:rsid w:val="0042473D"/>
    <w:rsid w:val="004249D5"/>
    <w:rsid w:val="004337D8"/>
    <w:rsid w:val="00440EC8"/>
    <w:rsid w:val="00440FE4"/>
    <w:rsid w:val="00473B98"/>
    <w:rsid w:val="00474216"/>
    <w:rsid w:val="004764F8"/>
    <w:rsid w:val="0048684A"/>
    <w:rsid w:val="00486E2B"/>
    <w:rsid w:val="004A168A"/>
    <w:rsid w:val="004A49BE"/>
    <w:rsid w:val="004A7FD6"/>
    <w:rsid w:val="004B716C"/>
    <w:rsid w:val="004C4D01"/>
    <w:rsid w:val="004C786C"/>
    <w:rsid w:val="004D28A5"/>
    <w:rsid w:val="004D46D6"/>
    <w:rsid w:val="004D6626"/>
    <w:rsid w:val="004D6D3B"/>
    <w:rsid w:val="004F2260"/>
    <w:rsid w:val="00511254"/>
    <w:rsid w:val="00512380"/>
    <w:rsid w:val="00515F95"/>
    <w:rsid w:val="00527EAB"/>
    <w:rsid w:val="00537231"/>
    <w:rsid w:val="005413AD"/>
    <w:rsid w:val="005660A4"/>
    <w:rsid w:val="005762A2"/>
    <w:rsid w:val="0059261A"/>
    <w:rsid w:val="00594136"/>
    <w:rsid w:val="0059504F"/>
    <w:rsid w:val="005B1D50"/>
    <w:rsid w:val="005B424E"/>
    <w:rsid w:val="005D2EC7"/>
    <w:rsid w:val="005D5C08"/>
    <w:rsid w:val="005F7DE5"/>
    <w:rsid w:val="00632F4C"/>
    <w:rsid w:val="00637ABF"/>
    <w:rsid w:val="00662CEB"/>
    <w:rsid w:val="00664ECB"/>
    <w:rsid w:val="00680F6A"/>
    <w:rsid w:val="00684DC1"/>
    <w:rsid w:val="00686BD4"/>
    <w:rsid w:val="00692EF8"/>
    <w:rsid w:val="00695049"/>
    <w:rsid w:val="006C491B"/>
    <w:rsid w:val="006C53CA"/>
    <w:rsid w:val="006C6BF5"/>
    <w:rsid w:val="006D33DB"/>
    <w:rsid w:val="006D4A36"/>
    <w:rsid w:val="006F65BF"/>
    <w:rsid w:val="007061FE"/>
    <w:rsid w:val="007133C2"/>
    <w:rsid w:val="0072156C"/>
    <w:rsid w:val="00722092"/>
    <w:rsid w:val="0073170D"/>
    <w:rsid w:val="0073435D"/>
    <w:rsid w:val="007358E2"/>
    <w:rsid w:val="007639B9"/>
    <w:rsid w:val="00776910"/>
    <w:rsid w:val="007C0A86"/>
    <w:rsid w:val="007E3590"/>
    <w:rsid w:val="007E7045"/>
    <w:rsid w:val="00800F78"/>
    <w:rsid w:val="00802B36"/>
    <w:rsid w:val="00825276"/>
    <w:rsid w:val="00845006"/>
    <w:rsid w:val="00861A12"/>
    <w:rsid w:val="008657A7"/>
    <w:rsid w:val="00866C6C"/>
    <w:rsid w:val="00870BBF"/>
    <w:rsid w:val="00872214"/>
    <w:rsid w:val="008836E5"/>
    <w:rsid w:val="00883A38"/>
    <w:rsid w:val="008A0CFE"/>
    <w:rsid w:val="008A5F97"/>
    <w:rsid w:val="008B31D1"/>
    <w:rsid w:val="008B3D8D"/>
    <w:rsid w:val="008C0737"/>
    <w:rsid w:val="00900CC9"/>
    <w:rsid w:val="009118E8"/>
    <w:rsid w:val="00923B91"/>
    <w:rsid w:val="009273B9"/>
    <w:rsid w:val="0095558B"/>
    <w:rsid w:val="00962057"/>
    <w:rsid w:val="009627C3"/>
    <w:rsid w:val="00966FDF"/>
    <w:rsid w:val="00967F66"/>
    <w:rsid w:val="00970059"/>
    <w:rsid w:val="00971B84"/>
    <w:rsid w:val="0097273C"/>
    <w:rsid w:val="009738D7"/>
    <w:rsid w:val="00977565"/>
    <w:rsid w:val="00990C55"/>
    <w:rsid w:val="009A0FDA"/>
    <w:rsid w:val="009B2214"/>
    <w:rsid w:val="009D4AF9"/>
    <w:rsid w:val="009D5D92"/>
    <w:rsid w:val="009F6588"/>
    <w:rsid w:val="009F77A9"/>
    <w:rsid w:val="00A02B0B"/>
    <w:rsid w:val="00A06511"/>
    <w:rsid w:val="00A13934"/>
    <w:rsid w:val="00A205E1"/>
    <w:rsid w:val="00A45801"/>
    <w:rsid w:val="00A55AF7"/>
    <w:rsid w:val="00A630D2"/>
    <w:rsid w:val="00A70249"/>
    <w:rsid w:val="00A766A1"/>
    <w:rsid w:val="00A91B3D"/>
    <w:rsid w:val="00AA2A8D"/>
    <w:rsid w:val="00AD0A52"/>
    <w:rsid w:val="00AF34AA"/>
    <w:rsid w:val="00AF7621"/>
    <w:rsid w:val="00B17AA8"/>
    <w:rsid w:val="00B34B73"/>
    <w:rsid w:val="00B46B76"/>
    <w:rsid w:val="00B50750"/>
    <w:rsid w:val="00B551CF"/>
    <w:rsid w:val="00B66081"/>
    <w:rsid w:val="00B85B8D"/>
    <w:rsid w:val="00B9344D"/>
    <w:rsid w:val="00B96D22"/>
    <w:rsid w:val="00BB3C8D"/>
    <w:rsid w:val="00BB58F3"/>
    <w:rsid w:val="00BC21EE"/>
    <w:rsid w:val="00BC69C0"/>
    <w:rsid w:val="00BD78C8"/>
    <w:rsid w:val="00BD7DC2"/>
    <w:rsid w:val="00BE22FC"/>
    <w:rsid w:val="00BE4B5A"/>
    <w:rsid w:val="00C03A70"/>
    <w:rsid w:val="00C317B0"/>
    <w:rsid w:val="00C42FEC"/>
    <w:rsid w:val="00C515A2"/>
    <w:rsid w:val="00C54DE6"/>
    <w:rsid w:val="00C56D15"/>
    <w:rsid w:val="00C75748"/>
    <w:rsid w:val="00C90CA2"/>
    <w:rsid w:val="00CA363A"/>
    <w:rsid w:val="00CC16A7"/>
    <w:rsid w:val="00CC3412"/>
    <w:rsid w:val="00CE49C3"/>
    <w:rsid w:val="00CE5D0F"/>
    <w:rsid w:val="00CF5D75"/>
    <w:rsid w:val="00D241A1"/>
    <w:rsid w:val="00D24952"/>
    <w:rsid w:val="00D272E4"/>
    <w:rsid w:val="00D34C20"/>
    <w:rsid w:val="00D350FE"/>
    <w:rsid w:val="00D43D79"/>
    <w:rsid w:val="00D50517"/>
    <w:rsid w:val="00D56144"/>
    <w:rsid w:val="00D632D1"/>
    <w:rsid w:val="00D756A1"/>
    <w:rsid w:val="00D80C15"/>
    <w:rsid w:val="00D8144A"/>
    <w:rsid w:val="00DB2BC8"/>
    <w:rsid w:val="00DC0C97"/>
    <w:rsid w:val="00DD237E"/>
    <w:rsid w:val="00DE369B"/>
    <w:rsid w:val="00DE6B4F"/>
    <w:rsid w:val="00DF1E40"/>
    <w:rsid w:val="00E05D73"/>
    <w:rsid w:val="00E152AA"/>
    <w:rsid w:val="00E22013"/>
    <w:rsid w:val="00E34D4A"/>
    <w:rsid w:val="00E65A10"/>
    <w:rsid w:val="00E679B4"/>
    <w:rsid w:val="00ED6AAE"/>
    <w:rsid w:val="00EF7961"/>
    <w:rsid w:val="00F10721"/>
    <w:rsid w:val="00F20960"/>
    <w:rsid w:val="00F41A77"/>
    <w:rsid w:val="00F45F0F"/>
    <w:rsid w:val="00F549C8"/>
    <w:rsid w:val="00F606BE"/>
    <w:rsid w:val="00F71509"/>
    <w:rsid w:val="00F92B32"/>
    <w:rsid w:val="00F92FCC"/>
    <w:rsid w:val="00FB2D34"/>
    <w:rsid w:val="00FC363D"/>
    <w:rsid w:val="00FF481A"/>
    <w:rsid w:val="08205D36"/>
    <w:rsid w:val="11C37523"/>
    <w:rsid w:val="1CB54427"/>
    <w:rsid w:val="21B3659C"/>
    <w:rsid w:val="2DBE2AE0"/>
    <w:rsid w:val="2E2A75E4"/>
    <w:rsid w:val="5B246024"/>
    <w:rsid w:val="5F1028EA"/>
    <w:rsid w:val="6588432F"/>
    <w:rsid w:val="672065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HTML Preformatted" w:locked="1" w:semiHidden="0" w:uiPriority="0" w:unhideWhenUsed="0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44A"/>
    <w:pPr>
      <w:widowControl w:val="0"/>
      <w:jc w:val="both"/>
    </w:pPr>
    <w:rPr>
      <w:szCs w:val="21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8144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8144A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CommentText">
    <w:name w:val="annotation text"/>
    <w:basedOn w:val="Normal"/>
    <w:link w:val="CommentTextChar1"/>
    <w:uiPriority w:val="99"/>
    <w:semiHidden/>
    <w:rsid w:val="00D8144A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8144A"/>
    <w:rPr>
      <w:rFonts w:ascii="Times New Roman" w:hAnsi="Times New Roman" w:cs="Times New Roman"/>
      <w:sz w:val="21"/>
      <w:szCs w:val="21"/>
    </w:rPr>
  </w:style>
  <w:style w:type="paragraph" w:styleId="PlainText">
    <w:name w:val="Plain Text"/>
    <w:basedOn w:val="Normal"/>
    <w:link w:val="PlainTextChar1"/>
    <w:uiPriority w:val="99"/>
    <w:rsid w:val="00D8144A"/>
    <w:rPr>
      <w:rFonts w:ascii="宋体" w:hAnsi="Courier New" w:cs="宋体"/>
      <w:kern w:val="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D8144A"/>
    <w:rPr>
      <w:rFonts w:ascii="宋体" w:hAnsi="Courier New"/>
      <w:sz w:val="21"/>
    </w:rPr>
  </w:style>
  <w:style w:type="paragraph" w:styleId="BalloonText">
    <w:name w:val="Balloon Text"/>
    <w:basedOn w:val="Normal"/>
    <w:link w:val="BalloonTextChar"/>
    <w:uiPriority w:val="99"/>
    <w:semiHidden/>
    <w:rsid w:val="00D8144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8144A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814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8144A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D814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8144A"/>
    <w:rPr>
      <w:rFonts w:cs="Times New Roman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rsid w:val="00D8144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D8144A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D8144A"/>
    <w:rPr>
      <w:rFonts w:cs="Times New Roman"/>
      <w:color w:val="0000FF"/>
      <w:u w:val="single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locked/>
    <w:rsid w:val="00D8144A"/>
    <w:rPr>
      <w:rFonts w:ascii="宋体" w:hAnsi="Courier New" w:cs="宋体"/>
      <w:sz w:val="21"/>
      <w:szCs w:val="21"/>
    </w:rPr>
  </w:style>
  <w:style w:type="character" w:customStyle="1" w:styleId="Char1">
    <w:name w:val="纯文本 Char1"/>
    <w:basedOn w:val="DefaultParagraphFont"/>
    <w:uiPriority w:val="99"/>
    <w:semiHidden/>
    <w:rsid w:val="00D8144A"/>
    <w:rPr>
      <w:rFonts w:ascii="宋体" w:eastAsia="宋体" w:hAnsi="Courier New" w:cs="宋体"/>
      <w:sz w:val="21"/>
      <w:szCs w:val="21"/>
    </w:rPr>
  </w:style>
  <w:style w:type="paragraph" w:styleId="ListParagraph">
    <w:name w:val="List Paragraph"/>
    <w:basedOn w:val="Normal"/>
    <w:uiPriority w:val="99"/>
    <w:qFormat/>
    <w:rsid w:val="00D8144A"/>
    <w:pPr>
      <w:ind w:firstLineChars="200" w:firstLine="420"/>
    </w:pPr>
  </w:style>
  <w:style w:type="paragraph" w:customStyle="1" w:styleId="a">
    <w:name w:val="封面标准名称"/>
    <w:uiPriority w:val="99"/>
    <w:rsid w:val="00D8144A"/>
    <w:pPr>
      <w:framePr w:w="9638" w:h="6917" w:hRule="exact" w:wrap="around" w:hAnchor="margin" w:xAlign="center" w:y="5955" w:anchorLock="1"/>
      <w:widowControl w:val="0"/>
      <w:spacing w:line="680" w:lineRule="exact"/>
      <w:jc w:val="center"/>
      <w:textAlignment w:val="center"/>
    </w:pPr>
    <w:rPr>
      <w:rFonts w:ascii="黑体" w:eastAsia="黑体" w:cs="黑体"/>
      <w:kern w:val="0"/>
      <w:sz w:val="52"/>
      <w:szCs w:val="52"/>
    </w:rPr>
  </w:style>
  <w:style w:type="character" w:customStyle="1" w:styleId="CommentTextChar1">
    <w:name w:val="Comment Text Char1"/>
    <w:basedOn w:val="DefaultParagraphFont"/>
    <w:link w:val="CommentText"/>
    <w:uiPriority w:val="99"/>
    <w:locked/>
    <w:rsid w:val="00D8144A"/>
    <w:rPr>
      <w:rFonts w:eastAsia="宋体" w:cs="Times New Roman"/>
      <w:kern w:val="2"/>
      <w:sz w:val="24"/>
      <w:szCs w:val="24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2</Pages>
  <Words>201</Words>
  <Characters>1146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全国医用输液器具标准化技术委员会</dc:creator>
  <cp:keywords/>
  <dc:description/>
  <cp:lastModifiedBy>USER</cp:lastModifiedBy>
  <cp:revision>56</cp:revision>
  <cp:lastPrinted>2009-12-31T16:14:00Z</cp:lastPrinted>
  <dcterms:created xsi:type="dcterms:W3CDTF">2018-11-09T13:19:00Z</dcterms:created>
  <dcterms:modified xsi:type="dcterms:W3CDTF">2022-04-28T08:29:00Z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81BD9AF1499142D68D1AE8FB56420EE8</vt:lpwstr>
  </property>
</Properties>
</file>