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2025年药品微生物检验控制技术精要培训班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培训日程表（江苏·南京）</w:t>
      </w:r>
    </w:p>
    <w:tbl>
      <w:tblPr>
        <w:tblStyle w:val="16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65"/>
        <w:gridCol w:w="454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时间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内容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</w:rPr>
              <w:t>9 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</w:rPr>
              <w:t>11日</w:t>
            </w: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8:30-8:40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培训班开班介绍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中检院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8:40-9:50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基于ICHQ4B的我国药品微生物检验标准体系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中检院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胡昌勤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9:50-11:00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ICHQ6A在非无菌化学药品及原辅料微生物限度研究中的应用和案例分享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药品审评中心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相关专家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11:00-12:10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药品检验实验室质量管理与实践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江苏药检院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李睿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14:00-15:30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基于QRM的制药微生物污染控制新策略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默克生命科学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梁强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15:30-16:30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水分活度在非无菌药品微生物控制中的应用及案例分享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食品药品产业发展研究中心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16:30-17:30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生物负载监测限值与计数方法科学性探讨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中检院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王杠杠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</w:rPr>
              <w:t>9月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</w:rPr>
              <w:t>12日</w:t>
            </w: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非无菌药品中不可接受微生物的风险评估及实践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西安杨森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马英英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10:00-11:00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湿热灭菌用生物指示剂在药品研发和生产中的应用研究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中检院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王似锦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无菌检查中隔离系统的应用实践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中检院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戴翚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13:30-14:30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药品快速微生物检测的风险放行考虑要点和典型案例分享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罗氏制药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焦吉祥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14:30-15:30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细菌内毒素检查方法的应用和问题解析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中检院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蔡彤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15:30-16:30</w:t>
            </w:r>
          </w:p>
        </w:tc>
        <w:tc>
          <w:tcPr>
            <w:tcW w:w="4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药品微生物注册检验基本技术要求和考虑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中检院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shd w:val="clear" w:color="auto" w:fill="FFFFFF"/>
              </w:rPr>
              <w:t>马仕洪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ZjQ5NGRkMjRmMzIzOWVjMWMzY2E2OWExNjBhMzkifQ=="/>
  </w:docVars>
  <w:rsids>
    <w:rsidRoot w:val="00E22240"/>
    <w:rsid w:val="00147C3E"/>
    <w:rsid w:val="0027184E"/>
    <w:rsid w:val="00386FAB"/>
    <w:rsid w:val="00456FB2"/>
    <w:rsid w:val="005A087A"/>
    <w:rsid w:val="006D3538"/>
    <w:rsid w:val="009A68BF"/>
    <w:rsid w:val="00A55C44"/>
    <w:rsid w:val="00A91F81"/>
    <w:rsid w:val="00AD51A2"/>
    <w:rsid w:val="00B93BDA"/>
    <w:rsid w:val="00B97960"/>
    <w:rsid w:val="00D5227D"/>
    <w:rsid w:val="00DB582A"/>
    <w:rsid w:val="00E22240"/>
    <w:rsid w:val="00E75074"/>
    <w:rsid w:val="00F40623"/>
    <w:rsid w:val="091B691E"/>
    <w:rsid w:val="66D5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5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3FD15-3EAD-4614-9E39-8BDF5EFD01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368</Characters>
  <Lines>61</Lines>
  <Paragraphs>71</Paragraphs>
  <TotalTime>19</TotalTime>
  <ScaleCrop>false</ScaleCrop>
  <LinksUpToDate>false</LinksUpToDate>
  <CharactersWithSpaces>570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2025-07-15T03:57:00Z</dcterms:created>
  <dc:creator>sijin wang</dc:creator>
  <cp:lastModifiedBy>太阳花</cp:lastModifiedBy>
  <dcterms:modified xsi:type="dcterms:W3CDTF">2025-07-22T03:19:30Z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C404A623BD984560AEFED03231B4C43B_13</vt:lpwstr>
  </property>
</Properties>
</file>