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95A" w:rsidRPr="00743455" w:rsidRDefault="00E2750A" w:rsidP="00743455">
      <w:pPr>
        <w:rPr>
          <w:rFonts w:ascii="黑体" w:eastAsia="黑体" w:hAnsi="黑体"/>
          <w:sz w:val="32"/>
          <w:szCs w:val="32"/>
        </w:rPr>
      </w:pPr>
      <w:r w:rsidRPr="00743455">
        <w:rPr>
          <w:rFonts w:ascii="黑体" w:eastAsia="黑体" w:hAnsi="黑体" w:hint="eastAsia"/>
          <w:sz w:val="32"/>
          <w:szCs w:val="32"/>
        </w:rPr>
        <w:t>附件</w:t>
      </w:r>
      <w:r w:rsidRPr="00743455">
        <w:rPr>
          <w:rFonts w:ascii="黑体" w:eastAsia="黑体" w:hAnsi="黑体" w:hint="eastAsia"/>
          <w:sz w:val="32"/>
          <w:szCs w:val="32"/>
        </w:rPr>
        <w:t>2</w:t>
      </w:r>
    </w:p>
    <w:tbl>
      <w:tblPr>
        <w:tblStyle w:val="a8"/>
        <w:tblpPr w:leftFromText="180" w:rightFromText="180" w:vertAnchor="text" w:tblpX="10426" w:tblpY="159"/>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1"/>
      </w:tblGrid>
      <w:tr w:rsidR="009A795A">
        <w:trPr>
          <w:trHeight w:val="30"/>
        </w:trPr>
        <w:tc>
          <w:tcPr>
            <w:tcW w:w="1391" w:type="dxa"/>
          </w:tcPr>
          <w:p w:rsidR="009A795A" w:rsidRDefault="009A795A">
            <w:pPr>
              <w:widowControl/>
              <w:jc w:val="center"/>
              <w:rPr>
                <w:rFonts w:ascii="方正小标宋简体" w:eastAsia="方正小标宋简体" w:hAnsi="方正小标宋简体" w:cs="黑体"/>
                <w:sz w:val="44"/>
                <w:szCs w:val="44"/>
              </w:rPr>
            </w:pPr>
          </w:p>
        </w:tc>
      </w:tr>
    </w:tbl>
    <w:p w:rsidR="009A795A" w:rsidRDefault="00E2750A">
      <w:pPr>
        <w:widowControl/>
        <w:jc w:val="center"/>
        <w:rPr>
          <w:rFonts w:ascii="黑体" w:eastAsia="黑体" w:hAnsi="黑体" w:cs="黑体"/>
          <w:color w:val="000000"/>
          <w:sz w:val="28"/>
          <w:szCs w:val="28"/>
        </w:rPr>
      </w:pPr>
      <w:r>
        <w:rPr>
          <w:rFonts w:ascii="方正小标宋简体" w:eastAsia="方正小标宋简体" w:hAnsi="方正小标宋简体" w:cs="黑体" w:hint="eastAsia"/>
          <w:sz w:val="44"/>
          <w:szCs w:val="44"/>
        </w:rPr>
        <w:t>培训</w:t>
      </w:r>
      <w:r>
        <w:rPr>
          <w:rFonts w:ascii="方正小标宋简体" w:eastAsia="方正小标宋简体" w:hAnsi="方正小标宋简体" w:cs="黑体" w:hint="eastAsia"/>
          <w:sz w:val="44"/>
          <w:szCs w:val="44"/>
        </w:rPr>
        <w:t>内容</w:t>
      </w:r>
      <w:bookmarkStart w:id="0" w:name="_GoBack"/>
      <w:bookmarkEnd w:id="0"/>
    </w:p>
    <w:tbl>
      <w:tblPr>
        <w:tblpPr w:leftFromText="180" w:rightFromText="180" w:vertAnchor="text" w:horzAnchor="page" w:tblpX="1121" w:tblpY="214"/>
        <w:tblOverlap w:val="never"/>
        <w:tblW w:w="9746" w:type="dxa"/>
        <w:tblInd w:w="108" w:type="dxa"/>
        <w:tblLayout w:type="fixed"/>
        <w:tblLook w:val="04A0" w:firstRow="1" w:lastRow="0" w:firstColumn="1" w:lastColumn="0" w:noHBand="0" w:noVBand="1"/>
      </w:tblPr>
      <w:tblGrid>
        <w:gridCol w:w="1426"/>
        <w:gridCol w:w="2102"/>
        <w:gridCol w:w="4954"/>
        <w:gridCol w:w="1264"/>
      </w:tblGrid>
      <w:tr w:rsidR="009A795A">
        <w:trPr>
          <w:trHeight w:val="779"/>
        </w:trPr>
        <w:tc>
          <w:tcPr>
            <w:tcW w:w="1426"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9A795A" w:rsidRDefault="00E2750A">
            <w:pPr>
              <w:widowControl/>
              <w:jc w:val="center"/>
              <w:textAlignment w:val="center"/>
              <w:rPr>
                <w:color w:val="000000"/>
              </w:rPr>
            </w:pPr>
            <w:r>
              <w:rPr>
                <w:rFonts w:ascii="黑体" w:eastAsia="黑体" w:hAnsi="黑体" w:cs="黑体" w:hint="eastAsia"/>
                <w:color w:val="000000"/>
                <w:sz w:val="28"/>
                <w:szCs w:val="28"/>
              </w:rPr>
              <w:t>时间</w:t>
            </w: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center"/>
              <w:textAlignment w:val="center"/>
              <w:rPr>
                <w:color w:val="000000"/>
              </w:rPr>
            </w:pPr>
            <w:r>
              <w:rPr>
                <w:rFonts w:ascii="黑体" w:eastAsia="黑体" w:hAnsi="黑体" w:cs="黑体" w:hint="eastAsia"/>
                <w:color w:val="000000"/>
                <w:kern w:val="0"/>
                <w:sz w:val="28"/>
                <w:szCs w:val="28"/>
                <w:lang w:bidi="ar"/>
              </w:rPr>
              <w:t>标准编号</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center"/>
              <w:textAlignment w:val="center"/>
              <w:rPr>
                <w:color w:val="000000"/>
              </w:rPr>
            </w:pPr>
            <w:r>
              <w:rPr>
                <w:rFonts w:ascii="黑体" w:eastAsia="黑体" w:hAnsi="黑体" w:cs="黑体" w:hint="eastAsia"/>
                <w:color w:val="000000"/>
                <w:kern w:val="0"/>
                <w:sz w:val="28"/>
                <w:szCs w:val="28"/>
                <w:lang w:bidi="ar"/>
              </w:rPr>
              <w:t>标准名称</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center"/>
              <w:textAlignment w:val="center"/>
              <w:rPr>
                <w:color w:val="000000"/>
              </w:rPr>
            </w:pPr>
            <w:r>
              <w:rPr>
                <w:rFonts w:ascii="黑体" w:eastAsia="黑体" w:hAnsi="黑体" w:cs="黑体" w:hint="eastAsia"/>
                <w:color w:val="000000"/>
                <w:kern w:val="0"/>
                <w:sz w:val="28"/>
                <w:szCs w:val="28"/>
                <w:lang w:bidi="ar"/>
              </w:rPr>
              <w:t>主讲人</w:t>
            </w:r>
          </w:p>
        </w:tc>
      </w:tr>
      <w:tr w:rsidR="009A795A">
        <w:trPr>
          <w:trHeight w:val="609"/>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snapToGrid w:val="0"/>
              <w:jc w:val="center"/>
              <w:textAlignment w:val="center"/>
              <w:rPr>
                <w:rFonts w:ascii="黑体" w:eastAsia="黑体" w:hAnsi="黑体" w:cs="黑体"/>
                <w:color w:val="000000"/>
                <w:kern w:val="0"/>
                <w:sz w:val="28"/>
                <w:szCs w:val="28"/>
                <w:lang w:bidi="ar"/>
              </w:rPr>
            </w:pPr>
            <w:r>
              <w:rPr>
                <w:rStyle w:val="font31"/>
                <w:lang w:bidi="ar"/>
              </w:rPr>
              <w:t>9</w:t>
            </w:r>
            <w:r>
              <w:rPr>
                <w:rStyle w:val="font31"/>
                <w:shd w:val="clear" w:color="auto" w:fill="FFFFFF"/>
                <w:lang w:bidi="ar"/>
              </w:rPr>
              <w:t>:</w:t>
            </w:r>
            <w:r>
              <w:rPr>
                <w:rStyle w:val="font31"/>
                <w:lang w:bidi="ar"/>
              </w:rPr>
              <w:t>30-12</w:t>
            </w:r>
            <w:r>
              <w:rPr>
                <w:rStyle w:val="font31"/>
                <w:shd w:val="clear" w:color="auto" w:fill="FFFFFF"/>
                <w:lang w:bidi="ar"/>
              </w:rPr>
              <w:t>:</w:t>
            </w:r>
            <w:r>
              <w:rPr>
                <w:rStyle w:val="font31"/>
                <w:lang w:bidi="ar"/>
              </w:rPr>
              <w:t>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21415-2025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体外诊断医疗器械</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建立校准品、正确度控制物质和人体样品赋值的计量溯源性要求</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康娟</w:t>
            </w:r>
          </w:p>
        </w:tc>
      </w:tr>
      <w:tr w:rsidR="009A795A">
        <w:trPr>
          <w:trHeight w:val="560"/>
        </w:trPr>
        <w:tc>
          <w:tcPr>
            <w:tcW w:w="1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9A795A">
            <w:pPr>
              <w:widowControl/>
              <w:snapToGrid w:val="0"/>
              <w:jc w:val="center"/>
              <w:textAlignment w:val="center"/>
              <w:rPr>
                <w:rFonts w:ascii="黑体" w:eastAsia="黑体" w:hAnsi="黑体" w:cs="黑体"/>
                <w:color w:val="000000"/>
                <w:kern w:val="0"/>
                <w:sz w:val="28"/>
                <w:szCs w:val="28"/>
                <w:lang w:bidi="ar"/>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720" w:lineRule="auto"/>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46454-2025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临床实验室检测和体外诊断系统</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感染性疾病相关酵母样真菌抗微生物药物的体外活性检测肉汤微量稀释参考方法</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72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毕春雷</w:t>
            </w:r>
          </w:p>
        </w:tc>
      </w:tr>
      <w:tr w:rsidR="009A795A">
        <w:trPr>
          <w:trHeight w:val="560"/>
        </w:trPr>
        <w:tc>
          <w:tcPr>
            <w:tcW w:w="1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9A795A">
            <w:pPr>
              <w:widowControl/>
              <w:snapToGrid w:val="0"/>
              <w:jc w:val="center"/>
              <w:textAlignment w:val="center"/>
              <w:rPr>
                <w:rFonts w:ascii="黑体" w:eastAsia="黑体" w:hAnsi="黑体" w:cs="黑体"/>
                <w:color w:val="000000"/>
                <w:kern w:val="0"/>
                <w:sz w:val="28"/>
                <w:szCs w:val="28"/>
                <w:lang w:bidi="ar"/>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46302-2025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医用全自动样本处理系统</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赵丙锋</w:t>
            </w:r>
            <w:proofErr w:type="gramEnd"/>
          </w:p>
        </w:tc>
      </w:tr>
      <w:tr w:rsidR="009A795A">
        <w:trPr>
          <w:trHeight w:val="560"/>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center"/>
              <w:textAlignment w:val="center"/>
              <w:rPr>
                <w:color w:val="000000"/>
              </w:rPr>
            </w:pPr>
            <w:r>
              <w:rPr>
                <w:rStyle w:val="font31"/>
                <w:lang w:bidi="ar"/>
              </w:rPr>
              <w:t>13</w:t>
            </w:r>
            <w:r>
              <w:rPr>
                <w:rStyle w:val="font31"/>
                <w:shd w:val="clear" w:color="auto" w:fill="FFFFFF"/>
                <w:lang w:bidi="ar"/>
              </w:rPr>
              <w:t>:</w:t>
            </w:r>
            <w:r>
              <w:rPr>
                <w:rStyle w:val="font31"/>
                <w:lang w:bidi="ar"/>
              </w:rPr>
              <w:t>30-17</w:t>
            </w:r>
            <w:r>
              <w:rPr>
                <w:rStyle w:val="font31"/>
                <w:shd w:val="clear" w:color="auto" w:fill="FFFFFF"/>
                <w:lang w:bidi="ar"/>
              </w:rPr>
              <w:t>:</w:t>
            </w:r>
            <w:r>
              <w:rPr>
                <w:rStyle w:val="font31"/>
                <w:lang w:bidi="ar"/>
              </w:rPr>
              <w:t>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39367-2025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体外诊断检测系统</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基于核酸扩增的病原微生物检测和鉴定程序</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实验室质量实践通则</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张瑞</w:t>
            </w:r>
          </w:p>
        </w:tc>
      </w:tr>
      <w:tr w:rsidR="009A795A">
        <w:trPr>
          <w:trHeight w:val="560"/>
        </w:trPr>
        <w:tc>
          <w:tcPr>
            <w:tcW w:w="1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9A795A">
            <w:pPr>
              <w:widowControl/>
              <w:jc w:val="center"/>
              <w:textAlignment w:val="center"/>
              <w:rPr>
                <w:color w:val="00000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46942.1-2025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hyperlink r:id="rId9" w:tooltip="http://zxd.sacinfo.org.cn/gb/gbdetail/loadview?projectId=1014887" w:history="1">
              <w:r>
                <w:rPr>
                  <w:rFonts w:ascii="宋体" w:hAnsi="宋体" w:cs="宋体" w:hint="eastAsia"/>
                  <w:color w:val="000000"/>
                  <w:kern w:val="0"/>
                  <w:sz w:val="22"/>
                  <w:szCs w:val="22"/>
                  <w:lang w:bidi="ar"/>
                </w:rPr>
                <w:t>单分子基因测序</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第</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部分：术语</w:t>
              </w:r>
            </w:hyperlink>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曾涛</w:t>
            </w:r>
          </w:p>
        </w:tc>
      </w:tr>
      <w:tr w:rsidR="009A795A">
        <w:trPr>
          <w:trHeight w:val="560"/>
        </w:trPr>
        <w:tc>
          <w:tcPr>
            <w:tcW w:w="1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9A795A">
            <w:pPr>
              <w:widowControl/>
              <w:snapToGrid w:val="0"/>
              <w:jc w:val="center"/>
              <w:textAlignment w:val="center"/>
              <w:rPr>
                <w:rFonts w:ascii="黑体" w:eastAsia="黑体" w:hAnsi="黑体" w:cs="黑体"/>
                <w:color w:val="000000"/>
                <w:kern w:val="0"/>
                <w:sz w:val="28"/>
                <w:szCs w:val="28"/>
                <w:lang w:bidi="ar"/>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46943-2025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临床实验室检测和体外诊断系统</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病原宏基因组高通量测序性能确认通用要求</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张栋</w:t>
            </w:r>
            <w:proofErr w:type="gramEnd"/>
          </w:p>
        </w:tc>
      </w:tr>
      <w:tr w:rsidR="009A795A">
        <w:trPr>
          <w:trHeight w:val="560"/>
        </w:trPr>
        <w:tc>
          <w:tcPr>
            <w:tcW w:w="1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9A795A">
            <w:pPr>
              <w:widowControl/>
              <w:snapToGrid w:val="0"/>
              <w:jc w:val="center"/>
              <w:textAlignment w:val="center"/>
              <w:rPr>
                <w:rFonts w:ascii="黑体" w:eastAsia="黑体" w:hAnsi="黑体" w:cs="黑体"/>
                <w:color w:val="000000"/>
                <w:kern w:val="0"/>
                <w:sz w:val="28"/>
                <w:szCs w:val="28"/>
                <w:lang w:bidi="ar"/>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GB/T 46660-2025</w:t>
            </w:r>
          </w:p>
        </w:tc>
        <w:tc>
          <w:tcPr>
            <w:tcW w:w="4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95A" w:rsidRDefault="00E2750A">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新型冠状病毒全基因组测序通用技术要求</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A795A" w:rsidRDefault="00E2750A">
            <w:pPr>
              <w:widowControl/>
              <w:spacing w:line="480" w:lineRule="auto"/>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赵兰青</w:t>
            </w:r>
          </w:p>
        </w:tc>
      </w:tr>
    </w:tbl>
    <w:p w:rsidR="009A795A" w:rsidRDefault="009A795A">
      <w:pPr>
        <w:rPr>
          <w:rFonts w:ascii="仿宋_GB2312" w:eastAsia="仿宋_GB2312" w:hAnsi="仿宋_GB2312"/>
          <w:sz w:val="32"/>
          <w:szCs w:val="32"/>
        </w:rPr>
      </w:pPr>
    </w:p>
    <w:p w:rsidR="009A795A" w:rsidRDefault="00E2750A">
      <w:r>
        <w:rPr>
          <w:rFonts w:ascii="仿宋_GB2312" w:eastAsia="仿宋_GB2312" w:hAnsi="宋体" w:hint="eastAsia"/>
          <w:sz w:val="32"/>
          <w:szCs w:val="32"/>
        </w:rPr>
        <w:t xml:space="preserve">            </w:t>
      </w:r>
    </w:p>
    <w:sectPr w:rsidR="009A795A">
      <w:headerReference w:type="default" r:id="rId10"/>
      <w:pgSz w:w="11906" w:h="16838"/>
      <w:pgMar w:top="1701"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50A" w:rsidRDefault="00E2750A">
      <w:r>
        <w:separator/>
      </w:r>
    </w:p>
  </w:endnote>
  <w:endnote w:type="continuationSeparator" w:id="0">
    <w:p w:rsidR="00E2750A" w:rsidRDefault="00E2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标宋">
    <w:altName w:val="宋体"/>
    <w:charset w:val="00"/>
    <w:family w:val="auto"/>
    <w:pitch w:val="default"/>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50A" w:rsidRDefault="00E2750A">
      <w:r>
        <w:separator/>
      </w:r>
    </w:p>
  </w:footnote>
  <w:footnote w:type="continuationSeparator" w:id="0">
    <w:p w:rsidR="00E2750A" w:rsidRDefault="00E27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5A" w:rsidRDefault="009A795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6"/>
      <w:numFmt w:val="chineseCountingThousand"/>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9D"/>
    <w:rsid w:val="FF6F35CC"/>
    <w:rsid w:val="000167E6"/>
    <w:rsid w:val="0004301D"/>
    <w:rsid w:val="000902AD"/>
    <w:rsid w:val="000A2383"/>
    <w:rsid w:val="000B0C84"/>
    <w:rsid w:val="000E42BB"/>
    <w:rsid w:val="0011465F"/>
    <w:rsid w:val="00114BB2"/>
    <w:rsid w:val="001312B1"/>
    <w:rsid w:val="00154A50"/>
    <w:rsid w:val="00173236"/>
    <w:rsid w:val="001843DF"/>
    <w:rsid w:val="00257E9D"/>
    <w:rsid w:val="00265C44"/>
    <w:rsid w:val="00280024"/>
    <w:rsid w:val="002C1836"/>
    <w:rsid w:val="002D3E8B"/>
    <w:rsid w:val="003625BE"/>
    <w:rsid w:val="00363B10"/>
    <w:rsid w:val="00387881"/>
    <w:rsid w:val="003B752D"/>
    <w:rsid w:val="0041720A"/>
    <w:rsid w:val="0043683D"/>
    <w:rsid w:val="004707B9"/>
    <w:rsid w:val="0047199A"/>
    <w:rsid w:val="004A7683"/>
    <w:rsid w:val="004C0A47"/>
    <w:rsid w:val="00574FD3"/>
    <w:rsid w:val="0058307D"/>
    <w:rsid w:val="005C5C24"/>
    <w:rsid w:val="005D2481"/>
    <w:rsid w:val="005D79EE"/>
    <w:rsid w:val="005E2F07"/>
    <w:rsid w:val="00610946"/>
    <w:rsid w:val="00617536"/>
    <w:rsid w:val="006816D6"/>
    <w:rsid w:val="00685DB3"/>
    <w:rsid w:val="006D3F5B"/>
    <w:rsid w:val="00703873"/>
    <w:rsid w:val="0073196B"/>
    <w:rsid w:val="00743455"/>
    <w:rsid w:val="00747E51"/>
    <w:rsid w:val="007652D0"/>
    <w:rsid w:val="007860E0"/>
    <w:rsid w:val="007B1ED2"/>
    <w:rsid w:val="007D00A5"/>
    <w:rsid w:val="00864EA2"/>
    <w:rsid w:val="008B1AA4"/>
    <w:rsid w:val="008D11FD"/>
    <w:rsid w:val="0090461F"/>
    <w:rsid w:val="00921205"/>
    <w:rsid w:val="00954A3F"/>
    <w:rsid w:val="00987554"/>
    <w:rsid w:val="0099686E"/>
    <w:rsid w:val="009A795A"/>
    <w:rsid w:val="009F5332"/>
    <w:rsid w:val="009F639D"/>
    <w:rsid w:val="00A07C34"/>
    <w:rsid w:val="00A21124"/>
    <w:rsid w:val="00A3192B"/>
    <w:rsid w:val="00A4627C"/>
    <w:rsid w:val="00A94834"/>
    <w:rsid w:val="00AD7FCB"/>
    <w:rsid w:val="00AE2F58"/>
    <w:rsid w:val="00B16D6E"/>
    <w:rsid w:val="00B244F2"/>
    <w:rsid w:val="00B41531"/>
    <w:rsid w:val="00BA0DFF"/>
    <w:rsid w:val="00BA1778"/>
    <w:rsid w:val="00BA4081"/>
    <w:rsid w:val="00CB2919"/>
    <w:rsid w:val="00D03BE5"/>
    <w:rsid w:val="00D72723"/>
    <w:rsid w:val="00D91318"/>
    <w:rsid w:val="00D917E7"/>
    <w:rsid w:val="00DA3C79"/>
    <w:rsid w:val="00DB622E"/>
    <w:rsid w:val="00E224C8"/>
    <w:rsid w:val="00E2750A"/>
    <w:rsid w:val="00E9387E"/>
    <w:rsid w:val="00EA0B76"/>
    <w:rsid w:val="00EA511F"/>
    <w:rsid w:val="00EB06DF"/>
    <w:rsid w:val="00F52A7A"/>
    <w:rsid w:val="00F91E6A"/>
    <w:rsid w:val="00FB7270"/>
    <w:rsid w:val="00FE0E7E"/>
    <w:rsid w:val="00FE2075"/>
    <w:rsid w:val="00FF53E4"/>
    <w:rsid w:val="0F8B1A2C"/>
    <w:rsid w:val="0FE62385"/>
    <w:rsid w:val="105D468F"/>
    <w:rsid w:val="1179510B"/>
    <w:rsid w:val="1AD26D9A"/>
    <w:rsid w:val="31B00969"/>
    <w:rsid w:val="3F855ABC"/>
    <w:rsid w:val="449D1FC8"/>
    <w:rsid w:val="49B86161"/>
    <w:rsid w:val="4F7A2CC3"/>
    <w:rsid w:val="569A57F7"/>
    <w:rsid w:val="61B20A9E"/>
    <w:rsid w:val="63F82E35"/>
    <w:rsid w:val="657C215B"/>
    <w:rsid w:val="6DD0ECE2"/>
    <w:rsid w:val="748D0C82"/>
    <w:rsid w:val="7FF79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文星标宋" w:eastAsia="文星标宋" w:hAnsi="文星标宋"/>
      <w:color w:val="FF0000"/>
      <w:spacing w:val="30"/>
      <w:sz w:val="72"/>
      <w:szCs w:val="72"/>
    </w:rPr>
  </w:style>
  <w:style w:type="paragraph" w:styleId="a4">
    <w:name w:val="Body Text Indent"/>
    <w:basedOn w:val="a"/>
    <w:pPr>
      <w:spacing w:line="600" w:lineRule="exact"/>
      <w:ind w:firstLineChars="200" w:firstLine="600"/>
    </w:pPr>
    <w:rPr>
      <w:rFonts w:ascii="华文仿宋" w:eastAsia="华文仿宋" w:hAnsi="华文仿宋"/>
      <w:sz w:val="30"/>
      <w:szCs w:val="30"/>
    </w:rPr>
  </w:style>
  <w:style w:type="paragraph" w:styleId="a5">
    <w:name w:val="Plain Text"/>
    <w:basedOn w:val="a"/>
    <w:link w:val="Char0"/>
    <w:unhideWhenUsed/>
    <w:rPr>
      <w:rFonts w:ascii="宋体" w:hAnsi="Courier New" w:cs="Courier New"/>
      <w:szCs w:val="21"/>
    </w:r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pPr>
      <w:spacing w:after="120" w:line="480" w:lineRule="auto"/>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3"/>
    <w:rPr>
      <w:rFonts w:ascii="文星标宋" w:eastAsia="文星标宋" w:hAnsi="文星标宋" w:cs="Times New Roman"/>
      <w:color w:val="FF0000"/>
      <w:spacing w:val="30"/>
      <w:sz w:val="72"/>
      <w:szCs w:val="72"/>
    </w:rPr>
  </w:style>
  <w:style w:type="character" w:customStyle="1" w:styleId="Char0">
    <w:name w:val="纯文本 Char"/>
    <w:link w:val="a5"/>
    <w:rPr>
      <w:rFonts w:ascii="宋体" w:eastAsia="宋体" w:hAnsi="Courier New" w:cs="Courier New"/>
      <w:kern w:val="2"/>
      <w:sz w:val="21"/>
      <w:szCs w:val="21"/>
      <w:lang w:val="en-US" w:eastAsia="zh-CN" w:bidi="ar-SA"/>
    </w:rPr>
  </w:style>
  <w:style w:type="character" w:customStyle="1" w:styleId="Char1">
    <w:name w:val="页脚 Char"/>
    <w:link w:val="a6"/>
    <w:rPr>
      <w:kern w:val="2"/>
      <w:sz w:val="18"/>
      <w:szCs w:val="18"/>
    </w:rPr>
  </w:style>
  <w:style w:type="character" w:customStyle="1" w:styleId="Char2">
    <w:name w:val="页眉 Char"/>
    <w:link w:val="a7"/>
    <w:rPr>
      <w:kern w:val="2"/>
      <w:sz w:val="18"/>
      <w:szCs w:val="18"/>
    </w:rPr>
  </w:style>
  <w:style w:type="character" w:customStyle="1" w:styleId="2Char">
    <w:name w:val="正文文本 2 Char"/>
    <w:link w:val="2"/>
    <w:rPr>
      <w:kern w:val="2"/>
      <w:sz w:val="21"/>
    </w:rPr>
  </w:style>
  <w:style w:type="paragraph" w:customStyle="1" w:styleId="1">
    <w:name w:val="列出段落1"/>
    <w:basedOn w:val="a"/>
    <w:uiPriority w:val="7"/>
    <w:qFormat/>
    <w:pPr>
      <w:ind w:firstLine="420"/>
    </w:pPr>
    <w:rPr>
      <w:rFonts w:ascii="Calibri" w:hAnsi="Calibri"/>
      <w:szCs w:val="22"/>
    </w:rPr>
  </w:style>
  <w:style w:type="character" w:customStyle="1" w:styleId="font31">
    <w:name w:val="font31"/>
    <w:basedOn w:val="10"/>
    <w:uiPriority w:val="6"/>
    <w:qFormat/>
    <w:rPr>
      <w:rFonts w:ascii="宋体" w:eastAsia="宋体" w:hAnsi="宋体" w:cs="宋体" w:hint="eastAsia"/>
      <w:color w:val="000000"/>
      <w:sz w:val="22"/>
      <w:szCs w:val="22"/>
      <w:u w:val="none"/>
    </w:rPr>
  </w:style>
  <w:style w:type="character" w:customStyle="1" w:styleId="10">
    <w:name w:val="默认段落字体1"/>
    <w:qFormat/>
  </w:style>
  <w:style w:type="paragraph" w:styleId="a9">
    <w:name w:val="Balloon Text"/>
    <w:basedOn w:val="a"/>
    <w:link w:val="Char3"/>
    <w:rsid w:val="0043683D"/>
    <w:rPr>
      <w:sz w:val="18"/>
      <w:szCs w:val="18"/>
    </w:rPr>
  </w:style>
  <w:style w:type="character" w:customStyle="1" w:styleId="Char3">
    <w:name w:val="批注框文本 Char"/>
    <w:basedOn w:val="a0"/>
    <w:link w:val="a9"/>
    <w:rsid w:val="0043683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文星标宋" w:eastAsia="文星标宋" w:hAnsi="文星标宋"/>
      <w:color w:val="FF0000"/>
      <w:spacing w:val="30"/>
      <w:sz w:val="72"/>
      <w:szCs w:val="72"/>
    </w:rPr>
  </w:style>
  <w:style w:type="paragraph" w:styleId="a4">
    <w:name w:val="Body Text Indent"/>
    <w:basedOn w:val="a"/>
    <w:pPr>
      <w:spacing w:line="600" w:lineRule="exact"/>
      <w:ind w:firstLineChars="200" w:firstLine="600"/>
    </w:pPr>
    <w:rPr>
      <w:rFonts w:ascii="华文仿宋" w:eastAsia="华文仿宋" w:hAnsi="华文仿宋"/>
      <w:sz w:val="30"/>
      <w:szCs w:val="30"/>
    </w:rPr>
  </w:style>
  <w:style w:type="paragraph" w:styleId="a5">
    <w:name w:val="Plain Text"/>
    <w:basedOn w:val="a"/>
    <w:link w:val="Char0"/>
    <w:unhideWhenUsed/>
    <w:rPr>
      <w:rFonts w:ascii="宋体" w:hAnsi="Courier New" w:cs="Courier New"/>
      <w:szCs w:val="21"/>
    </w:r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pPr>
      <w:spacing w:after="120" w:line="480" w:lineRule="auto"/>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3"/>
    <w:rPr>
      <w:rFonts w:ascii="文星标宋" w:eastAsia="文星标宋" w:hAnsi="文星标宋" w:cs="Times New Roman"/>
      <w:color w:val="FF0000"/>
      <w:spacing w:val="30"/>
      <w:sz w:val="72"/>
      <w:szCs w:val="72"/>
    </w:rPr>
  </w:style>
  <w:style w:type="character" w:customStyle="1" w:styleId="Char0">
    <w:name w:val="纯文本 Char"/>
    <w:link w:val="a5"/>
    <w:rPr>
      <w:rFonts w:ascii="宋体" w:eastAsia="宋体" w:hAnsi="Courier New" w:cs="Courier New"/>
      <w:kern w:val="2"/>
      <w:sz w:val="21"/>
      <w:szCs w:val="21"/>
      <w:lang w:val="en-US" w:eastAsia="zh-CN" w:bidi="ar-SA"/>
    </w:rPr>
  </w:style>
  <w:style w:type="character" w:customStyle="1" w:styleId="Char1">
    <w:name w:val="页脚 Char"/>
    <w:link w:val="a6"/>
    <w:rPr>
      <w:kern w:val="2"/>
      <w:sz w:val="18"/>
      <w:szCs w:val="18"/>
    </w:rPr>
  </w:style>
  <w:style w:type="character" w:customStyle="1" w:styleId="Char2">
    <w:name w:val="页眉 Char"/>
    <w:link w:val="a7"/>
    <w:rPr>
      <w:kern w:val="2"/>
      <w:sz w:val="18"/>
      <w:szCs w:val="18"/>
    </w:rPr>
  </w:style>
  <w:style w:type="character" w:customStyle="1" w:styleId="2Char">
    <w:name w:val="正文文本 2 Char"/>
    <w:link w:val="2"/>
    <w:rPr>
      <w:kern w:val="2"/>
      <w:sz w:val="21"/>
    </w:rPr>
  </w:style>
  <w:style w:type="paragraph" w:customStyle="1" w:styleId="1">
    <w:name w:val="列出段落1"/>
    <w:basedOn w:val="a"/>
    <w:uiPriority w:val="7"/>
    <w:qFormat/>
    <w:pPr>
      <w:ind w:firstLine="420"/>
    </w:pPr>
    <w:rPr>
      <w:rFonts w:ascii="Calibri" w:hAnsi="Calibri"/>
      <w:szCs w:val="22"/>
    </w:rPr>
  </w:style>
  <w:style w:type="character" w:customStyle="1" w:styleId="font31">
    <w:name w:val="font31"/>
    <w:basedOn w:val="10"/>
    <w:uiPriority w:val="6"/>
    <w:qFormat/>
    <w:rPr>
      <w:rFonts w:ascii="宋体" w:eastAsia="宋体" w:hAnsi="宋体" w:cs="宋体" w:hint="eastAsia"/>
      <w:color w:val="000000"/>
      <w:sz w:val="22"/>
      <w:szCs w:val="22"/>
      <w:u w:val="none"/>
    </w:rPr>
  </w:style>
  <w:style w:type="character" w:customStyle="1" w:styleId="10">
    <w:name w:val="默认段落字体1"/>
    <w:qFormat/>
  </w:style>
  <w:style w:type="paragraph" w:styleId="a9">
    <w:name w:val="Balloon Text"/>
    <w:basedOn w:val="a"/>
    <w:link w:val="Char3"/>
    <w:rsid w:val="0043683D"/>
    <w:rPr>
      <w:sz w:val="18"/>
      <w:szCs w:val="18"/>
    </w:rPr>
  </w:style>
  <w:style w:type="character" w:customStyle="1" w:styleId="Char3">
    <w:name w:val="批注框文本 Char"/>
    <w:basedOn w:val="a0"/>
    <w:link w:val="a9"/>
    <w:rsid w:val="004368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xd.sacinfo.org.cn/gb/gbdetail/loadview?projectId=101488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Company>微软中国</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北京市医疗器械检验所</dc:title>
  <dc:creator>吴晓莉</dc:creator>
  <cp:lastModifiedBy>孟芸</cp:lastModifiedBy>
  <cp:revision>3</cp:revision>
  <dcterms:created xsi:type="dcterms:W3CDTF">2026-03-24T07:38:00Z</dcterms:created>
  <dcterms:modified xsi:type="dcterms:W3CDTF">2026-03-24T07:39:00Z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4F262EA10E9F2729469CBC69D63F91F1_43</vt:lpwstr>
  </property>
  <property fmtid="{D5CDD505-2E9C-101B-9397-08002B2CF9AE}" pid="4" name="DISdDocName">
    <vt:lpwstr>PORTALBIMTORGCN488594</vt:lpwstr>
  </property>
  <property fmtid="{D5CDD505-2E9C-101B-9397-08002B2CF9AE}" pid="5" name="DISProperties">
    <vt:lpwstr>DISdDocName,DIScgiUrl,DISdUser,DISdID,DISidcName,DISTaskPaneUrl</vt:lpwstr>
  </property>
  <property fmtid="{D5CDD505-2E9C-101B-9397-08002B2CF9AE}" pid="6" name="DIScgiUrl">
    <vt:lpwstr>http://portal.bimt.org.cn:80/cs/idcplg</vt:lpwstr>
  </property>
  <property fmtid="{D5CDD505-2E9C-101B-9397-08002B2CF9AE}" pid="7" name="DISdUser">
    <vt:lpwstr>weblogic</vt:lpwstr>
  </property>
  <property fmtid="{D5CDD505-2E9C-101B-9397-08002B2CF9AE}" pid="8" name="DISdID">
    <vt:lpwstr>521524</vt:lpwstr>
  </property>
  <property fmtid="{D5CDD505-2E9C-101B-9397-08002B2CF9AE}" pid="9" name="DISidcName">
    <vt:lpwstr>portalbimtorgcn</vt:lpwstr>
  </property>
  <property fmtid="{D5CDD505-2E9C-101B-9397-08002B2CF9AE}" pid="10" name="DISTaskPaneUrl">
    <vt:lpwstr>http://portal.bimt.org.cn:80/cs/idcplg?IdcService=DESKTOP_DOC_INFO&amp;dDocName=PORTALBIMTORGCN488594&amp;dID=521524&amp;ClientControlled=DocMan,taskpane&amp;coreContentOnly=1</vt:lpwstr>
  </property>
</Properties>
</file>