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AE455" w14:textId="77777777" w:rsidR="004D6706" w:rsidRPr="0061380A" w:rsidRDefault="004D6706" w:rsidP="004D6706">
      <w:pPr>
        <w:pStyle w:val="3"/>
        <w:spacing w:before="0" w:after="200"/>
        <w:rPr>
          <w:rFonts w:ascii="Times New Roman" w:hAnsi="Times New Roman"/>
        </w:rPr>
      </w:pPr>
      <w:bookmarkStart w:id="0" w:name="_Toc2403"/>
      <w:r w:rsidRPr="0061380A">
        <w:rPr>
          <w:rFonts w:ascii="Times New Roman" w:eastAsia="黑体" w:hAnsi="Times New Roman" w:cs="黑体" w:hint="eastAsia"/>
        </w:rPr>
        <w:t>附件</w:t>
      </w:r>
      <w:r w:rsidRPr="0061380A">
        <w:rPr>
          <w:rFonts w:ascii="Times New Roman" w:eastAsia="黑体" w:hAnsi="Times New Roman" w:cs="黑体" w:hint="eastAsia"/>
        </w:rPr>
        <w:t>1.5</w:t>
      </w:r>
      <w:bookmarkEnd w:id="0"/>
    </w:p>
    <w:p w14:paraId="326687B7" w14:textId="77777777" w:rsidR="004D6706" w:rsidRDefault="004D6706" w:rsidP="004D6706">
      <w:pPr>
        <w:pStyle w:val="af2"/>
        <w:shd w:val="clear" w:color="auto" w:fill="FFFFFF"/>
        <w:spacing w:before="0" w:beforeAutospacing="0" w:after="0" w:afterAutospacing="0" w:line="800" w:lineRule="exact"/>
        <w:jc w:val="center"/>
        <w:rPr>
          <w:rFonts w:ascii="Times New Roman" w:eastAsia="方正小标宋简体" w:hAnsi="Times New Roman"/>
          <w:bCs/>
          <w:sz w:val="44"/>
          <w:szCs w:val="44"/>
        </w:rPr>
      </w:pPr>
      <w:r>
        <w:rPr>
          <w:rFonts w:ascii="Times New Roman" w:eastAsia="方正小标宋简体" w:hAnsi="Times New Roman" w:hint="eastAsia"/>
          <w:bCs/>
          <w:sz w:val="44"/>
          <w:szCs w:val="44"/>
        </w:rPr>
        <w:t>药用辅料和药包</w:t>
      </w:r>
      <w:proofErr w:type="gramStart"/>
      <w:r>
        <w:rPr>
          <w:rFonts w:ascii="Times New Roman" w:eastAsia="方正小标宋简体" w:hAnsi="Times New Roman" w:hint="eastAsia"/>
          <w:bCs/>
          <w:sz w:val="44"/>
          <w:szCs w:val="44"/>
        </w:rPr>
        <w:t>材注册</w:t>
      </w:r>
      <w:proofErr w:type="gramEnd"/>
      <w:r>
        <w:rPr>
          <w:rFonts w:ascii="Times New Roman" w:eastAsia="方正小标宋简体" w:hAnsi="Times New Roman" w:hint="eastAsia"/>
          <w:bCs/>
          <w:sz w:val="44"/>
          <w:szCs w:val="44"/>
        </w:rPr>
        <w:t>检验用资料、样品、标准物质和特殊实验材料的要求</w:t>
      </w:r>
    </w:p>
    <w:p w14:paraId="2271549E" w14:textId="77777777" w:rsidR="004D6706" w:rsidRDefault="004D6706" w:rsidP="004D6706">
      <w:pPr>
        <w:spacing w:line="576" w:lineRule="exact"/>
        <w:ind w:firstLineChars="200" w:firstLine="560"/>
        <w:rPr>
          <w:rFonts w:ascii="Times New Roman" w:hAnsi="Times New Roman"/>
          <w:sz w:val="28"/>
          <w:szCs w:val="28"/>
        </w:rPr>
      </w:pPr>
    </w:p>
    <w:p w14:paraId="70C802C5" w14:textId="77777777" w:rsidR="004D6706" w:rsidRDefault="004D6706" w:rsidP="004D6706">
      <w:pPr>
        <w:pStyle w:val="a9"/>
        <w:spacing w:line="576" w:lineRule="exact"/>
        <w:ind w:firstLine="640"/>
        <w:rPr>
          <w:rFonts w:ascii="Times New Roman" w:eastAsia="黑体" w:hAnsi="Times New Roman" w:cs="黑体"/>
          <w:bCs/>
          <w:sz w:val="32"/>
          <w:szCs w:val="32"/>
        </w:rPr>
      </w:pPr>
      <w:r>
        <w:rPr>
          <w:rFonts w:ascii="Times New Roman" w:eastAsia="黑体" w:hAnsi="Times New Roman" w:cs="黑体" w:hint="eastAsia"/>
          <w:bCs/>
          <w:sz w:val="32"/>
          <w:szCs w:val="32"/>
        </w:rPr>
        <w:t>一、资料要求</w:t>
      </w:r>
    </w:p>
    <w:p w14:paraId="441F2372" w14:textId="77777777" w:rsidR="004D6706" w:rsidRDefault="004D6706" w:rsidP="004D6706">
      <w:pPr>
        <w:spacing w:line="576" w:lineRule="exact"/>
        <w:ind w:firstLineChars="200" w:firstLine="640"/>
        <w:rPr>
          <w:rFonts w:ascii="Times New Roman" w:eastAsia="楷体_GB2312" w:hAnsi="Times New Roman" w:cs="楷体_GB2312"/>
          <w:sz w:val="32"/>
          <w:szCs w:val="32"/>
        </w:rPr>
      </w:pPr>
      <w:r>
        <w:rPr>
          <w:rFonts w:ascii="Times New Roman" w:eastAsia="楷体_GB2312" w:hAnsi="Times New Roman" w:cs="楷体_GB2312" w:hint="eastAsia"/>
          <w:sz w:val="32"/>
          <w:szCs w:val="32"/>
        </w:rPr>
        <w:t>（一）监管部门出具的资料</w:t>
      </w:r>
    </w:p>
    <w:p w14:paraId="799FAB32" w14:textId="77777777" w:rsidR="004D6706" w:rsidRDefault="004D6706" w:rsidP="004D6706">
      <w:pPr>
        <w:spacing w:line="576"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抽样记录凭证（国产样品，境内生产）；</w:t>
      </w:r>
    </w:p>
    <w:p w14:paraId="7D7794BF" w14:textId="77777777" w:rsidR="004D6706" w:rsidRDefault="004D6706" w:rsidP="004D6706">
      <w:pPr>
        <w:spacing w:line="576"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样品合法来源证明（进口样品，境外生产）；</w:t>
      </w:r>
    </w:p>
    <w:p w14:paraId="6F925FB1" w14:textId="77777777" w:rsidR="004D6706" w:rsidRDefault="004D6706" w:rsidP="004D6706">
      <w:pPr>
        <w:spacing w:line="576"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加盖公章的注册检验通知或无公章的电子补充资料通知截屏等</w:t>
      </w:r>
      <w:proofErr w:type="gramStart"/>
      <w:r>
        <w:rPr>
          <w:rFonts w:ascii="Times New Roman" w:eastAsia="仿宋_GB2312" w:hAnsi="Times New Roman" w:hint="eastAsia"/>
          <w:sz w:val="32"/>
          <w:szCs w:val="32"/>
        </w:rPr>
        <w:t>药审中心</w:t>
      </w:r>
      <w:proofErr w:type="gramEnd"/>
      <w:r>
        <w:rPr>
          <w:rFonts w:ascii="Times New Roman" w:eastAsia="仿宋_GB2312" w:hAnsi="Times New Roman" w:hint="eastAsia"/>
          <w:sz w:val="32"/>
          <w:szCs w:val="32"/>
        </w:rPr>
        <w:t>出具的注册检验通知。</w:t>
      </w:r>
    </w:p>
    <w:p w14:paraId="5D6DF053" w14:textId="77777777" w:rsidR="004D6706" w:rsidRDefault="004D6706" w:rsidP="004D6706">
      <w:pPr>
        <w:spacing w:line="576" w:lineRule="exact"/>
        <w:ind w:firstLineChars="200" w:firstLine="640"/>
        <w:rPr>
          <w:rFonts w:ascii="Times New Roman" w:eastAsia="楷体_GB2312" w:hAnsi="Times New Roman" w:cs="楷体_GB2312"/>
          <w:sz w:val="32"/>
          <w:szCs w:val="32"/>
        </w:rPr>
      </w:pPr>
      <w:r>
        <w:rPr>
          <w:rFonts w:ascii="Times New Roman" w:eastAsia="楷体_GB2312" w:hAnsi="Times New Roman" w:cs="楷体_GB2312" w:hint="eastAsia"/>
          <w:sz w:val="32"/>
          <w:szCs w:val="32"/>
        </w:rPr>
        <w:t>（二）送检单位提供的资料</w:t>
      </w:r>
    </w:p>
    <w:p w14:paraId="5DA99710" w14:textId="77777777" w:rsidR="004D6706" w:rsidRDefault="004D6706" w:rsidP="004D6706">
      <w:pPr>
        <w:spacing w:line="576"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生产单位的营业执照或生产许可证，进口样品可提供代理商资质；</w:t>
      </w:r>
    </w:p>
    <w:p w14:paraId="4E1524C4" w14:textId="77777777" w:rsidR="004D6706" w:rsidRDefault="004D6706" w:rsidP="004D6706">
      <w:pPr>
        <w:spacing w:line="576"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《国家药监局关于进一步完善药品关联审评审批和监管工作有关事宜的公告》（</w:t>
      </w:r>
      <w:r>
        <w:rPr>
          <w:rFonts w:ascii="Times New Roman" w:eastAsia="仿宋_GB2312" w:hAnsi="Times New Roman" w:hint="eastAsia"/>
          <w:sz w:val="32"/>
          <w:szCs w:val="32"/>
        </w:rPr>
        <w:t>2019</w:t>
      </w:r>
      <w:r>
        <w:rPr>
          <w:rFonts w:ascii="Times New Roman" w:eastAsia="仿宋_GB2312" w:hAnsi="Times New Roman" w:hint="eastAsia"/>
          <w:sz w:val="32"/>
          <w:szCs w:val="32"/>
        </w:rPr>
        <w:t>年</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第</w:t>
      </w:r>
      <w:r>
        <w:rPr>
          <w:rFonts w:ascii="Times New Roman" w:eastAsia="仿宋_GB2312" w:hAnsi="Times New Roman" w:hint="eastAsia"/>
          <w:sz w:val="32"/>
          <w:szCs w:val="32"/>
        </w:rPr>
        <w:t>56</w:t>
      </w:r>
      <w:r>
        <w:rPr>
          <w:rFonts w:ascii="Times New Roman" w:eastAsia="仿宋_GB2312" w:hAnsi="Times New Roman" w:hint="eastAsia"/>
          <w:sz w:val="32"/>
          <w:szCs w:val="32"/>
        </w:rPr>
        <w:t>号）附件中与检验相关的备案资料，应包括但不限于如下内容：</w:t>
      </w:r>
    </w:p>
    <w:p w14:paraId="1C3058E2" w14:textId="77777777" w:rsidR="004D6706" w:rsidRDefault="004D6706" w:rsidP="004D6706">
      <w:pPr>
        <w:spacing w:line="576" w:lineRule="exact"/>
        <w:ind w:firstLineChars="200" w:firstLine="628"/>
        <w:rPr>
          <w:rFonts w:ascii="Times New Roman" w:eastAsia="仿宋_GB2312" w:hAnsi="Times New Roman"/>
          <w:spacing w:val="-3"/>
          <w:sz w:val="32"/>
          <w:szCs w:val="32"/>
        </w:rPr>
      </w:pPr>
      <w:r>
        <w:rPr>
          <w:rFonts w:ascii="Times New Roman" w:eastAsia="仿宋_GB2312" w:hAnsi="Times New Roman" w:hint="eastAsia"/>
          <w:spacing w:val="-3"/>
          <w:sz w:val="32"/>
          <w:szCs w:val="32"/>
        </w:rPr>
        <w:t>2.1.</w:t>
      </w:r>
      <w:r>
        <w:rPr>
          <w:rFonts w:ascii="Times New Roman" w:eastAsia="仿宋_GB2312" w:hAnsi="Times New Roman" w:hint="eastAsia"/>
          <w:spacing w:val="-3"/>
          <w:sz w:val="32"/>
          <w:szCs w:val="32"/>
        </w:rPr>
        <w:t>基本信息，如应包含药用辅料的结构、组分、型号、来源等，应明确药用辅料的化学文摘号或</w:t>
      </w:r>
      <w:r>
        <w:rPr>
          <w:rFonts w:ascii="Times New Roman" w:eastAsia="仿宋_GB2312" w:hAnsi="Times New Roman" w:hint="eastAsia"/>
          <w:spacing w:val="-3"/>
          <w:sz w:val="32"/>
          <w:szCs w:val="32"/>
        </w:rPr>
        <w:t>UNII</w:t>
      </w:r>
      <w:r>
        <w:rPr>
          <w:rFonts w:ascii="Times New Roman" w:eastAsia="仿宋_GB2312" w:hAnsi="Times New Roman" w:hint="eastAsia"/>
          <w:spacing w:val="-3"/>
          <w:sz w:val="32"/>
          <w:szCs w:val="32"/>
        </w:rPr>
        <w:t>号（如果是预混辅料或共处理辅料需注明单一辅料的名称、结构及用量）。</w:t>
      </w:r>
    </w:p>
    <w:p w14:paraId="05CE9C3D" w14:textId="77777777" w:rsidR="004D6706" w:rsidRDefault="004D6706" w:rsidP="004D6706">
      <w:pPr>
        <w:spacing w:line="576"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2.2.</w:t>
      </w:r>
      <w:r>
        <w:rPr>
          <w:rFonts w:ascii="Times New Roman" w:eastAsia="仿宋_GB2312" w:hAnsi="Times New Roman" w:hint="eastAsia"/>
          <w:sz w:val="32"/>
          <w:szCs w:val="32"/>
        </w:rPr>
        <w:t>生产信息，如应包括药包材中各个组件的配方信息、生产工艺、药包材的保护性和功能性；应包含药用辅料的原料、生产工艺、过程控制等。</w:t>
      </w:r>
    </w:p>
    <w:p w14:paraId="624C843C" w14:textId="77777777" w:rsidR="004D6706" w:rsidRDefault="004D6706" w:rsidP="004D6706">
      <w:pPr>
        <w:spacing w:line="576"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2.3.</w:t>
      </w:r>
      <w:r>
        <w:rPr>
          <w:rFonts w:ascii="Times New Roman" w:eastAsia="仿宋_GB2312" w:hAnsi="Times New Roman" w:hint="eastAsia"/>
          <w:sz w:val="32"/>
          <w:szCs w:val="32"/>
        </w:rPr>
        <w:t>特性鉴定信息，如辅料理化性质、杂质信息及研究内</w:t>
      </w:r>
      <w:r>
        <w:rPr>
          <w:rFonts w:ascii="Times New Roman" w:eastAsia="仿宋_GB2312" w:hAnsi="Times New Roman" w:hint="eastAsia"/>
          <w:sz w:val="32"/>
          <w:szCs w:val="32"/>
        </w:rPr>
        <w:lastRenderedPageBreak/>
        <w:t>容、辅料功能性信息及研究内容等。其中高分子药用辅料应明确型号、分子量及其分布范围、聚合度、取代度等信息，有立体结构和多晶型现象应特别说明，对于功能性药用辅料应结合制剂中的用途提供功能性关键质量属性指标研究资料等。</w:t>
      </w:r>
    </w:p>
    <w:p w14:paraId="2C79D4DB" w14:textId="77777777" w:rsidR="004D6706" w:rsidRPr="00D8397B" w:rsidRDefault="004D6706" w:rsidP="004D6706">
      <w:pPr>
        <w:spacing w:line="576" w:lineRule="exact"/>
        <w:ind w:firstLineChars="200" w:firstLine="640"/>
        <w:rPr>
          <w:rFonts w:ascii="Times New Roman" w:eastAsia="仿宋_GB2312" w:hAnsi="Times New Roman"/>
          <w:spacing w:val="10"/>
          <w:sz w:val="32"/>
          <w:szCs w:val="32"/>
        </w:rPr>
      </w:pPr>
      <w:r>
        <w:rPr>
          <w:rFonts w:ascii="Times New Roman" w:eastAsia="仿宋_GB2312" w:hAnsi="Times New Roman" w:hint="eastAsia"/>
          <w:sz w:val="32"/>
          <w:szCs w:val="32"/>
        </w:rPr>
        <w:t>2.4.</w:t>
      </w:r>
      <w:r>
        <w:rPr>
          <w:rFonts w:ascii="Times New Roman" w:eastAsia="仿宋_GB2312" w:hAnsi="Times New Roman" w:hint="eastAsia"/>
          <w:sz w:val="32"/>
          <w:szCs w:val="32"/>
        </w:rPr>
        <w:t>质量控制文件，应包含送检的药用辅料</w:t>
      </w:r>
      <w:r w:rsidRPr="00D8397B">
        <w:rPr>
          <w:rFonts w:ascii="仿宋_GB2312" w:eastAsia="仿宋_GB2312" w:hAnsi="Times New Roman" w:hint="eastAsia"/>
          <w:sz w:val="32"/>
          <w:szCs w:val="32"/>
        </w:rPr>
        <w:t>/</w:t>
      </w:r>
      <w:r>
        <w:rPr>
          <w:rFonts w:ascii="Times New Roman" w:eastAsia="仿宋_GB2312" w:hAnsi="Times New Roman" w:hint="eastAsia"/>
          <w:sz w:val="32"/>
          <w:szCs w:val="32"/>
        </w:rPr>
        <w:t>药包材在各国药典或相关标准中的收载情况，药用辅料应说明其在制剂中的给药途径与药典标准规定用途是否一致，并对比各国药典或相关标准与申报标准之间的项目、限度间差异，汇总成表（横向表头为所对比的标准名称，纵向表头为各检验项目的名称，表格内需详细填写标准规定及限度），如送检的药用辅料</w:t>
      </w:r>
      <w:r w:rsidRPr="00D8397B">
        <w:rPr>
          <w:rFonts w:ascii="仿宋_GB2312" w:eastAsia="仿宋_GB2312" w:hAnsi="Times New Roman" w:hint="eastAsia"/>
          <w:sz w:val="32"/>
          <w:szCs w:val="32"/>
        </w:rPr>
        <w:t>/</w:t>
      </w:r>
      <w:proofErr w:type="gramStart"/>
      <w:r>
        <w:rPr>
          <w:rFonts w:ascii="Times New Roman" w:eastAsia="仿宋_GB2312" w:hAnsi="Times New Roman" w:hint="eastAsia"/>
          <w:sz w:val="32"/>
          <w:szCs w:val="32"/>
        </w:rPr>
        <w:t>药包材因其</w:t>
      </w:r>
      <w:proofErr w:type="gramEnd"/>
      <w:r>
        <w:rPr>
          <w:rFonts w:ascii="Times New Roman" w:eastAsia="仿宋_GB2312" w:hAnsi="Times New Roman" w:hint="eastAsia"/>
          <w:sz w:val="32"/>
          <w:szCs w:val="32"/>
        </w:rPr>
        <w:t>特殊性质，导致其某项限度规定等与各</w:t>
      </w:r>
      <w:r w:rsidRPr="00D8397B">
        <w:rPr>
          <w:rFonts w:ascii="Times New Roman" w:eastAsia="仿宋_GB2312" w:hAnsi="Times New Roman" w:hint="eastAsia"/>
          <w:spacing w:val="10"/>
          <w:sz w:val="32"/>
          <w:szCs w:val="32"/>
        </w:rPr>
        <w:t>国药典或相关标准有差异时，应提供详细的说明及验证资料。</w:t>
      </w:r>
    </w:p>
    <w:p w14:paraId="58E78DFA" w14:textId="77777777" w:rsidR="004D6706" w:rsidRPr="00D8397B" w:rsidRDefault="004D6706" w:rsidP="004D6706">
      <w:pPr>
        <w:spacing w:line="576" w:lineRule="exact"/>
        <w:ind w:firstLineChars="200" w:firstLine="640"/>
        <w:rPr>
          <w:rFonts w:ascii="Times New Roman" w:eastAsia="仿宋_GB2312" w:hAnsi="Times New Roman"/>
          <w:spacing w:val="10"/>
          <w:sz w:val="32"/>
          <w:szCs w:val="32"/>
        </w:rPr>
      </w:pPr>
      <w:r>
        <w:rPr>
          <w:rFonts w:ascii="Times New Roman" w:eastAsia="仿宋_GB2312" w:hAnsi="Times New Roman" w:hint="eastAsia"/>
          <w:sz w:val="32"/>
          <w:szCs w:val="32"/>
        </w:rPr>
        <w:t>进口或执行企业标准的药用辅料</w:t>
      </w:r>
      <w:r w:rsidRPr="00D8397B">
        <w:rPr>
          <w:rFonts w:ascii="仿宋_GB2312" w:eastAsia="仿宋_GB2312" w:hAnsi="Times New Roman" w:hint="eastAsia"/>
          <w:sz w:val="32"/>
          <w:szCs w:val="32"/>
        </w:rPr>
        <w:t>/</w:t>
      </w:r>
      <w:r>
        <w:rPr>
          <w:rFonts w:ascii="Times New Roman" w:eastAsia="仿宋_GB2312" w:hAnsi="Times New Roman" w:hint="eastAsia"/>
          <w:sz w:val="32"/>
          <w:szCs w:val="32"/>
        </w:rPr>
        <w:t>药包</w:t>
      </w:r>
      <w:proofErr w:type="gramStart"/>
      <w:r>
        <w:rPr>
          <w:rFonts w:ascii="Times New Roman" w:eastAsia="仿宋_GB2312" w:hAnsi="Times New Roman" w:hint="eastAsia"/>
          <w:sz w:val="32"/>
          <w:szCs w:val="32"/>
        </w:rPr>
        <w:t>材品种</w:t>
      </w:r>
      <w:proofErr w:type="gramEnd"/>
      <w:r>
        <w:rPr>
          <w:rFonts w:ascii="Times New Roman" w:eastAsia="仿宋_GB2312" w:hAnsi="Times New Roman" w:hint="eastAsia"/>
          <w:sz w:val="32"/>
          <w:szCs w:val="32"/>
        </w:rPr>
        <w:t>可按照现行版《中国药典》或《国家药包材标准》（</w:t>
      </w:r>
      <w:r>
        <w:rPr>
          <w:rFonts w:ascii="Times New Roman" w:eastAsia="仿宋_GB2312" w:hAnsi="Times New Roman" w:hint="eastAsia"/>
          <w:sz w:val="32"/>
          <w:szCs w:val="32"/>
        </w:rPr>
        <w:t>YBB</w:t>
      </w:r>
      <w:r>
        <w:rPr>
          <w:rFonts w:ascii="Times New Roman" w:eastAsia="仿宋_GB2312" w:hAnsi="Times New Roman" w:hint="eastAsia"/>
          <w:sz w:val="32"/>
          <w:szCs w:val="32"/>
        </w:rPr>
        <w:t>标准）的格式整理品种标准及起草说明，并加盖生产厂家或进口代理公司骑缝鲜章。若已提交备案的标准未按上述要求整理，则需</w:t>
      </w:r>
      <w:r w:rsidRPr="00D8397B">
        <w:rPr>
          <w:rFonts w:ascii="Times New Roman" w:eastAsia="仿宋_GB2312" w:hAnsi="Times New Roman" w:hint="eastAsia"/>
          <w:spacing w:val="10"/>
          <w:sz w:val="32"/>
          <w:szCs w:val="32"/>
        </w:rPr>
        <w:t>按上述格式要求，并提供标准中各项目详细操作的说明文件。</w:t>
      </w:r>
    </w:p>
    <w:p w14:paraId="463EA768" w14:textId="77777777" w:rsidR="004D6706" w:rsidRPr="00D8397B" w:rsidRDefault="004D6706" w:rsidP="004D6706">
      <w:pPr>
        <w:spacing w:line="576" w:lineRule="exact"/>
        <w:ind w:firstLineChars="200" w:firstLine="640"/>
        <w:rPr>
          <w:rFonts w:ascii="Times New Roman" w:eastAsia="仿宋_GB2312" w:hAnsi="Times New Roman"/>
          <w:spacing w:val="10"/>
          <w:sz w:val="32"/>
          <w:szCs w:val="32"/>
        </w:rPr>
      </w:pPr>
      <w:r>
        <w:rPr>
          <w:rFonts w:ascii="Times New Roman" w:eastAsia="仿宋_GB2312" w:hAnsi="Times New Roman" w:hint="eastAsia"/>
          <w:sz w:val="32"/>
          <w:szCs w:val="32"/>
        </w:rPr>
        <w:t>应提供质量标准的制定依据、分析方法的验证资料（如适用），对注册检验要求中</w:t>
      </w:r>
      <w:proofErr w:type="gramStart"/>
      <w:r>
        <w:rPr>
          <w:rFonts w:ascii="Times New Roman" w:eastAsia="仿宋_GB2312" w:hAnsi="Times New Roman" w:hint="eastAsia"/>
          <w:sz w:val="32"/>
          <w:szCs w:val="32"/>
        </w:rPr>
        <w:t>明确需</w:t>
      </w:r>
      <w:proofErr w:type="gramEnd"/>
      <w:r>
        <w:rPr>
          <w:rFonts w:ascii="Times New Roman" w:eastAsia="仿宋_GB2312" w:hAnsi="Times New Roman" w:hint="eastAsia"/>
          <w:sz w:val="32"/>
          <w:szCs w:val="32"/>
        </w:rPr>
        <w:t>进行微生物限度或细菌内</w:t>
      </w:r>
      <w:r w:rsidRPr="00D8397B">
        <w:rPr>
          <w:rFonts w:ascii="Times New Roman" w:eastAsia="仿宋_GB2312" w:hAnsi="Times New Roman" w:hint="eastAsia"/>
          <w:spacing w:val="10"/>
          <w:sz w:val="32"/>
          <w:szCs w:val="32"/>
        </w:rPr>
        <w:t>毒素检测的，其中分析方法验证资料应包含相应的验证资料。</w:t>
      </w:r>
    </w:p>
    <w:p w14:paraId="6CA916B9" w14:textId="77777777" w:rsidR="004D6706" w:rsidRDefault="004D6706" w:rsidP="004D6706">
      <w:pPr>
        <w:spacing w:line="576"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lastRenderedPageBreak/>
        <w:t>2.5.</w:t>
      </w:r>
      <w:r>
        <w:rPr>
          <w:rFonts w:ascii="Times New Roman" w:eastAsia="仿宋_GB2312" w:hAnsi="Times New Roman" w:hint="eastAsia"/>
          <w:sz w:val="32"/>
          <w:szCs w:val="32"/>
        </w:rPr>
        <w:t>稳定性、相容性及安全性资料，应提供药用辅料稳定性、安全性等资料（如有）；应提供药包材自身稳定性、功能性、保护性、相容性、安全性等资料（如有）。</w:t>
      </w:r>
    </w:p>
    <w:p w14:paraId="2DD99E29" w14:textId="77777777" w:rsidR="004D6706" w:rsidRDefault="004D6706" w:rsidP="004D6706">
      <w:pPr>
        <w:spacing w:line="576"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送检样品的检验报告书。</w:t>
      </w:r>
    </w:p>
    <w:p w14:paraId="1095548D" w14:textId="77777777" w:rsidR="004D6706" w:rsidRDefault="004D6706" w:rsidP="004D6706">
      <w:pPr>
        <w:spacing w:line="576"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4.</w:t>
      </w:r>
      <w:r>
        <w:rPr>
          <w:rFonts w:ascii="Times New Roman" w:eastAsia="仿宋_GB2312" w:hAnsi="Times New Roman" w:hint="eastAsia"/>
          <w:sz w:val="32"/>
          <w:szCs w:val="32"/>
        </w:rPr>
        <w:t>标准品、对照品或对照物质的检验报告书及相关资料（如适用）。</w:t>
      </w:r>
    </w:p>
    <w:p w14:paraId="4BD96DE7" w14:textId="77777777" w:rsidR="004D6706" w:rsidRPr="00D8397B" w:rsidRDefault="004D6706" w:rsidP="004D6706">
      <w:pPr>
        <w:spacing w:line="576" w:lineRule="exact"/>
        <w:ind w:firstLineChars="200" w:firstLine="640"/>
        <w:rPr>
          <w:rFonts w:ascii="Times New Roman" w:eastAsia="仿宋_GB2312" w:hAnsi="Times New Roman"/>
          <w:b/>
          <w:spacing w:val="10"/>
          <w:sz w:val="32"/>
          <w:szCs w:val="32"/>
        </w:rPr>
      </w:pPr>
      <w:r>
        <w:rPr>
          <w:rFonts w:ascii="Times New Roman" w:eastAsia="仿宋_GB2312" w:hAnsi="Times New Roman" w:hint="eastAsia"/>
          <w:sz w:val="32"/>
          <w:szCs w:val="32"/>
        </w:rPr>
        <w:t>以上资料（加盖生产厂家或进口代理公司的公章）除在</w:t>
      </w:r>
      <w:r w:rsidRPr="00D8397B">
        <w:rPr>
          <w:rFonts w:ascii="Times New Roman" w:eastAsia="仿宋_GB2312" w:hAnsi="Times New Roman" w:hint="eastAsia"/>
          <w:spacing w:val="10"/>
          <w:sz w:val="32"/>
          <w:szCs w:val="32"/>
        </w:rPr>
        <w:t>系统内上传电子版外，原则上需在送检时同时提供纸质资料。</w:t>
      </w:r>
    </w:p>
    <w:p w14:paraId="6F5A1819" w14:textId="77777777" w:rsidR="004D6706" w:rsidRDefault="004D6706" w:rsidP="004D6706">
      <w:pPr>
        <w:pStyle w:val="a9"/>
        <w:spacing w:line="576" w:lineRule="exact"/>
        <w:ind w:firstLine="640"/>
        <w:rPr>
          <w:rFonts w:ascii="Times New Roman" w:eastAsia="仿宋_GB2312" w:hAnsi="Times New Roman"/>
          <w:b/>
          <w:sz w:val="32"/>
          <w:szCs w:val="32"/>
        </w:rPr>
      </w:pPr>
      <w:r>
        <w:rPr>
          <w:rFonts w:ascii="Times New Roman" w:eastAsia="黑体" w:hAnsi="Times New Roman" w:cs="黑体" w:hint="eastAsia"/>
          <w:bCs/>
          <w:sz w:val="32"/>
          <w:szCs w:val="32"/>
        </w:rPr>
        <w:t>二、检验用样品、标准物质、特殊实验用品的要求</w:t>
      </w:r>
    </w:p>
    <w:p w14:paraId="6E5B6779" w14:textId="77777777" w:rsidR="004D6706" w:rsidRDefault="004D6706" w:rsidP="004D6706">
      <w:pPr>
        <w:spacing w:line="576" w:lineRule="exact"/>
        <w:ind w:firstLineChars="200" w:firstLine="640"/>
        <w:rPr>
          <w:rFonts w:ascii="Times New Roman" w:eastAsia="楷体_GB2312" w:hAnsi="Times New Roman" w:cs="楷体_GB2312"/>
          <w:sz w:val="32"/>
          <w:szCs w:val="32"/>
        </w:rPr>
      </w:pPr>
      <w:r>
        <w:rPr>
          <w:rFonts w:ascii="Times New Roman" w:eastAsia="楷体_GB2312" w:hAnsi="Times New Roman" w:cs="楷体_GB2312" w:hint="eastAsia"/>
          <w:sz w:val="32"/>
          <w:szCs w:val="32"/>
        </w:rPr>
        <w:t>（一）检验用样品</w:t>
      </w:r>
    </w:p>
    <w:p w14:paraId="439D787B" w14:textId="77777777" w:rsidR="004D6706" w:rsidRDefault="004D6706" w:rsidP="004D6706">
      <w:pPr>
        <w:spacing w:line="576"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药用辅料</w:t>
      </w:r>
      <w:r w:rsidRPr="00D8397B">
        <w:rPr>
          <w:rFonts w:ascii="仿宋_GB2312" w:eastAsia="仿宋_GB2312" w:hAnsi="Times New Roman" w:hint="eastAsia"/>
          <w:sz w:val="32"/>
          <w:szCs w:val="32"/>
        </w:rPr>
        <w:t>/</w:t>
      </w:r>
      <w:r>
        <w:rPr>
          <w:rFonts w:ascii="Times New Roman" w:eastAsia="仿宋_GB2312" w:hAnsi="Times New Roman" w:hint="eastAsia"/>
          <w:sz w:val="32"/>
          <w:szCs w:val="32"/>
        </w:rPr>
        <w:t>药包材检验的样品应该为生产批次的市售包装样品，一般应为三批，如因产量等情况无法提供三批时，需提供说明。药用辅料涉及多种规格的，提供关联制剂中使用到的每个规格三批样品。如市售包装过大，可根据实验需要进行分装；检验样品的相关信息（如产地、包装材料等）应与药用辅料</w:t>
      </w:r>
      <w:r w:rsidRPr="00D8397B">
        <w:rPr>
          <w:rFonts w:ascii="仿宋_GB2312" w:eastAsia="仿宋_GB2312" w:hAnsi="Times New Roman" w:hint="eastAsia"/>
          <w:sz w:val="32"/>
          <w:szCs w:val="32"/>
        </w:rPr>
        <w:t>/</w:t>
      </w:r>
      <w:r>
        <w:rPr>
          <w:rFonts w:ascii="Times New Roman" w:eastAsia="仿宋_GB2312" w:hAnsi="Times New Roman" w:hint="eastAsia"/>
          <w:sz w:val="32"/>
          <w:szCs w:val="32"/>
        </w:rPr>
        <w:t>药包材关联</w:t>
      </w:r>
      <w:proofErr w:type="gramStart"/>
      <w:r>
        <w:rPr>
          <w:rFonts w:ascii="Times New Roman" w:eastAsia="仿宋_GB2312" w:hAnsi="Times New Roman" w:hint="eastAsia"/>
          <w:sz w:val="32"/>
          <w:szCs w:val="32"/>
        </w:rPr>
        <w:t>审评审批</w:t>
      </w:r>
      <w:proofErr w:type="gramEnd"/>
      <w:r>
        <w:rPr>
          <w:rFonts w:ascii="Times New Roman" w:eastAsia="仿宋_GB2312" w:hAnsi="Times New Roman" w:hint="eastAsia"/>
          <w:sz w:val="32"/>
          <w:szCs w:val="32"/>
        </w:rPr>
        <w:t>登记时提供的信息一致；检验样品对应的制剂</w:t>
      </w:r>
      <w:proofErr w:type="gramStart"/>
      <w:r>
        <w:rPr>
          <w:rFonts w:ascii="Times New Roman" w:eastAsia="仿宋_GB2312" w:hAnsi="Times New Roman" w:hint="eastAsia"/>
          <w:sz w:val="32"/>
          <w:szCs w:val="32"/>
        </w:rPr>
        <w:t>受理号需确认</w:t>
      </w:r>
      <w:proofErr w:type="gramEnd"/>
      <w:r>
        <w:rPr>
          <w:rFonts w:ascii="Times New Roman" w:eastAsia="仿宋_GB2312" w:hAnsi="Times New Roman" w:hint="eastAsia"/>
          <w:sz w:val="32"/>
          <w:szCs w:val="32"/>
        </w:rPr>
        <w:t>无误，通常对应一个制剂受理号，当对应多个制剂受理号时，应出具相关证明性文件。</w:t>
      </w:r>
    </w:p>
    <w:p w14:paraId="0B23D357" w14:textId="77777777" w:rsidR="004D6706" w:rsidRDefault="004D6706" w:rsidP="004D6706">
      <w:pPr>
        <w:spacing w:line="576"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药用辅料每批样品量为全检量的</w:t>
      </w:r>
      <w:r>
        <w:rPr>
          <w:rFonts w:ascii="Times New Roman" w:eastAsia="仿宋_GB2312" w:hAnsi="Times New Roman" w:hint="eastAsia"/>
          <w:sz w:val="32"/>
          <w:szCs w:val="32"/>
        </w:rPr>
        <w:t>2</w:t>
      </w:r>
      <w:r>
        <w:rPr>
          <w:rFonts w:ascii="Times New Roman" w:eastAsia="仿宋_GB2312" w:hAnsi="Times New Roman" w:hint="eastAsia"/>
          <w:sz w:val="32"/>
          <w:szCs w:val="32"/>
        </w:rPr>
        <w:t>倍，特殊情况下（贵重样品、特殊管理的样品）</w:t>
      </w:r>
      <w:proofErr w:type="gramStart"/>
      <w:r>
        <w:rPr>
          <w:rFonts w:ascii="Times New Roman" w:eastAsia="仿宋_GB2312" w:hAnsi="Times New Roman" w:hint="eastAsia"/>
          <w:sz w:val="32"/>
          <w:szCs w:val="32"/>
        </w:rPr>
        <w:t>如检品不足</w:t>
      </w:r>
      <w:r>
        <w:rPr>
          <w:rFonts w:ascii="Times New Roman" w:eastAsia="仿宋_GB2312" w:hAnsi="Times New Roman" w:hint="eastAsia"/>
          <w:sz w:val="32"/>
          <w:szCs w:val="32"/>
        </w:rPr>
        <w:t>2</w:t>
      </w:r>
      <w:r>
        <w:rPr>
          <w:rFonts w:ascii="Times New Roman" w:eastAsia="仿宋_GB2312" w:hAnsi="Times New Roman" w:hint="eastAsia"/>
          <w:sz w:val="32"/>
          <w:szCs w:val="32"/>
        </w:rPr>
        <w:t>倍</w:t>
      </w:r>
      <w:proofErr w:type="gramEnd"/>
      <w:r>
        <w:rPr>
          <w:rFonts w:ascii="Times New Roman" w:eastAsia="仿宋_GB2312" w:hAnsi="Times New Roman" w:hint="eastAsia"/>
          <w:sz w:val="32"/>
          <w:szCs w:val="32"/>
        </w:rPr>
        <w:t>量时，注明“不申请复验”可酌情减量，但不得少于检验及复试用量。每批样品应至少按</w:t>
      </w:r>
      <w:r>
        <w:rPr>
          <w:rFonts w:ascii="Times New Roman" w:eastAsia="仿宋_GB2312" w:hAnsi="Times New Roman" w:hint="eastAsia"/>
          <w:sz w:val="32"/>
          <w:szCs w:val="32"/>
        </w:rPr>
        <w:t>1</w:t>
      </w:r>
      <w:r>
        <w:rPr>
          <w:rFonts w:ascii="Times New Roman" w:eastAsia="仿宋_GB2312" w:hAnsi="Times New Roman" w:hint="eastAsia"/>
          <w:sz w:val="32"/>
          <w:szCs w:val="32"/>
        </w:rPr>
        <w:t>∶</w:t>
      </w:r>
      <w:r>
        <w:rPr>
          <w:rFonts w:ascii="Times New Roman" w:eastAsia="仿宋_GB2312" w:hAnsi="Times New Roman" w:hint="eastAsia"/>
          <w:sz w:val="32"/>
          <w:szCs w:val="32"/>
        </w:rPr>
        <w:t>0.5</w:t>
      </w:r>
      <w:r>
        <w:rPr>
          <w:rFonts w:ascii="Times New Roman" w:eastAsia="仿宋_GB2312" w:hAnsi="Times New Roman" w:hint="eastAsia"/>
          <w:sz w:val="32"/>
          <w:szCs w:val="32"/>
        </w:rPr>
        <w:t>∶</w:t>
      </w:r>
      <w:r>
        <w:rPr>
          <w:rFonts w:ascii="Times New Roman" w:eastAsia="仿宋_GB2312" w:hAnsi="Times New Roman" w:hint="eastAsia"/>
          <w:sz w:val="32"/>
          <w:szCs w:val="32"/>
        </w:rPr>
        <w:t>0.5</w:t>
      </w:r>
      <w:r>
        <w:rPr>
          <w:rFonts w:ascii="Times New Roman" w:eastAsia="仿宋_GB2312" w:hAnsi="Times New Roman" w:hint="eastAsia"/>
          <w:sz w:val="32"/>
          <w:szCs w:val="32"/>
        </w:rPr>
        <w:t>的比例分为</w:t>
      </w:r>
      <w:r>
        <w:rPr>
          <w:rFonts w:ascii="Times New Roman" w:eastAsia="仿宋_GB2312" w:hAnsi="Times New Roman" w:hint="eastAsia"/>
          <w:sz w:val="32"/>
          <w:szCs w:val="32"/>
        </w:rPr>
        <w:t>3</w:t>
      </w:r>
      <w:r>
        <w:rPr>
          <w:rFonts w:ascii="Times New Roman" w:eastAsia="仿宋_GB2312" w:hAnsi="Times New Roman" w:hint="eastAsia"/>
          <w:sz w:val="32"/>
          <w:szCs w:val="32"/>
        </w:rPr>
        <w:t>个独立包装，样品剩余有效期原则上不少于</w:t>
      </w:r>
      <w:r>
        <w:rPr>
          <w:rFonts w:ascii="Times New Roman" w:eastAsia="仿宋_GB2312" w:hAnsi="Times New Roman" w:hint="eastAsia"/>
          <w:sz w:val="32"/>
          <w:szCs w:val="32"/>
        </w:rPr>
        <w:t>2</w:t>
      </w:r>
      <w:r>
        <w:rPr>
          <w:rFonts w:ascii="Times New Roman" w:eastAsia="仿宋_GB2312" w:hAnsi="Times New Roman" w:hint="eastAsia"/>
          <w:sz w:val="32"/>
          <w:szCs w:val="32"/>
        </w:rPr>
        <w:t>倍药品注册检验时限；如同时进行</w:t>
      </w:r>
      <w:r>
        <w:rPr>
          <w:rFonts w:ascii="Times New Roman" w:eastAsia="仿宋_GB2312" w:hAnsi="Times New Roman" w:hint="eastAsia"/>
          <w:sz w:val="32"/>
          <w:szCs w:val="32"/>
        </w:rPr>
        <w:lastRenderedPageBreak/>
        <w:t>样品检验和标准复核的，不少于</w:t>
      </w:r>
      <w:r>
        <w:rPr>
          <w:rFonts w:ascii="Times New Roman" w:eastAsia="仿宋_GB2312" w:hAnsi="Times New Roman" w:hint="eastAsia"/>
          <w:sz w:val="32"/>
          <w:szCs w:val="32"/>
        </w:rPr>
        <w:t>180</w:t>
      </w:r>
      <w:r>
        <w:rPr>
          <w:rFonts w:ascii="Times New Roman" w:eastAsia="仿宋_GB2312" w:hAnsi="Times New Roman" w:hint="eastAsia"/>
          <w:sz w:val="32"/>
          <w:szCs w:val="32"/>
        </w:rPr>
        <w:t>个工作日；如仅进行样品检验的，不少于</w:t>
      </w:r>
      <w:r>
        <w:rPr>
          <w:rFonts w:ascii="Times New Roman" w:eastAsia="仿宋_GB2312" w:hAnsi="Times New Roman" w:hint="eastAsia"/>
          <w:sz w:val="32"/>
          <w:szCs w:val="32"/>
        </w:rPr>
        <w:t>120</w:t>
      </w:r>
      <w:r>
        <w:rPr>
          <w:rFonts w:ascii="Times New Roman" w:eastAsia="仿宋_GB2312" w:hAnsi="Times New Roman" w:hint="eastAsia"/>
          <w:sz w:val="32"/>
          <w:szCs w:val="32"/>
        </w:rPr>
        <w:t>个工作日，</w:t>
      </w:r>
      <w:r>
        <w:rPr>
          <w:rFonts w:ascii="Times New Roman" w:eastAsia="仿宋_GB2312" w:hAnsi="Times New Roman" w:hint="eastAsia"/>
          <w:bCs/>
          <w:sz w:val="32"/>
          <w:szCs w:val="32"/>
        </w:rPr>
        <w:t>特殊情况下，申请人可与相应药品检验机构协商。</w:t>
      </w:r>
      <w:r>
        <w:rPr>
          <w:rFonts w:ascii="Times New Roman" w:eastAsia="仿宋_GB2312" w:hAnsi="Times New Roman" w:hint="eastAsia"/>
          <w:sz w:val="32"/>
          <w:szCs w:val="32"/>
        </w:rPr>
        <w:t>药包材样品应选择有代表性的规格，每批样品量为全检量的</w:t>
      </w:r>
      <w:r>
        <w:rPr>
          <w:rFonts w:ascii="Times New Roman" w:eastAsia="仿宋_GB2312" w:hAnsi="Times New Roman" w:hint="eastAsia"/>
          <w:sz w:val="32"/>
          <w:szCs w:val="32"/>
        </w:rPr>
        <w:t>2</w:t>
      </w:r>
      <w:r>
        <w:rPr>
          <w:rFonts w:ascii="Times New Roman" w:eastAsia="仿宋_GB2312" w:hAnsi="Times New Roman" w:hint="eastAsia"/>
          <w:sz w:val="32"/>
          <w:szCs w:val="32"/>
        </w:rPr>
        <w:t>倍，全检量应按照《计数抽样检验程序》（</w:t>
      </w:r>
      <w:r>
        <w:rPr>
          <w:rFonts w:ascii="Times New Roman" w:eastAsia="仿宋_GB2312" w:hAnsi="Times New Roman" w:hint="eastAsia"/>
          <w:sz w:val="32"/>
          <w:szCs w:val="32"/>
        </w:rPr>
        <w:t>GB/T 2828.1</w:t>
      </w:r>
      <w:r>
        <w:rPr>
          <w:rFonts w:ascii="Times New Roman" w:eastAsia="仿宋_GB2312" w:hAnsi="Times New Roman" w:hint="eastAsia"/>
          <w:sz w:val="32"/>
          <w:szCs w:val="32"/>
        </w:rPr>
        <w:t>）规定及标准规定样品量综合计算，同时样品送检登记时应注明</w:t>
      </w:r>
      <w:proofErr w:type="gramStart"/>
      <w:r>
        <w:rPr>
          <w:rFonts w:ascii="Times New Roman" w:eastAsia="仿宋_GB2312" w:hAnsi="Times New Roman" w:hint="eastAsia"/>
          <w:sz w:val="32"/>
          <w:szCs w:val="32"/>
        </w:rPr>
        <w:t>批量或</w:t>
      </w:r>
      <w:proofErr w:type="gramEnd"/>
      <w:r>
        <w:rPr>
          <w:rFonts w:ascii="Times New Roman" w:eastAsia="仿宋_GB2312" w:hAnsi="Times New Roman" w:hint="eastAsia"/>
          <w:sz w:val="32"/>
          <w:szCs w:val="32"/>
        </w:rPr>
        <w:t>购入量。</w:t>
      </w:r>
    </w:p>
    <w:p w14:paraId="786F5D1C" w14:textId="77777777" w:rsidR="004D6706" w:rsidRDefault="004D6706" w:rsidP="004D6706">
      <w:pPr>
        <w:spacing w:line="576"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应对药用辅料和药包材的样品的最小包装进行标识，标识应清晰，内容应包括样品名称、批号、规格、生产厂家、贮存条件和有效期，进口样品还应包含代理商信息等。</w:t>
      </w:r>
    </w:p>
    <w:p w14:paraId="6353F754" w14:textId="77777777" w:rsidR="004D6706" w:rsidRDefault="004D6706" w:rsidP="004D6706">
      <w:pPr>
        <w:spacing w:line="576"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4.</w:t>
      </w:r>
      <w:r>
        <w:rPr>
          <w:rFonts w:ascii="Times New Roman" w:eastAsia="仿宋_GB2312" w:hAnsi="Times New Roman" w:hint="eastAsia"/>
          <w:sz w:val="32"/>
          <w:szCs w:val="32"/>
        </w:rPr>
        <w:t>申报药用辅料</w:t>
      </w:r>
      <w:r w:rsidRPr="00D8397B">
        <w:rPr>
          <w:rFonts w:ascii="仿宋_GB2312" w:eastAsia="仿宋_GB2312" w:hAnsi="Times New Roman" w:hint="eastAsia"/>
          <w:sz w:val="32"/>
          <w:szCs w:val="32"/>
        </w:rPr>
        <w:t>/</w:t>
      </w:r>
      <w:r>
        <w:rPr>
          <w:rFonts w:ascii="Times New Roman" w:eastAsia="仿宋_GB2312" w:hAnsi="Times New Roman" w:hint="eastAsia"/>
          <w:sz w:val="32"/>
          <w:szCs w:val="32"/>
        </w:rPr>
        <w:t>药包</w:t>
      </w:r>
      <w:proofErr w:type="gramStart"/>
      <w:r>
        <w:rPr>
          <w:rFonts w:ascii="Times New Roman" w:eastAsia="仿宋_GB2312" w:hAnsi="Times New Roman" w:hint="eastAsia"/>
          <w:sz w:val="32"/>
          <w:szCs w:val="32"/>
        </w:rPr>
        <w:t>材标准</w:t>
      </w:r>
      <w:proofErr w:type="gramEnd"/>
      <w:r>
        <w:rPr>
          <w:rFonts w:ascii="Times New Roman" w:eastAsia="仿宋_GB2312" w:hAnsi="Times New Roman" w:hint="eastAsia"/>
          <w:sz w:val="32"/>
          <w:szCs w:val="32"/>
        </w:rPr>
        <w:t>中涉及“微生物限度”“无菌”等项目时，为避免样品交叉污染，还应提前提供该样品的最小独立包装，且其内包装材质和形式与原包装一致，并应满足该项目对样品检验的要求。</w:t>
      </w:r>
    </w:p>
    <w:p w14:paraId="27442A9B" w14:textId="77777777" w:rsidR="004D6706" w:rsidRDefault="004D6706" w:rsidP="004D6706">
      <w:pPr>
        <w:spacing w:line="576" w:lineRule="exact"/>
        <w:ind w:firstLineChars="200" w:firstLine="640"/>
        <w:rPr>
          <w:rFonts w:ascii="Times New Roman" w:eastAsia="仿宋_GB2312" w:hAnsi="Times New Roman"/>
          <w:b/>
          <w:sz w:val="32"/>
          <w:szCs w:val="32"/>
        </w:rPr>
      </w:pPr>
      <w:r>
        <w:rPr>
          <w:rFonts w:ascii="Times New Roman" w:eastAsia="仿宋_GB2312" w:hAnsi="Times New Roman" w:hint="eastAsia"/>
          <w:sz w:val="32"/>
          <w:szCs w:val="32"/>
        </w:rPr>
        <w:t>5.</w:t>
      </w:r>
      <w:r>
        <w:rPr>
          <w:rFonts w:ascii="Times New Roman" w:eastAsia="仿宋_GB2312" w:hAnsi="Times New Roman" w:hint="eastAsia"/>
          <w:sz w:val="32"/>
          <w:szCs w:val="32"/>
        </w:rPr>
        <w:t>当送检的进口药用辅料</w:t>
      </w:r>
      <w:r w:rsidRPr="00D8397B">
        <w:rPr>
          <w:rFonts w:ascii="仿宋_GB2312" w:eastAsia="仿宋_GB2312" w:hAnsi="Times New Roman" w:hint="eastAsia"/>
          <w:sz w:val="32"/>
          <w:szCs w:val="32"/>
        </w:rPr>
        <w:t>/</w:t>
      </w:r>
      <w:proofErr w:type="gramStart"/>
      <w:r>
        <w:rPr>
          <w:rFonts w:ascii="Times New Roman" w:eastAsia="仿宋_GB2312" w:hAnsi="Times New Roman" w:hint="eastAsia"/>
          <w:sz w:val="32"/>
          <w:szCs w:val="32"/>
        </w:rPr>
        <w:t>药包材原包装</w:t>
      </w:r>
      <w:proofErr w:type="gramEnd"/>
      <w:r>
        <w:rPr>
          <w:rFonts w:ascii="Times New Roman" w:eastAsia="仿宋_GB2312" w:hAnsi="Times New Roman" w:hint="eastAsia"/>
          <w:sz w:val="32"/>
          <w:szCs w:val="32"/>
        </w:rPr>
        <w:t>规格较大时，应提前在适当的条件下，选用与原包装一致或材质一致的包装材料或不影响产品质量的其他包装材料，如果采用新包装材料，应满足该项目对于样品检验的要求，尽量将样品分装成小的包装规格送检，以避免样品的污染，并应满足开展各项实验所需的样品量。</w:t>
      </w:r>
    </w:p>
    <w:p w14:paraId="7D235505" w14:textId="77777777" w:rsidR="004D6706" w:rsidRDefault="004D6706" w:rsidP="004D6706">
      <w:pPr>
        <w:spacing w:line="576" w:lineRule="exact"/>
        <w:ind w:firstLineChars="200" w:firstLine="640"/>
        <w:rPr>
          <w:rFonts w:ascii="Times New Roman" w:eastAsia="仿宋_GB2312" w:hAnsi="Times New Roman"/>
          <w:sz w:val="32"/>
          <w:szCs w:val="32"/>
        </w:rPr>
      </w:pPr>
      <w:r>
        <w:rPr>
          <w:rFonts w:ascii="Times New Roman" w:eastAsia="楷体_GB2312" w:hAnsi="Times New Roman" w:cs="楷体_GB2312" w:hint="eastAsia"/>
          <w:sz w:val="32"/>
          <w:szCs w:val="32"/>
        </w:rPr>
        <w:t>（二）检验用标准物质</w:t>
      </w:r>
    </w:p>
    <w:p w14:paraId="4F81A36A" w14:textId="77777777" w:rsidR="004D6706" w:rsidRDefault="004D6706" w:rsidP="004D6706">
      <w:pPr>
        <w:spacing w:line="576"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提供检验及方法学验证所涉及的标准物质（对照品或标准品），为满足注册检验的</w:t>
      </w:r>
      <w:r>
        <w:rPr>
          <w:rFonts w:ascii="Times New Roman" w:eastAsia="仿宋_GB2312" w:hAnsi="Times New Roman" w:hint="eastAsia"/>
          <w:sz w:val="32"/>
          <w:szCs w:val="32"/>
        </w:rPr>
        <w:t>2</w:t>
      </w:r>
      <w:r>
        <w:rPr>
          <w:rFonts w:ascii="Times New Roman" w:eastAsia="仿宋_GB2312" w:hAnsi="Times New Roman" w:hint="eastAsia"/>
          <w:sz w:val="32"/>
          <w:szCs w:val="32"/>
        </w:rPr>
        <w:t>倍量。标准物质等剩余有效期（如有）的要求与样品一致。</w:t>
      </w:r>
    </w:p>
    <w:p w14:paraId="3B670A6D" w14:textId="77777777" w:rsidR="004D6706" w:rsidRDefault="004D6706" w:rsidP="004D6706">
      <w:pPr>
        <w:spacing w:line="576" w:lineRule="exact"/>
        <w:ind w:firstLineChars="200" w:firstLine="640"/>
        <w:rPr>
          <w:rFonts w:ascii="Times New Roman" w:eastAsia="楷体_GB2312" w:hAnsi="Times New Roman" w:cs="楷体_GB2312"/>
          <w:sz w:val="32"/>
          <w:szCs w:val="32"/>
        </w:rPr>
      </w:pPr>
      <w:r>
        <w:rPr>
          <w:rFonts w:ascii="Times New Roman" w:eastAsia="楷体_GB2312" w:hAnsi="Times New Roman" w:cs="楷体_GB2312" w:hint="eastAsia"/>
          <w:sz w:val="32"/>
          <w:szCs w:val="32"/>
        </w:rPr>
        <w:t>（三）特殊实验用品</w:t>
      </w:r>
    </w:p>
    <w:p w14:paraId="7B07C72B" w14:textId="77777777" w:rsidR="004D6706" w:rsidRDefault="004D6706" w:rsidP="004D6706">
      <w:pPr>
        <w:spacing w:line="576" w:lineRule="exact"/>
        <w:ind w:firstLineChars="200" w:firstLine="640"/>
        <w:rPr>
          <w:rFonts w:ascii="Times New Roman" w:hAnsi="Times New Roman"/>
          <w:sz w:val="28"/>
          <w:szCs w:val="28"/>
        </w:rPr>
      </w:pPr>
      <w:r>
        <w:rPr>
          <w:rFonts w:ascii="Times New Roman" w:eastAsia="仿宋_GB2312" w:hAnsi="Times New Roman" w:hint="eastAsia"/>
          <w:sz w:val="32"/>
          <w:szCs w:val="32"/>
        </w:rPr>
        <w:lastRenderedPageBreak/>
        <w:t>应提供超出现行版《中国药典》标准中使用的和其他检验所需的不易获得的特殊用品，如仪器和设备，特殊色谱柱，特殊试剂，特殊标准品、对照品或对照物质等，并提供必要的使用说明文件、相关证书等。</w:t>
      </w:r>
    </w:p>
    <w:p w14:paraId="5EB35099" w14:textId="77777777" w:rsidR="00C4703F" w:rsidRPr="004D6706" w:rsidRDefault="00C4703F">
      <w:pPr>
        <w:rPr>
          <w:rFonts w:hint="eastAsia"/>
        </w:rPr>
      </w:pPr>
    </w:p>
    <w:sectPr w:rsidR="00C4703F" w:rsidRPr="004D670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7F5C0" w14:textId="77777777" w:rsidR="009F5C3E" w:rsidRDefault="009F5C3E" w:rsidP="004D6706">
      <w:pPr>
        <w:rPr>
          <w:rFonts w:hint="eastAsia"/>
        </w:rPr>
      </w:pPr>
      <w:r>
        <w:separator/>
      </w:r>
    </w:p>
  </w:endnote>
  <w:endnote w:type="continuationSeparator" w:id="0">
    <w:p w14:paraId="0CA262D3" w14:textId="77777777" w:rsidR="009F5C3E" w:rsidRDefault="009F5C3E" w:rsidP="004D670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altName w:val="微软雅黑"/>
    <w:charset w:val="86"/>
    <w:family w:val="modern"/>
    <w:pitch w:val="fixed"/>
    <w:sig w:usb0="00000001"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188D8" w14:textId="77777777" w:rsidR="009F5C3E" w:rsidRDefault="009F5C3E" w:rsidP="004D6706">
      <w:pPr>
        <w:rPr>
          <w:rFonts w:hint="eastAsia"/>
        </w:rPr>
      </w:pPr>
      <w:r>
        <w:separator/>
      </w:r>
    </w:p>
  </w:footnote>
  <w:footnote w:type="continuationSeparator" w:id="0">
    <w:p w14:paraId="1EC629AF" w14:textId="77777777" w:rsidR="009F5C3E" w:rsidRDefault="009F5C3E" w:rsidP="004D6706">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876"/>
    <w:rsid w:val="00273876"/>
    <w:rsid w:val="002C70B0"/>
    <w:rsid w:val="00447B59"/>
    <w:rsid w:val="004D6706"/>
    <w:rsid w:val="009F5C3E"/>
    <w:rsid w:val="00C470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2FDF7451-4C87-4FE9-86FD-B368E7646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rsid w:val="004D6706"/>
    <w:pPr>
      <w:widowControl w:val="0"/>
      <w:jc w:val="both"/>
    </w:pPr>
    <w:rPr>
      <w:rFonts w:ascii="Calibri" w:eastAsia="宋体" w:hAnsi="Calibri" w:cs="Times New Roman"/>
    </w:rPr>
  </w:style>
  <w:style w:type="paragraph" w:styleId="1">
    <w:name w:val="heading 1"/>
    <w:basedOn w:val="a"/>
    <w:next w:val="a"/>
    <w:link w:val="10"/>
    <w:uiPriority w:val="9"/>
    <w:qFormat/>
    <w:rsid w:val="00273876"/>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0">
    <w:name w:val="heading 2"/>
    <w:basedOn w:val="a"/>
    <w:next w:val="a"/>
    <w:link w:val="21"/>
    <w:uiPriority w:val="9"/>
    <w:semiHidden/>
    <w:unhideWhenUsed/>
    <w:qFormat/>
    <w:rsid w:val="00273876"/>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unhideWhenUsed/>
    <w:qFormat/>
    <w:rsid w:val="00273876"/>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273876"/>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
    <w:next w:val="a"/>
    <w:link w:val="50"/>
    <w:uiPriority w:val="9"/>
    <w:semiHidden/>
    <w:unhideWhenUsed/>
    <w:qFormat/>
    <w:rsid w:val="00273876"/>
    <w:pPr>
      <w:keepNext/>
      <w:keepLines/>
      <w:spacing w:before="80" w:after="40"/>
      <w:outlineLvl w:val="4"/>
    </w:pPr>
    <w:rPr>
      <w:rFonts w:asciiTheme="minorHAnsi" w:eastAsiaTheme="minorEastAsia" w:hAnsiTheme="minorHAnsi" w:cstheme="majorBidi"/>
      <w:color w:val="2F5496" w:themeColor="accent1" w:themeShade="BF"/>
      <w:sz w:val="24"/>
      <w:szCs w:val="24"/>
    </w:rPr>
  </w:style>
  <w:style w:type="paragraph" w:styleId="6">
    <w:name w:val="heading 6"/>
    <w:basedOn w:val="a"/>
    <w:next w:val="a"/>
    <w:link w:val="60"/>
    <w:uiPriority w:val="9"/>
    <w:semiHidden/>
    <w:unhideWhenUsed/>
    <w:qFormat/>
    <w:rsid w:val="00273876"/>
    <w:pPr>
      <w:keepNext/>
      <w:keepLines/>
      <w:spacing w:before="40"/>
      <w:outlineLvl w:val="5"/>
    </w:pPr>
    <w:rPr>
      <w:rFonts w:asciiTheme="minorHAnsi" w:eastAsiaTheme="minorEastAsia" w:hAnsiTheme="minorHAnsi" w:cstheme="majorBidi"/>
      <w:b/>
      <w:bCs/>
      <w:color w:val="2F5496" w:themeColor="accent1" w:themeShade="BF"/>
    </w:rPr>
  </w:style>
  <w:style w:type="paragraph" w:styleId="7">
    <w:name w:val="heading 7"/>
    <w:basedOn w:val="a"/>
    <w:next w:val="a"/>
    <w:link w:val="70"/>
    <w:uiPriority w:val="9"/>
    <w:semiHidden/>
    <w:unhideWhenUsed/>
    <w:qFormat/>
    <w:rsid w:val="00273876"/>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273876"/>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273876"/>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73876"/>
    <w:rPr>
      <w:rFonts w:asciiTheme="majorHAnsi" w:eastAsiaTheme="majorEastAsia" w:hAnsiTheme="majorHAnsi" w:cstheme="majorBidi"/>
      <w:color w:val="2F5496" w:themeColor="accent1" w:themeShade="BF"/>
      <w:sz w:val="48"/>
      <w:szCs w:val="48"/>
    </w:rPr>
  </w:style>
  <w:style w:type="character" w:customStyle="1" w:styleId="21">
    <w:name w:val="标题 2 字符"/>
    <w:basedOn w:val="a0"/>
    <w:link w:val="20"/>
    <w:uiPriority w:val="9"/>
    <w:semiHidden/>
    <w:rsid w:val="00273876"/>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qFormat/>
    <w:rsid w:val="00273876"/>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273876"/>
    <w:rPr>
      <w:rFonts w:cstheme="majorBidi"/>
      <w:color w:val="2F5496" w:themeColor="accent1" w:themeShade="BF"/>
      <w:sz w:val="28"/>
      <w:szCs w:val="28"/>
    </w:rPr>
  </w:style>
  <w:style w:type="character" w:customStyle="1" w:styleId="50">
    <w:name w:val="标题 5 字符"/>
    <w:basedOn w:val="a0"/>
    <w:link w:val="5"/>
    <w:uiPriority w:val="9"/>
    <w:semiHidden/>
    <w:rsid w:val="00273876"/>
    <w:rPr>
      <w:rFonts w:cstheme="majorBidi"/>
      <w:color w:val="2F5496" w:themeColor="accent1" w:themeShade="BF"/>
      <w:sz w:val="24"/>
      <w:szCs w:val="24"/>
    </w:rPr>
  </w:style>
  <w:style w:type="character" w:customStyle="1" w:styleId="60">
    <w:name w:val="标题 6 字符"/>
    <w:basedOn w:val="a0"/>
    <w:link w:val="6"/>
    <w:uiPriority w:val="9"/>
    <w:semiHidden/>
    <w:rsid w:val="00273876"/>
    <w:rPr>
      <w:rFonts w:cstheme="majorBidi"/>
      <w:b/>
      <w:bCs/>
      <w:color w:val="2F5496" w:themeColor="accent1" w:themeShade="BF"/>
    </w:rPr>
  </w:style>
  <w:style w:type="character" w:customStyle="1" w:styleId="70">
    <w:name w:val="标题 7 字符"/>
    <w:basedOn w:val="a0"/>
    <w:link w:val="7"/>
    <w:uiPriority w:val="9"/>
    <w:semiHidden/>
    <w:rsid w:val="00273876"/>
    <w:rPr>
      <w:rFonts w:cstheme="majorBidi"/>
      <w:b/>
      <w:bCs/>
      <w:color w:val="595959" w:themeColor="text1" w:themeTint="A6"/>
    </w:rPr>
  </w:style>
  <w:style w:type="character" w:customStyle="1" w:styleId="80">
    <w:name w:val="标题 8 字符"/>
    <w:basedOn w:val="a0"/>
    <w:link w:val="8"/>
    <w:uiPriority w:val="9"/>
    <w:semiHidden/>
    <w:rsid w:val="00273876"/>
    <w:rPr>
      <w:rFonts w:cstheme="majorBidi"/>
      <w:color w:val="595959" w:themeColor="text1" w:themeTint="A6"/>
    </w:rPr>
  </w:style>
  <w:style w:type="character" w:customStyle="1" w:styleId="90">
    <w:name w:val="标题 9 字符"/>
    <w:basedOn w:val="a0"/>
    <w:link w:val="9"/>
    <w:uiPriority w:val="9"/>
    <w:semiHidden/>
    <w:rsid w:val="00273876"/>
    <w:rPr>
      <w:rFonts w:eastAsiaTheme="majorEastAsia" w:cstheme="majorBidi"/>
      <w:color w:val="595959" w:themeColor="text1" w:themeTint="A6"/>
    </w:rPr>
  </w:style>
  <w:style w:type="paragraph" w:styleId="a3">
    <w:name w:val="Title"/>
    <w:basedOn w:val="a"/>
    <w:next w:val="a"/>
    <w:link w:val="a4"/>
    <w:uiPriority w:val="10"/>
    <w:qFormat/>
    <w:rsid w:val="0027387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7387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7387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27387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73876"/>
    <w:pPr>
      <w:spacing w:before="160" w:after="160"/>
      <w:jc w:val="center"/>
    </w:pPr>
    <w:rPr>
      <w:rFonts w:asciiTheme="minorHAnsi" w:eastAsiaTheme="minorEastAsia" w:hAnsiTheme="minorHAnsi" w:cstheme="minorBidi"/>
      <w:i/>
      <w:iCs/>
      <w:color w:val="404040" w:themeColor="text1" w:themeTint="BF"/>
    </w:rPr>
  </w:style>
  <w:style w:type="character" w:customStyle="1" w:styleId="a8">
    <w:name w:val="引用 字符"/>
    <w:basedOn w:val="a0"/>
    <w:link w:val="a7"/>
    <w:uiPriority w:val="29"/>
    <w:rsid w:val="00273876"/>
    <w:rPr>
      <w:i/>
      <w:iCs/>
      <w:color w:val="404040" w:themeColor="text1" w:themeTint="BF"/>
    </w:rPr>
  </w:style>
  <w:style w:type="paragraph" w:styleId="a9">
    <w:name w:val="List Paragraph"/>
    <w:basedOn w:val="a"/>
    <w:uiPriority w:val="34"/>
    <w:qFormat/>
    <w:rsid w:val="00273876"/>
    <w:pPr>
      <w:ind w:left="720"/>
      <w:contextualSpacing/>
    </w:pPr>
    <w:rPr>
      <w:rFonts w:asciiTheme="minorHAnsi" w:eastAsiaTheme="minorEastAsia" w:hAnsiTheme="minorHAnsi" w:cstheme="minorBidi"/>
    </w:rPr>
  </w:style>
  <w:style w:type="character" w:styleId="aa">
    <w:name w:val="Intense Emphasis"/>
    <w:basedOn w:val="a0"/>
    <w:uiPriority w:val="21"/>
    <w:qFormat/>
    <w:rsid w:val="00273876"/>
    <w:rPr>
      <w:i/>
      <w:iCs/>
      <w:color w:val="2F5496" w:themeColor="accent1" w:themeShade="BF"/>
    </w:rPr>
  </w:style>
  <w:style w:type="paragraph" w:styleId="ab">
    <w:name w:val="Intense Quote"/>
    <w:basedOn w:val="a"/>
    <w:next w:val="a"/>
    <w:link w:val="ac"/>
    <w:uiPriority w:val="30"/>
    <w:qFormat/>
    <w:rsid w:val="00273876"/>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EastAsia" w:hAnsiTheme="minorHAnsi" w:cstheme="minorBidi"/>
      <w:i/>
      <w:iCs/>
      <w:color w:val="2F5496" w:themeColor="accent1" w:themeShade="BF"/>
    </w:rPr>
  </w:style>
  <w:style w:type="character" w:customStyle="1" w:styleId="ac">
    <w:name w:val="明显引用 字符"/>
    <w:basedOn w:val="a0"/>
    <w:link w:val="ab"/>
    <w:uiPriority w:val="30"/>
    <w:rsid w:val="00273876"/>
    <w:rPr>
      <w:i/>
      <w:iCs/>
      <w:color w:val="2F5496" w:themeColor="accent1" w:themeShade="BF"/>
    </w:rPr>
  </w:style>
  <w:style w:type="character" w:styleId="ad">
    <w:name w:val="Intense Reference"/>
    <w:basedOn w:val="a0"/>
    <w:uiPriority w:val="32"/>
    <w:qFormat/>
    <w:rsid w:val="00273876"/>
    <w:rPr>
      <w:b/>
      <w:bCs/>
      <w:smallCaps/>
      <w:color w:val="2F5496" w:themeColor="accent1" w:themeShade="BF"/>
      <w:spacing w:val="5"/>
    </w:rPr>
  </w:style>
  <w:style w:type="paragraph" w:styleId="ae">
    <w:name w:val="header"/>
    <w:basedOn w:val="a"/>
    <w:link w:val="af"/>
    <w:uiPriority w:val="99"/>
    <w:unhideWhenUsed/>
    <w:rsid w:val="004D6706"/>
    <w:pP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f">
    <w:name w:val="页眉 字符"/>
    <w:basedOn w:val="a0"/>
    <w:link w:val="ae"/>
    <w:uiPriority w:val="99"/>
    <w:rsid w:val="004D6706"/>
    <w:rPr>
      <w:sz w:val="18"/>
      <w:szCs w:val="18"/>
    </w:rPr>
  </w:style>
  <w:style w:type="paragraph" w:styleId="af0">
    <w:name w:val="footer"/>
    <w:basedOn w:val="a"/>
    <w:link w:val="af1"/>
    <w:uiPriority w:val="99"/>
    <w:unhideWhenUsed/>
    <w:rsid w:val="004D670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f1">
    <w:name w:val="页脚 字符"/>
    <w:basedOn w:val="a0"/>
    <w:link w:val="af0"/>
    <w:uiPriority w:val="99"/>
    <w:rsid w:val="004D6706"/>
    <w:rPr>
      <w:sz w:val="18"/>
      <w:szCs w:val="18"/>
    </w:rPr>
  </w:style>
  <w:style w:type="paragraph" w:styleId="af2">
    <w:name w:val="Normal (Web)"/>
    <w:basedOn w:val="a"/>
    <w:unhideWhenUsed/>
    <w:qFormat/>
    <w:rsid w:val="004D6706"/>
    <w:pPr>
      <w:widowControl/>
      <w:spacing w:before="100" w:beforeAutospacing="1" w:after="100" w:afterAutospacing="1"/>
      <w:jc w:val="left"/>
    </w:pPr>
    <w:rPr>
      <w:rFonts w:ascii="宋体" w:hAnsi="宋体" w:cs="宋体"/>
      <w:kern w:val="0"/>
      <w:sz w:val="24"/>
      <w:szCs w:val="24"/>
    </w:rPr>
  </w:style>
  <w:style w:type="paragraph" w:styleId="af3">
    <w:name w:val="Body Text Indent"/>
    <w:basedOn w:val="a"/>
    <w:link w:val="af4"/>
    <w:uiPriority w:val="99"/>
    <w:semiHidden/>
    <w:unhideWhenUsed/>
    <w:rsid w:val="004D6706"/>
    <w:pPr>
      <w:spacing w:after="120"/>
      <w:ind w:leftChars="200" w:left="420"/>
    </w:pPr>
  </w:style>
  <w:style w:type="character" w:customStyle="1" w:styleId="af4">
    <w:name w:val="正文文本缩进 字符"/>
    <w:basedOn w:val="a0"/>
    <w:link w:val="af3"/>
    <w:uiPriority w:val="99"/>
    <w:semiHidden/>
    <w:rsid w:val="004D6706"/>
    <w:rPr>
      <w:rFonts w:ascii="Calibri" w:eastAsia="宋体" w:hAnsi="Calibri" w:cs="Times New Roman"/>
    </w:rPr>
  </w:style>
  <w:style w:type="paragraph" w:styleId="2">
    <w:name w:val="Body Text First Indent 2"/>
    <w:basedOn w:val="af3"/>
    <w:link w:val="22"/>
    <w:uiPriority w:val="99"/>
    <w:semiHidden/>
    <w:unhideWhenUsed/>
    <w:rsid w:val="004D6706"/>
    <w:pPr>
      <w:ind w:firstLineChars="200" w:firstLine="420"/>
    </w:pPr>
  </w:style>
  <w:style w:type="character" w:customStyle="1" w:styleId="22">
    <w:name w:val="正文文本首行缩进 2 字符"/>
    <w:basedOn w:val="af4"/>
    <w:link w:val="2"/>
    <w:uiPriority w:val="99"/>
    <w:semiHidden/>
    <w:rsid w:val="004D6706"/>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324</Words>
  <Characters>1847</Characters>
  <Application>Microsoft Office Word</Application>
  <DocSecurity>0</DocSecurity>
  <Lines>15</Lines>
  <Paragraphs>4</Paragraphs>
  <ScaleCrop>false</ScaleCrop>
  <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姜杰斯</dc:creator>
  <cp:keywords/>
  <dc:description/>
  <cp:lastModifiedBy>姜杰斯</cp:lastModifiedBy>
  <cp:revision>2</cp:revision>
  <dcterms:created xsi:type="dcterms:W3CDTF">2026-07-08T02:56:00Z</dcterms:created>
  <dcterms:modified xsi:type="dcterms:W3CDTF">2026-07-08T02:56:00Z</dcterms:modified>
</cp:coreProperties>
</file>