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59AD8" w14:textId="77777777" w:rsidR="00440C0C" w:rsidRPr="00F77C81" w:rsidRDefault="00440C0C" w:rsidP="00440C0C">
      <w:pPr>
        <w:pStyle w:val="3"/>
        <w:spacing w:before="0" w:after="200"/>
        <w:rPr>
          <w:rFonts w:ascii="Times New Roman" w:eastAsia="黑体" w:hAnsi="Times New Roman" w:cs="黑体"/>
        </w:rPr>
      </w:pPr>
      <w:bookmarkStart w:id="0" w:name="_Toc15206"/>
      <w:r w:rsidRPr="00F77C81">
        <w:rPr>
          <w:rFonts w:ascii="Times New Roman" w:eastAsia="黑体" w:hAnsi="Times New Roman" w:cs="黑体" w:hint="eastAsia"/>
        </w:rPr>
        <w:t>附件</w:t>
      </w:r>
      <w:r w:rsidRPr="00F77C81">
        <w:rPr>
          <w:rFonts w:ascii="Times New Roman" w:eastAsia="黑体" w:hAnsi="Times New Roman" w:cs="黑体" w:hint="eastAsia"/>
        </w:rPr>
        <w:t>1.3</w:t>
      </w:r>
      <w:bookmarkEnd w:id="0"/>
    </w:p>
    <w:p w14:paraId="50321BD9" w14:textId="77777777" w:rsidR="00440C0C" w:rsidRDefault="00440C0C" w:rsidP="00440C0C">
      <w:pPr>
        <w:pStyle w:val="af2"/>
        <w:shd w:val="clear" w:color="auto" w:fill="FFFFFF"/>
        <w:spacing w:before="0" w:beforeAutospacing="0" w:after="0" w:afterAutospacing="0" w:line="800" w:lineRule="exact"/>
        <w:jc w:val="center"/>
        <w:rPr>
          <w:rFonts w:ascii="Times New Roman" w:eastAsia="方正小标宋简体" w:hAnsi="Times New Roman"/>
          <w:bCs/>
          <w:sz w:val="44"/>
          <w:szCs w:val="44"/>
        </w:rPr>
      </w:pPr>
      <w:r>
        <w:rPr>
          <w:rFonts w:ascii="Times New Roman" w:eastAsia="方正小标宋简体" w:hAnsi="Times New Roman" w:hint="eastAsia"/>
          <w:bCs/>
          <w:sz w:val="44"/>
          <w:szCs w:val="44"/>
        </w:rPr>
        <w:t>生物制品注册检验用资料、样品、标准物质和特殊实验材料的要求</w:t>
      </w:r>
    </w:p>
    <w:p w14:paraId="2D632355" w14:textId="77777777" w:rsidR="00440C0C" w:rsidRDefault="00440C0C" w:rsidP="00440C0C">
      <w:pPr>
        <w:pStyle w:val="a9"/>
        <w:spacing w:line="580" w:lineRule="exact"/>
        <w:rPr>
          <w:rFonts w:ascii="Times New Roman" w:hAnsi="Times New Roman"/>
          <w:sz w:val="32"/>
          <w:szCs w:val="32"/>
        </w:rPr>
      </w:pPr>
    </w:p>
    <w:p w14:paraId="4F4F4301" w14:textId="77777777" w:rsidR="00440C0C" w:rsidRDefault="00440C0C" w:rsidP="00440C0C">
      <w:pPr>
        <w:pStyle w:val="a9"/>
        <w:spacing w:line="580" w:lineRule="exact"/>
        <w:ind w:firstLine="640"/>
        <w:rPr>
          <w:rFonts w:ascii="Times New Roman" w:eastAsia="黑体" w:hAnsi="Times New Roman" w:cs="黑体"/>
          <w:bCs/>
          <w:sz w:val="32"/>
          <w:szCs w:val="32"/>
        </w:rPr>
      </w:pPr>
      <w:r>
        <w:rPr>
          <w:rFonts w:ascii="Times New Roman" w:eastAsia="黑体" w:hAnsi="Times New Roman" w:cs="黑体" w:hint="eastAsia"/>
          <w:bCs/>
          <w:sz w:val="32"/>
          <w:szCs w:val="32"/>
        </w:rPr>
        <w:t>一、资料要求</w:t>
      </w:r>
    </w:p>
    <w:p w14:paraId="2ECA5003" w14:textId="77777777" w:rsidR="00440C0C" w:rsidRDefault="00440C0C" w:rsidP="00440C0C">
      <w:pPr>
        <w:spacing w:line="580" w:lineRule="exact"/>
        <w:ind w:firstLineChars="200" w:firstLine="640"/>
        <w:rPr>
          <w:rFonts w:ascii="Times New Roman" w:eastAsia="楷体_GB2312" w:hAnsi="Times New Roman" w:cs="楷体_GB2312"/>
          <w:kern w:val="0"/>
          <w:sz w:val="32"/>
          <w:szCs w:val="32"/>
        </w:rPr>
      </w:pPr>
      <w:r>
        <w:rPr>
          <w:rFonts w:ascii="Times New Roman" w:eastAsia="楷体_GB2312" w:hAnsi="Times New Roman" w:cs="楷体_GB2312" w:hint="eastAsia"/>
          <w:kern w:val="0"/>
          <w:sz w:val="32"/>
          <w:szCs w:val="32"/>
        </w:rPr>
        <w:t>（一）</w:t>
      </w:r>
      <w:r>
        <w:rPr>
          <w:rFonts w:ascii="Times New Roman" w:eastAsia="楷体_GB2312" w:hAnsi="Times New Roman" w:cs="楷体_GB2312" w:hint="eastAsia"/>
          <w:sz w:val="32"/>
          <w:szCs w:val="32"/>
          <w:shd w:val="clear" w:color="auto" w:fill="FFFFFF"/>
        </w:rPr>
        <w:t>监管部门出具的资料</w:t>
      </w:r>
    </w:p>
    <w:p w14:paraId="226C43FB" w14:textId="77777777" w:rsidR="00440C0C" w:rsidRDefault="00440C0C" w:rsidP="00440C0C">
      <w:pPr>
        <w:pStyle w:val="a9"/>
        <w:spacing w:line="580" w:lineRule="exact"/>
        <w:ind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抽样记录凭证（境内生产药品）；</w:t>
      </w:r>
    </w:p>
    <w:p w14:paraId="2E78B333" w14:textId="77777777" w:rsidR="00440C0C" w:rsidRDefault="00440C0C" w:rsidP="00440C0C">
      <w:pPr>
        <w:pStyle w:val="a9"/>
        <w:spacing w:line="580" w:lineRule="exact"/>
        <w:ind w:firstLine="6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进口通关凭证、境外生产药品注册检验任务件（境外生产药品）；</w:t>
      </w:r>
    </w:p>
    <w:p w14:paraId="677F7C26" w14:textId="77777777" w:rsidR="00440C0C" w:rsidRDefault="00440C0C" w:rsidP="00440C0C">
      <w:pPr>
        <w:pStyle w:val="a9"/>
        <w:spacing w:line="580" w:lineRule="exact"/>
        <w:ind w:firstLine="64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注册检验通知或补充资料通知（前置注册检验除外）。</w:t>
      </w:r>
    </w:p>
    <w:p w14:paraId="20CAA8BB" w14:textId="77777777" w:rsidR="00440C0C" w:rsidRDefault="00440C0C" w:rsidP="00440C0C">
      <w:pPr>
        <w:spacing w:line="580" w:lineRule="exact"/>
        <w:ind w:firstLineChars="200" w:firstLine="640"/>
        <w:rPr>
          <w:rFonts w:ascii="Times New Roman" w:eastAsia="楷体_GB2312" w:hAnsi="Times New Roman" w:cs="楷体_GB2312"/>
          <w:kern w:val="0"/>
          <w:sz w:val="32"/>
          <w:szCs w:val="32"/>
        </w:rPr>
      </w:pPr>
      <w:r>
        <w:rPr>
          <w:rFonts w:ascii="Times New Roman" w:eastAsia="楷体_GB2312" w:hAnsi="Times New Roman" w:cs="楷体_GB2312" w:hint="eastAsia"/>
          <w:kern w:val="0"/>
          <w:sz w:val="32"/>
          <w:szCs w:val="32"/>
        </w:rPr>
        <w:t>（二）药品注册检验申请人出具的资料</w:t>
      </w:r>
    </w:p>
    <w:p w14:paraId="19B7C921" w14:textId="77777777" w:rsidR="00440C0C" w:rsidRDefault="00440C0C" w:rsidP="00440C0C">
      <w:pPr>
        <w:spacing w:line="58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1.</w:t>
      </w:r>
      <w:r>
        <w:rPr>
          <w:rFonts w:ascii="Times New Roman" w:eastAsia="仿宋_GB2312" w:hAnsi="Times New Roman" w:hint="eastAsia"/>
          <w:kern w:val="0"/>
          <w:sz w:val="32"/>
          <w:szCs w:val="32"/>
        </w:rPr>
        <w:t>前置注册检验和受理时注册检验。</w:t>
      </w:r>
    </w:p>
    <w:p w14:paraId="3AABBD7F" w14:textId="77777777" w:rsidR="00440C0C" w:rsidRDefault="00440C0C" w:rsidP="00440C0C">
      <w:pPr>
        <w:spacing w:line="58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对于上市申请，需提供药品通用技术文件（</w:t>
      </w:r>
      <w:r>
        <w:rPr>
          <w:rFonts w:ascii="Times New Roman" w:eastAsia="仿宋_GB2312" w:hAnsi="Times New Roman" w:hint="eastAsia"/>
          <w:kern w:val="0"/>
          <w:sz w:val="32"/>
          <w:szCs w:val="32"/>
        </w:rPr>
        <w:t>CTD</w:t>
      </w:r>
      <w:r>
        <w:rPr>
          <w:rFonts w:ascii="Times New Roman" w:eastAsia="仿宋_GB2312" w:hAnsi="Times New Roman" w:hint="eastAsia"/>
          <w:kern w:val="0"/>
          <w:sz w:val="32"/>
          <w:szCs w:val="32"/>
        </w:rPr>
        <w:t>）资料中的模块</w:t>
      </w:r>
      <w:r>
        <w:rPr>
          <w:rFonts w:ascii="Times New Roman" w:eastAsia="仿宋_GB2312" w:hAnsi="Times New Roman" w:hint="eastAsia"/>
          <w:kern w:val="0"/>
          <w:sz w:val="32"/>
          <w:szCs w:val="32"/>
        </w:rPr>
        <w:t>1</w:t>
      </w:r>
      <w:r>
        <w:rPr>
          <w:rFonts w:ascii="Times New Roman" w:eastAsia="仿宋_GB2312" w:hAnsi="Times New Roman" w:hint="eastAsia"/>
          <w:kern w:val="0"/>
          <w:sz w:val="32"/>
          <w:szCs w:val="32"/>
        </w:rPr>
        <w:t>（行政文件和药品信息）中的</w:t>
      </w:r>
      <w:r>
        <w:rPr>
          <w:rFonts w:ascii="Times New Roman" w:eastAsia="仿宋_GB2312" w:hAnsi="Times New Roman" w:hint="eastAsia"/>
          <w:kern w:val="0"/>
          <w:sz w:val="32"/>
          <w:szCs w:val="32"/>
        </w:rPr>
        <w:t>1.0</w:t>
      </w:r>
      <w:r>
        <w:rPr>
          <w:rFonts w:ascii="Times New Roman" w:eastAsia="仿宋_GB2312" w:hAnsi="Times New Roman" w:hint="eastAsia"/>
          <w:kern w:val="0"/>
          <w:sz w:val="32"/>
          <w:szCs w:val="32"/>
        </w:rPr>
        <w:t>（说明函）、</w:t>
      </w:r>
      <w:r>
        <w:rPr>
          <w:rFonts w:ascii="Times New Roman" w:eastAsia="仿宋_GB2312" w:hAnsi="Times New Roman" w:hint="eastAsia"/>
          <w:kern w:val="0"/>
          <w:sz w:val="32"/>
          <w:szCs w:val="32"/>
        </w:rPr>
        <w:t>1.2</w:t>
      </w:r>
      <w:r>
        <w:rPr>
          <w:rFonts w:ascii="Times New Roman" w:eastAsia="仿宋_GB2312" w:hAnsi="Times New Roman" w:hint="eastAsia"/>
          <w:kern w:val="0"/>
          <w:sz w:val="32"/>
          <w:szCs w:val="32"/>
        </w:rPr>
        <w:t>（申请表）、</w:t>
      </w:r>
      <w:r>
        <w:rPr>
          <w:rFonts w:ascii="Times New Roman" w:eastAsia="仿宋_GB2312" w:hAnsi="Times New Roman" w:hint="eastAsia"/>
          <w:kern w:val="0"/>
          <w:sz w:val="32"/>
          <w:szCs w:val="32"/>
        </w:rPr>
        <w:t>1.3.1</w:t>
      </w:r>
      <w:r>
        <w:rPr>
          <w:rFonts w:ascii="Times New Roman" w:eastAsia="仿宋_GB2312" w:hAnsi="Times New Roman" w:hint="eastAsia"/>
          <w:kern w:val="0"/>
          <w:sz w:val="32"/>
          <w:szCs w:val="32"/>
        </w:rPr>
        <w:t>（说明书）、</w:t>
      </w:r>
      <w:r>
        <w:rPr>
          <w:rFonts w:ascii="Times New Roman" w:eastAsia="仿宋_GB2312" w:hAnsi="Times New Roman" w:hint="eastAsia"/>
          <w:kern w:val="0"/>
          <w:sz w:val="32"/>
          <w:szCs w:val="32"/>
        </w:rPr>
        <w:t>1.3.2</w:t>
      </w:r>
      <w:r>
        <w:rPr>
          <w:rFonts w:ascii="Times New Roman" w:eastAsia="仿宋_GB2312" w:hAnsi="Times New Roman" w:hint="eastAsia"/>
          <w:kern w:val="0"/>
          <w:sz w:val="32"/>
          <w:szCs w:val="32"/>
        </w:rPr>
        <w:t>（包装标签）、</w:t>
      </w:r>
      <w:r>
        <w:rPr>
          <w:rFonts w:ascii="Times New Roman" w:eastAsia="仿宋_GB2312" w:hAnsi="Times New Roman" w:hint="eastAsia"/>
          <w:kern w:val="0"/>
          <w:sz w:val="32"/>
          <w:szCs w:val="32"/>
        </w:rPr>
        <w:t>1.3.3</w:t>
      </w:r>
      <w:r>
        <w:rPr>
          <w:rFonts w:ascii="Times New Roman" w:eastAsia="仿宋_GB2312" w:hAnsi="Times New Roman" w:hint="eastAsia"/>
          <w:kern w:val="0"/>
          <w:sz w:val="32"/>
          <w:szCs w:val="32"/>
        </w:rPr>
        <w:t>（产品质量标准和生产工艺</w:t>
      </w:r>
      <w:r w:rsidRPr="00177E6F">
        <w:rPr>
          <w:rFonts w:ascii="仿宋_GB2312" w:eastAsia="仿宋_GB2312" w:hAnsi="Times New Roman" w:hint="eastAsia"/>
          <w:kern w:val="0"/>
          <w:sz w:val="32"/>
          <w:szCs w:val="32"/>
        </w:rPr>
        <w:t>/</w:t>
      </w:r>
      <w:r>
        <w:rPr>
          <w:rFonts w:ascii="Times New Roman" w:eastAsia="仿宋_GB2312" w:hAnsi="Times New Roman" w:hint="eastAsia"/>
          <w:kern w:val="0"/>
          <w:sz w:val="32"/>
          <w:szCs w:val="32"/>
        </w:rPr>
        <w:t>制造及检定规程）、</w:t>
      </w:r>
      <w:r>
        <w:rPr>
          <w:rFonts w:ascii="Times New Roman" w:eastAsia="仿宋_GB2312" w:hAnsi="Times New Roman" w:hint="eastAsia"/>
          <w:kern w:val="0"/>
          <w:sz w:val="32"/>
          <w:szCs w:val="32"/>
        </w:rPr>
        <w:t>1.3.7</w:t>
      </w:r>
      <w:r>
        <w:rPr>
          <w:rFonts w:ascii="Times New Roman" w:eastAsia="仿宋_GB2312" w:hAnsi="Times New Roman" w:hint="eastAsia"/>
          <w:kern w:val="0"/>
          <w:sz w:val="32"/>
          <w:szCs w:val="32"/>
        </w:rPr>
        <w:t>（疫苗生物安全性及环境影响评价）；模块</w:t>
      </w:r>
      <w:r>
        <w:rPr>
          <w:rFonts w:ascii="Times New Roman" w:eastAsia="仿宋_GB2312" w:hAnsi="Times New Roman" w:hint="eastAsia"/>
          <w:kern w:val="0"/>
          <w:sz w:val="32"/>
          <w:szCs w:val="32"/>
        </w:rPr>
        <w:t>2</w:t>
      </w:r>
      <w:r>
        <w:rPr>
          <w:rFonts w:ascii="Times New Roman" w:eastAsia="仿宋_GB2312" w:hAnsi="Times New Roman" w:hint="eastAsia"/>
          <w:kern w:val="0"/>
          <w:sz w:val="32"/>
          <w:szCs w:val="32"/>
        </w:rPr>
        <w:t>（概要）中的</w:t>
      </w:r>
      <w:r>
        <w:rPr>
          <w:rFonts w:ascii="Times New Roman" w:eastAsia="仿宋_GB2312" w:hAnsi="Times New Roman" w:hint="eastAsia"/>
          <w:kern w:val="0"/>
          <w:sz w:val="32"/>
          <w:szCs w:val="32"/>
        </w:rPr>
        <w:t>2.3</w:t>
      </w:r>
      <w:r>
        <w:rPr>
          <w:rFonts w:ascii="Times New Roman" w:eastAsia="仿宋_GB2312" w:hAnsi="Times New Roman" w:hint="eastAsia"/>
          <w:kern w:val="0"/>
          <w:sz w:val="32"/>
          <w:szCs w:val="32"/>
        </w:rPr>
        <w:t>（质量综述）；模块</w:t>
      </w:r>
      <w:r>
        <w:rPr>
          <w:rFonts w:ascii="Times New Roman" w:eastAsia="仿宋_GB2312" w:hAnsi="Times New Roman" w:hint="eastAsia"/>
          <w:kern w:val="0"/>
          <w:sz w:val="32"/>
          <w:szCs w:val="32"/>
        </w:rPr>
        <w:t>3</w:t>
      </w:r>
      <w:r>
        <w:rPr>
          <w:rFonts w:ascii="Times New Roman" w:eastAsia="仿宋_GB2312" w:hAnsi="Times New Roman" w:hint="eastAsia"/>
          <w:kern w:val="0"/>
          <w:sz w:val="32"/>
          <w:szCs w:val="32"/>
        </w:rPr>
        <w:t>（质量）中的</w:t>
      </w:r>
      <w:r>
        <w:rPr>
          <w:rFonts w:ascii="Times New Roman" w:eastAsia="仿宋_GB2312" w:hAnsi="Times New Roman" w:hint="eastAsia"/>
          <w:kern w:val="0"/>
          <w:sz w:val="32"/>
          <w:szCs w:val="32"/>
        </w:rPr>
        <w:t>3.1</w:t>
      </w:r>
      <w:r>
        <w:rPr>
          <w:rFonts w:ascii="Times New Roman" w:eastAsia="仿宋_GB2312" w:hAnsi="Times New Roman" w:hint="eastAsia"/>
          <w:kern w:val="0"/>
          <w:sz w:val="32"/>
          <w:szCs w:val="32"/>
        </w:rPr>
        <w:t>（模块</w:t>
      </w:r>
      <w:r>
        <w:rPr>
          <w:rFonts w:ascii="Times New Roman" w:eastAsia="仿宋_GB2312" w:hAnsi="Times New Roman" w:hint="eastAsia"/>
          <w:kern w:val="0"/>
          <w:sz w:val="32"/>
          <w:szCs w:val="32"/>
        </w:rPr>
        <w:t>3</w:t>
      </w:r>
      <w:r>
        <w:rPr>
          <w:rFonts w:ascii="Times New Roman" w:eastAsia="仿宋_GB2312" w:hAnsi="Times New Roman" w:hint="eastAsia"/>
          <w:kern w:val="0"/>
          <w:sz w:val="32"/>
          <w:szCs w:val="32"/>
        </w:rPr>
        <w:t>的目录）、</w:t>
      </w:r>
      <w:r>
        <w:rPr>
          <w:rFonts w:ascii="Times New Roman" w:eastAsia="仿宋_GB2312" w:hAnsi="Times New Roman" w:hint="eastAsia"/>
          <w:kern w:val="0"/>
          <w:sz w:val="32"/>
          <w:szCs w:val="32"/>
        </w:rPr>
        <w:t>3.2.S.1</w:t>
      </w:r>
      <w:r>
        <w:rPr>
          <w:rFonts w:ascii="Times New Roman" w:eastAsia="仿宋_GB2312" w:hAnsi="Times New Roman" w:hint="eastAsia"/>
          <w:kern w:val="0"/>
          <w:sz w:val="32"/>
          <w:szCs w:val="32"/>
        </w:rPr>
        <w:t>（基本信息）、</w:t>
      </w:r>
      <w:r>
        <w:rPr>
          <w:rFonts w:ascii="Times New Roman" w:eastAsia="仿宋_GB2312" w:hAnsi="Times New Roman" w:hint="eastAsia"/>
          <w:kern w:val="0"/>
          <w:sz w:val="32"/>
          <w:szCs w:val="32"/>
        </w:rPr>
        <w:t>3.2.S.2</w:t>
      </w:r>
      <w:r>
        <w:rPr>
          <w:rFonts w:ascii="Times New Roman" w:eastAsia="仿宋_GB2312" w:hAnsi="Times New Roman" w:hint="eastAsia"/>
          <w:kern w:val="0"/>
          <w:sz w:val="32"/>
          <w:szCs w:val="32"/>
        </w:rPr>
        <w:t>（生产）</w:t>
      </w:r>
      <w:r>
        <w:rPr>
          <w:rFonts w:ascii="Times New Roman" w:eastAsia="仿宋_GB2312" w:hAnsi="Times New Roman" w:hint="eastAsia"/>
          <w:kern w:val="0"/>
          <w:sz w:val="32"/>
          <w:szCs w:val="32"/>
          <w:vertAlign w:val="superscript"/>
        </w:rPr>
        <w:t>*</w:t>
      </w:r>
      <w:r>
        <w:rPr>
          <w:rFonts w:ascii="Times New Roman" w:eastAsia="仿宋_GB2312" w:hAnsi="Times New Roman" w:hint="eastAsia"/>
          <w:kern w:val="0"/>
          <w:sz w:val="32"/>
          <w:szCs w:val="32"/>
        </w:rPr>
        <w:t>、</w:t>
      </w:r>
      <w:r>
        <w:rPr>
          <w:rFonts w:ascii="Times New Roman" w:eastAsia="仿宋_GB2312" w:hAnsi="Times New Roman" w:hint="eastAsia"/>
          <w:kern w:val="0"/>
          <w:sz w:val="32"/>
          <w:szCs w:val="32"/>
        </w:rPr>
        <w:t>3.2.S.3</w:t>
      </w:r>
      <w:r>
        <w:rPr>
          <w:rFonts w:ascii="Times New Roman" w:eastAsia="仿宋_GB2312" w:hAnsi="Times New Roman" w:hint="eastAsia"/>
          <w:kern w:val="0"/>
          <w:sz w:val="32"/>
          <w:szCs w:val="32"/>
        </w:rPr>
        <w:t>（特性鉴定）、</w:t>
      </w:r>
      <w:r>
        <w:rPr>
          <w:rFonts w:ascii="Times New Roman" w:eastAsia="仿宋_GB2312" w:hAnsi="Times New Roman" w:hint="eastAsia"/>
          <w:kern w:val="0"/>
          <w:sz w:val="32"/>
          <w:szCs w:val="32"/>
        </w:rPr>
        <w:t>3.2.S.4</w:t>
      </w:r>
      <w:r>
        <w:rPr>
          <w:rFonts w:ascii="Times New Roman" w:eastAsia="仿宋_GB2312" w:hAnsi="Times New Roman" w:hint="eastAsia"/>
          <w:kern w:val="0"/>
          <w:sz w:val="32"/>
          <w:szCs w:val="32"/>
        </w:rPr>
        <w:t>（原料药的质量控制）、</w:t>
      </w:r>
      <w:r>
        <w:rPr>
          <w:rFonts w:ascii="Times New Roman" w:eastAsia="仿宋_GB2312" w:hAnsi="Times New Roman" w:hint="eastAsia"/>
          <w:kern w:val="0"/>
          <w:sz w:val="32"/>
          <w:szCs w:val="32"/>
        </w:rPr>
        <w:t>3.2.S.5</w:t>
      </w:r>
      <w:r>
        <w:rPr>
          <w:rFonts w:ascii="Times New Roman" w:eastAsia="仿宋_GB2312" w:hAnsi="Times New Roman" w:hint="eastAsia"/>
          <w:kern w:val="0"/>
          <w:sz w:val="32"/>
          <w:szCs w:val="32"/>
        </w:rPr>
        <w:t>（对照品</w:t>
      </w:r>
      <w:r w:rsidRPr="00177E6F">
        <w:rPr>
          <w:rFonts w:ascii="仿宋_GB2312" w:eastAsia="仿宋_GB2312" w:hAnsi="Times New Roman" w:hint="eastAsia"/>
          <w:kern w:val="0"/>
          <w:sz w:val="32"/>
          <w:szCs w:val="32"/>
        </w:rPr>
        <w:t>/</w:t>
      </w:r>
      <w:r>
        <w:rPr>
          <w:rFonts w:ascii="Times New Roman" w:eastAsia="仿宋_GB2312" w:hAnsi="Times New Roman" w:hint="eastAsia"/>
          <w:kern w:val="0"/>
          <w:sz w:val="32"/>
          <w:szCs w:val="32"/>
        </w:rPr>
        <w:t>标准品）、</w:t>
      </w:r>
      <w:r>
        <w:rPr>
          <w:rFonts w:ascii="Times New Roman" w:eastAsia="仿宋_GB2312" w:hAnsi="Times New Roman" w:hint="eastAsia"/>
          <w:kern w:val="0"/>
          <w:sz w:val="32"/>
          <w:szCs w:val="32"/>
        </w:rPr>
        <w:t>3.2.S.7</w:t>
      </w:r>
      <w:r>
        <w:rPr>
          <w:rFonts w:ascii="Times New Roman" w:eastAsia="仿宋_GB2312" w:hAnsi="Times New Roman" w:hint="eastAsia"/>
          <w:kern w:val="0"/>
          <w:sz w:val="32"/>
          <w:szCs w:val="32"/>
        </w:rPr>
        <w:t>（稳定性）、</w:t>
      </w:r>
      <w:r>
        <w:rPr>
          <w:rFonts w:ascii="Times New Roman" w:eastAsia="仿宋_GB2312" w:hAnsi="Times New Roman" w:hint="eastAsia"/>
          <w:kern w:val="0"/>
          <w:sz w:val="32"/>
          <w:szCs w:val="32"/>
        </w:rPr>
        <w:t>3.2.P.1</w:t>
      </w:r>
      <w:r>
        <w:rPr>
          <w:rFonts w:ascii="Times New Roman" w:eastAsia="仿宋_GB2312" w:hAnsi="Times New Roman" w:hint="eastAsia"/>
          <w:kern w:val="0"/>
          <w:sz w:val="32"/>
          <w:szCs w:val="32"/>
        </w:rPr>
        <w:t>（剂型及产品组成）、</w:t>
      </w:r>
      <w:r>
        <w:rPr>
          <w:rFonts w:ascii="Times New Roman" w:eastAsia="仿宋_GB2312" w:hAnsi="Times New Roman" w:hint="eastAsia"/>
          <w:kern w:val="0"/>
          <w:sz w:val="32"/>
          <w:szCs w:val="32"/>
        </w:rPr>
        <w:t>3.2.P.3</w:t>
      </w:r>
      <w:r>
        <w:rPr>
          <w:rFonts w:ascii="Times New Roman" w:eastAsia="仿宋_GB2312" w:hAnsi="Times New Roman" w:hint="eastAsia"/>
          <w:kern w:val="0"/>
          <w:sz w:val="32"/>
          <w:szCs w:val="32"/>
        </w:rPr>
        <w:t>（生产）</w:t>
      </w:r>
      <w:r>
        <w:rPr>
          <w:rFonts w:ascii="Times New Roman" w:eastAsia="仿宋_GB2312" w:hAnsi="Times New Roman" w:hint="eastAsia"/>
          <w:kern w:val="0"/>
          <w:sz w:val="32"/>
          <w:szCs w:val="32"/>
          <w:vertAlign w:val="superscript"/>
        </w:rPr>
        <w:t>*</w:t>
      </w:r>
      <w:r>
        <w:rPr>
          <w:rFonts w:ascii="Times New Roman" w:eastAsia="仿宋_GB2312" w:hAnsi="Times New Roman" w:hint="eastAsia"/>
          <w:kern w:val="0"/>
          <w:sz w:val="32"/>
          <w:szCs w:val="32"/>
        </w:rPr>
        <w:t>、</w:t>
      </w:r>
      <w:r>
        <w:rPr>
          <w:rFonts w:ascii="Times New Roman" w:eastAsia="仿宋_GB2312" w:hAnsi="Times New Roman" w:hint="eastAsia"/>
          <w:kern w:val="0"/>
          <w:sz w:val="32"/>
          <w:szCs w:val="32"/>
        </w:rPr>
        <w:t>3.2.P.4</w:t>
      </w:r>
      <w:r>
        <w:rPr>
          <w:rFonts w:ascii="Times New Roman" w:eastAsia="仿宋_GB2312" w:hAnsi="Times New Roman" w:hint="eastAsia"/>
          <w:kern w:val="0"/>
          <w:sz w:val="32"/>
          <w:szCs w:val="32"/>
        </w:rPr>
        <w:lastRenderedPageBreak/>
        <w:t>（辅料的控制）、</w:t>
      </w:r>
      <w:r>
        <w:rPr>
          <w:rFonts w:ascii="Times New Roman" w:eastAsia="仿宋_GB2312" w:hAnsi="Times New Roman" w:hint="eastAsia"/>
          <w:kern w:val="0"/>
          <w:sz w:val="32"/>
          <w:szCs w:val="32"/>
        </w:rPr>
        <w:t>3.2.P.5</w:t>
      </w:r>
      <w:r>
        <w:rPr>
          <w:rFonts w:ascii="Times New Roman" w:eastAsia="仿宋_GB2312" w:hAnsi="Times New Roman" w:hint="eastAsia"/>
          <w:kern w:val="0"/>
          <w:sz w:val="32"/>
          <w:szCs w:val="32"/>
        </w:rPr>
        <w:t>（制剂的质量控制）、</w:t>
      </w:r>
      <w:r>
        <w:rPr>
          <w:rFonts w:ascii="Times New Roman" w:eastAsia="仿宋_GB2312" w:hAnsi="Times New Roman" w:hint="eastAsia"/>
          <w:kern w:val="0"/>
          <w:sz w:val="32"/>
          <w:szCs w:val="32"/>
        </w:rPr>
        <w:t>3.2.P.6</w:t>
      </w:r>
      <w:r>
        <w:rPr>
          <w:rFonts w:ascii="Times New Roman" w:eastAsia="仿宋_GB2312" w:hAnsi="Times New Roman" w:hint="eastAsia"/>
          <w:kern w:val="0"/>
          <w:sz w:val="32"/>
          <w:szCs w:val="32"/>
        </w:rPr>
        <w:t>（对照品</w:t>
      </w:r>
      <w:r w:rsidRPr="00D8397B">
        <w:rPr>
          <w:rFonts w:ascii="仿宋_GB2312" w:eastAsia="仿宋_GB2312" w:hAnsi="Times New Roman" w:hint="eastAsia"/>
          <w:kern w:val="0"/>
          <w:sz w:val="32"/>
          <w:szCs w:val="32"/>
        </w:rPr>
        <w:t>/</w:t>
      </w:r>
      <w:r>
        <w:rPr>
          <w:rFonts w:ascii="Times New Roman" w:eastAsia="仿宋_GB2312" w:hAnsi="Times New Roman" w:hint="eastAsia"/>
          <w:kern w:val="0"/>
          <w:sz w:val="32"/>
          <w:szCs w:val="32"/>
        </w:rPr>
        <w:t>标准品）、</w:t>
      </w:r>
      <w:r>
        <w:rPr>
          <w:rFonts w:ascii="Times New Roman" w:eastAsia="仿宋_GB2312" w:hAnsi="Times New Roman" w:hint="eastAsia"/>
          <w:kern w:val="0"/>
          <w:sz w:val="32"/>
          <w:szCs w:val="32"/>
        </w:rPr>
        <w:t>3.2.P.8</w:t>
      </w:r>
      <w:r>
        <w:rPr>
          <w:rFonts w:ascii="Times New Roman" w:eastAsia="仿宋_GB2312" w:hAnsi="Times New Roman" w:hint="eastAsia"/>
          <w:kern w:val="0"/>
          <w:sz w:val="32"/>
          <w:szCs w:val="32"/>
        </w:rPr>
        <w:t>（稳定性）以及</w:t>
      </w:r>
      <w:r>
        <w:rPr>
          <w:rFonts w:ascii="Times New Roman" w:eastAsia="仿宋_GB2312" w:hAnsi="Times New Roman" w:hint="eastAsia"/>
          <w:kern w:val="0"/>
          <w:sz w:val="32"/>
          <w:szCs w:val="32"/>
        </w:rPr>
        <w:t>3.2.R</w:t>
      </w:r>
      <w:r>
        <w:rPr>
          <w:rFonts w:ascii="Times New Roman" w:eastAsia="仿宋_GB2312" w:hAnsi="Times New Roman" w:hint="eastAsia"/>
          <w:kern w:val="0"/>
          <w:sz w:val="32"/>
          <w:szCs w:val="32"/>
        </w:rPr>
        <w:t>（区域性信息）中的</w:t>
      </w:r>
      <w:r>
        <w:rPr>
          <w:rFonts w:ascii="Times New Roman" w:eastAsia="仿宋_GB2312" w:hAnsi="Times New Roman" w:hint="eastAsia"/>
          <w:kern w:val="0"/>
          <w:sz w:val="32"/>
          <w:szCs w:val="32"/>
        </w:rPr>
        <w:t>3.2.R.2</w:t>
      </w:r>
      <w:r>
        <w:rPr>
          <w:rFonts w:ascii="Times New Roman" w:eastAsia="仿宋_GB2312" w:hAnsi="Times New Roman" w:hint="eastAsia"/>
          <w:kern w:val="0"/>
          <w:sz w:val="32"/>
          <w:szCs w:val="32"/>
        </w:rPr>
        <w:t>（至少一批送检批次的批检验记录）</w:t>
      </w:r>
      <w:r>
        <w:rPr>
          <w:rFonts w:ascii="Times New Roman" w:eastAsia="仿宋_GB2312" w:hAnsi="Times New Roman" w:hint="eastAsia"/>
          <w:kern w:val="0"/>
          <w:sz w:val="32"/>
          <w:szCs w:val="32"/>
          <w:vertAlign w:val="superscript"/>
        </w:rPr>
        <w:t>*</w:t>
      </w:r>
      <w:r>
        <w:rPr>
          <w:rFonts w:ascii="Times New Roman" w:eastAsia="仿宋_GB2312" w:hAnsi="Times New Roman" w:hint="eastAsia"/>
          <w:kern w:val="0"/>
          <w:sz w:val="32"/>
          <w:szCs w:val="32"/>
        </w:rPr>
        <w:t>、</w:t>
      </w:r>
      <w:r>
        <w:rPr>
          <w:rFonts w:ascii="Times New Roman" w:eastAsia="仿宋_GB2312" w:hAnsi="Times New Roman" w:hint="eastAsia"/>
          <w:kern w:val="0"/>
          <w:sz w:val="32"/>
          <w:szCs w:val="32"/>
        </w:rPr>
        <w:t>3.2.R.3</w:t>
      </w:r>
      <w:r>
        <w:rPr>
          <w:rFonts w:ascii="Times New Roman" w:eastAsia="仿宋_GB2312" w:hAnsi="Times New Roman" w:hint="eastAsia"/>
          <w:kern w:val="0"/>
          <w:sz w:val="32"/>
          <w:szCs w:val="32"/>
        </w:rPr>
        <w:t>（分析方法验证报告）、</w:t>
      </w:r>
      <w:r>
        <w:rPr>
          <w:rFonts w:ascii="Times New Roman" w:eastAsia="仿宋_GB2312" w:hAnsi="Times New Roman" w:hint="eastAsia"/>
          <w:kern w:val="0"/>
          <w:sz w:val="32"/>
          <w:szCs w:val="32"/>
        </w:rPr>
        <w:t>3.2.A.2</w:t>
      </w:r>
      <w:r>
        <w:rPr>
          <w:rFonts w:ascii="Times New Roman" w:eastAsia="仿宋_GB2312" w:hAnsi="Times New Roman" w:hint="eastAsia"/>
          <w:kern w:val="0"/>
          <w:sz w:val="32"/>
          <w:szCs w:val="32"/>
        </w:rPr>
        <w:t>（外源因子的安全性评价）</w:t>
      </w:r>
      <w:r>
        <w:rPr>
          <w:rFonts w:ascii="Times New Roman" w:eastAsia="仿宋_GB2312" w:hAnsi="Times New Roman" w:hint="eastAsia"/>
          <w:kern w:val="0"/>
          <w:sz w:val="32"/>
          <w:szCs w:val="32"/>
          <w:vertAlign w:val="superscript"/>
        </w:rPr>
        <w:t>*</w:t>
      </w:r>
      <w:r>
        <w:rPr>
          <w:rFonts w:ascii="Times New Roman" w:eastAsia="仿宋_GB2312" w:hAnsi="Times New Roman" w:hint="eastAsia"/>
          <w:kern w:val="0"/>
          <w:sz w:val="32"/>
          <w:szCs w:val="32"/>
        </w:rPr>
        <w:t>、</w:t>
      </w:r>
      <w:r>
        <w:rPr>
          <w:rFonts w:ascii="Times New Roman" w:eastAsia="仿宋_GB2312" w:hAnsi="Times New Roman" w:hint="eastAsia"/>
          <w:kern w:val="0"/>
          <w:sz w:val="32"/>
          <w:szCs w:val="32"/>
        </w:rPr>
        <w:t>3.2.R.4</w:t>
      </w:r>
      <w:r>
        <w:rPr>
          <w:rFonts w:ascii="Times New Roman" w:eastAsia="仿宋_GB2312" w:hAnsi="Times New Roman" w:hint="eastAsia"/>
          <w:kern w:val="0"/>
          <w:sz w:val="32"/>
          <w:szCs w:val="32"/>
        </w:rPr>
        <w:t>（稳定性图谱）和</w:t>
      </w:r>
      <w:r>
        <w:rPr>
          <w:rFonts w:ascii="Times New Roman" w:eastAsia="仿宋_GB2312" w:hAnsi="Times New Roman" w:hint="eastAsia"/>
          <w:kern w:val="0"/>
          <w:sz w:val="32"/>
          <w:szCs w:val="32"/>
        </w:rPr>
        <w:t>3.2.R.5</w:t>
      </w:r>
      <w:r>
        <w:rPr>
          <w:rFonts w:ascii="Times New Roman" w:eastAsia="仿宋_GB2312" w:hAnsi="Times New Roman" w:hint="eastAsia"/>
          <w:kern w:val="0"/>
          <w:sz w:val="32"/>
          <w:szCs w:val="32"/>
        </w:rPr>
        <w:t>（可比性方案）（如适用）和</w:t>
      </w:r>
      <w:r>
        <w:rPr>
          <w:rFonts w:ascii="Times New Roman" w:eastAsia="仿宋_GB2312" w:hAnsi="Times New Roman" w:hint="eastAsia"/>
          <w:kern w:val="0"/>
          <w:sz w:val="32"/>
          <w:szCs w:val="32"/>
        </w:rPr>
        <w:t xml:space="preserve">3.2.R.6 </w:t>
      </w:r>
      <w:r>
        <w:rPr>
          <w:rFonts w:ascii="Times New Roman" w:eastAsia="仿宋_GB2312" w:hAnsi="Times New Roman" w:hint="eastAsia"/>
          <w:kern w:val="0"/>
          <w:sz w:val="32"/>
          <w:szCs w:val="32"/>
        </w:rPr>
        <w:t>（其他）中的生物</w:t>
      </w:r>
      <w:proofErr w:type="gramStart"/>
      <w:r>
        <w:rPr>
          <w:rFonts w:ascii="Times New Roman" w:eastAsia="仿宋_GB2312" w:hAnsi="Times New Roman" w:hint="eastAsia"/>
          <w:kern w:val="0"/>
          <w:sz w:val="32"/>
          <w:szCs w:val="32"/>
        </w:rPr>
        <w:t>类似药</w:t>
      </w:r>
      <w:proofErr w:type="gramEnd"/>
      <w:r>
        <w:rPr>
          <w:rFonts w:ascii="Times New Roman" w:eastAsia="仿宋_GB2312" w:hAnsi="Times New Roman" w:hint="eastAsia"/>
          <w:kern w:val="0"/>
          <w:sz w:val="32"/>
          <w:szCs w:val="32"/>
        </w:rPr>
        <w:t>质量相似性研究（如适用）。以上资料提交电子版，其中</w:t>
      </w:r>
      <w:r>
        <w:rPr>
          <w:rFonts w:ascii="Times New Roman" w:eastAsia="仿宋_GB2312" w:hAnsi="Times New Roman" w:hint="eastAsia"/>
          <w:kern w:val="0"/>
          <w:sz w:val="32"/>
          <w:szCs w:val="32"/>
        </w:rPr>
        <w:t>1.3.3</w:t>
      </w:r>
      <w:r>
        <w:rPr>
          <w:rFonts w:ascii="Times New Roman" w:eastAsia="仿宋_GB2312" w:hAnsi="Times New Roman" w:hint="eastAsia"/>
          <w:kern w:val="0"/>
          <w:sz w:val="32"/>
          <w:szCs w:val="32"/>
        </w:rPr>
        <w:t>（产品质量标准）及送检样品及</w:t>
      </w:r>
      <w:proofErr w:type="gramStart"/>
      <w:r>
        <w:rPr>
          <w:rFonts w:ascii="Times New Roman" w:eastAsia="仿宋_GB2312" w:hAnsi="Times New Roman" w:hint="eastAsia"/>
          <w:kern w:val="0"/>
          <w:sz w:val="32"/>
          <w:szCs w:val="32"/>
        </w:rPr>
        <w:t>参比品的</w:t>
      </w:r>
      <w:proofErr w:type="gramEnd"/>
      <w:r>
        <w:rPr>
          <w:rFonts w:ascii="Times New Roman" w:eastAsia="仿宋_GB2312" w:hAnsi="Times New Roman" w:hint="eastAsia"/>
          <w:kern w:val="0"/>
          <w:sz w:val="32"/>
          <w:szCs w:val="32"/>
        </w:rPr>
        <w:t>COA</w:t>
      </w:r>
      <w:r>
        <w:rPr>
          <w:rFonts w:ascii="Times New Roman" w:eastAsia="仿宋_GB2312" w:hAnsi="Times New Roman" w:hint="eastAsia"/>
          <w:kern w:val="0"/>
          <w:sz w:val="32"/>
          <w:szCs w:val="32"/>
        </w:rPr>
        <w:t>（境外生产药品应提供中英文版</w:t>
      </w:r>
      <w:r>
        <w:rPr>
          <w:rFonts w:ascii="Times New Roman" w:eastAsia="仿宋_GB2312" w:hAnsi="Times New Roman" w:hint="eastAsia"/>
          <w:kern w:val="0"/>
          <w:sz w:val="32"/>
          <w:szCs w:val="32"/>
        </w:rPr>
        <w:t>COA</w:t>
      </w:r>
      <w:r>
        <w:rPr>
          <w:rFonts w:ascii="Times New Roman" w:eastAsia="仿宋_GB2312" w:hAnsi="Times New Roman" w:hint="eastAsia"/>
          <w:kern w:val="0"/>
          <w:sz w:val="32"/>
          <w:szCs w:val="32"/>
        </w:rPr>
        <w:t>）应同时提交纸质版（加盖申请人公章）。申请人应声明所提供的质量标准和方法学相关药学资料与拟递交的上市申请资料保持一致。</w:t>
      </w:r>
    </w:p>
    <w:p w14:paraId="6991880D" w14:textId="77777777" w:rsidR="00440C0C" w:rsidRDefault="00440C0C" w:rsidP="00440C0C">
      <w:pPr>
        <w:spacing w:line="58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对于上市后变更申请，需提供《生物制品变更受理审查指南》中规定的有效的生物制品批准证明文件（如适用），并提供至少包括与质量标准和方法学变更相关的药学资料。</w:t>
      </w:r>
    </w:p>
    <w:p w14:paraId="0F1D4F8A" w14:textId="77777777" w:rsidR="00440C0C" w:rsidRDefault="00440C0C" w:rsidP="00440C0C">
      <w:pPr>
        <w:spacing w:line="58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vertAlign w:val="superscript"/>
        </w:rPr>
        <w:t>*</w:t>
      </w:r>
      <w:r>
        <w:rPr>
          <w:rFonts w:ascii="Times New Roman" w:eastAsia="仿宋_GB2312" w:hAnsi="Times New Roman" w:hint="eastAsia"/>
          <w:kern w:val="0"/>
          <w:sz w:val="32"/>
          <w:szCs w:val="32"/>
        </w:rPr>
        <w:t>资料请与承检单位商定。</w:t>
      </w:r>
    </w:p>
    <w:p w14:paraId="72811B6D" w14:textId="77777777" w:rsidR="00440C0C" w:rsidRDefault="00440C0C" w:rsidP="00440C0C">
      <w:pPr>
        <w:spacing w:line="58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2.</w:t>
      </w:r>
      <w:r>
        <w:rPr>
          <w:rFonts w:ascii="Times New Roman" w:eastAsia="仿宋_GB2312" w:hAnsi="Times New Roman" w:hint="eastAsia"/>
          <w:kern w:val="0"/>
          <w:sz w:val="32"/>
          <w:szCs w:val="32"/>
        </w:rPr>
        <w:t>审评中注册检验。需提供完成注册检验所必需的药学资料，至少应包括与质量标准和方法学相关的药学资料。</w:t>
      </w:r>
    </w:p>
    <w:p w14:paraId="5E060A93" w14:textId="77777777" w:rsidR="00440C0C" w:rsidRDefault="00440C0C" w:rsidP="00440C0C">
      <w:pPr>
        <w:pStyle w:val="a9"/>
        <w:spacing w:line="580" w:lineRule="exact"/>
        <w:ind w:firstLine="640"/>
        <w:rPr>
          <w:rFonts w:ascii="Times New Roman" w:eastAsia="黑体" w:hAnsi="Times New Roman" w:cs="黑体"/>
          <w:bCs/>
          <w:sz w:val="32"/>
          <w:szCs w:val="32"/>
        </w:rPr>
      </w:pPr>
      <w:r>
        <w:rPr>
          <w:rFonts w:ascii="Times New Roman" w:eastAsia="黑体" w:hAnsi="Times New Roman" w:cs="黑体" w:hint="eastAsia"/>
          <w:bCs/>
          <w:sz w:val="32"/>
          <w:szCs w:val="32"/>
        </w:rPr>
        <w:t>二、</w:t>
      </w:r>
      <w:r>
        <w:rPr>
          <w:rFonts w:ascii="Times New Roman" w:eastAsia="黑体" w:hAnsi="Times New Roman" w:cs="黑体"/>
          <w:bCs/>
          <w:sz w:val="32"/>
          <w:szCs w:val="32"/>
        </w:rPr>
        <w:t>样品、标准物质及</w:t>
      </w:r>
      <w:r>
        <w:rPr>
          <w:rFonts w:ascii="Times New Roman" w:eastAsia="黑体" w:hAnsi="Times New Roman" w:cs="黑体" w:hint="eastAsia"/>
          <w:bCs/>
          <w:sz w:val="32"/>
          <w:szCs w:val="32"/>
        </w:rPr>
        <w:t>特殊</w:t>
      </w:r>
      <w:r>
        <w:rPr>
          <w:rFonts w:ascii="Times New Roman" w:eastAsia="黑体" w:hAnsi="Times New Roman" w:cs="黑体"/>
          <w:bCs/>
          <w:sz w:val="32"/>
          <w:szCs w:val="32"/>
        </w:rPr>
        <w:t>实验材料要求</w:t>
      </w:r>
    </w:p>
    <w:p w14:paraId="28D08B7C" w14:textId="77777777" w:rsidR="00440C0C" w:rsidRDefault="00440C0C" w:rsidP="00440C0C">
      <w:pPr>
        <w:pStyle w:val="a9"/>
        <w:spacing w:line="580" w:lineRule="exact"/>
        <w:ind w:firstLine="640"/>
        <w:rPr>
          <w:rFonts w:ascii="Times New Roman" w:eastAsia="仿宋_GB2312" w:hAnsi="Times New Roman"/>
          <w:kern w:val="0"/>
          <w:sz w:val="32"/>
          <w:szCs w:val="32"/>
        </w:rPr>
      </w:pPr>
      <w:r>
        <w:rPr>
          <w:rFonts w:ascii="Times New Roman" w:eastAsia="楷体_GB2312" w:hAnsi="Times New Roman" w:cs="楷体_GB2312" w:hint="eastAsia"/>
          <w:kern w:val="0"/>
          <w:sz w:val="32"/>
          <w:szCs w:val="32"/>
        </w:rPr>
        <w:t>（一）样品</w:t>
      </w:r>
    </w:p>
    <w:p w14:paraId="6383E4F8" w14:textId="77777777" w:rsidR="00440C0C" w:rsidRDefault="00440C0C" w:rsidP="00440C0C">
      <w:pPr>
        <w:pStyle w:val="a9"/>
        <w:spacing w:line="580" w:lineRule="exact"/>
        <w:ind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1.</w:t>
      </w:r>
      <w:r>
        <w:rPr>
          <w:rFonts w:ascii="Times New Roman" w:eastAsia="仿宋_GB2312" w:hAnsi="Times New Roman" w:hint="eastAsia"/>
          <w:kern w:val="0"/>
          <w:sz w:val="32"/>
          <w:szCs w:val="32"/>
        </w:rPr>
        <w:t>注册检验用样品应该为商业化规模连续生产的样品，产地、直接接触药品的包装材料涉及产品质量的关键信息应与药品注册申请（上市许可申请或上市后补充申请）时提供的信息一致。样品应符合保存及运输条件，抽样封签完整无损，签名和盖章清晰合</w:t>
      </w:r>
      <w:proofErr w:type="gramStart"/>
      <w:r>
        <w:rPr>
          <w:rFonts w:ascii="Times New Roman" w:eastAsia="仿宋_GB2312" w:hAnsi="Times New Roman" w:hint="eastAsia"/>
          <w:kern w:val="0"/>
          <w:sz w:val="32"/>
          <w:szCs w:val="32"/>
        </w:rPr>
        <w:t>规</w:t>
      </w:r>
      <w:proofErr w:type="gramEnd"/>
      <w:r>
        <w:rPr>
          <w:rFonts w:ascii="Times New Roman" w:eastAsia="仿宋_GB2312" w:hAnsi="Times New Roman" w:hint="eastAsia"/>
          <w:kern w:val="0"/>
          <w:sz w:val="32"/>
          <w:szCs w:val="32"/>
        </w:rPr>
        <w:t>。</w:t>
      </w:r>
    </w:p>
    <w:p w14:paraId="55F3DE87" w14:textId="77777777" w:rsidR="00440C0C" w:rsidRDefault="00440C0C" w:rsidP="00440C0C">
      <w:pPr>
        <w:pStyle w:val="a9"/>
        <w:spacing w:line="580" w:lineRule="exact"/>
        <w:ind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lastRenderedPageBreak/>
        <w:t>2.</w:t>
      </w:r>
      <w:r>
        <w:rPr>
          <w:rFonts w:ascii="Times New Roman" w:eastAsia="仿宋_GB2312" w:hAnsi="Times New Roman" w:hint="eastAsia"/>
          <w:kern w:val="0"/>
          <w:sz w:val="32"/>
          <w:szCs w:val="32"/>
        </w:rPr>
        <w:t>样品应包装完整，有完整标签，标签内容应符合国家药品监督管理局药品标签说明书相关文件规定，必须与资料相应内容一致，无正规标签的样品，必须贴有临时标签；标签内容至少包括：检品名称、批号、规格、生产单位；已确定效期的样品标签上应注明效期，有特殊储存条件要求的，标签上需注明储存条件。对于境外已上市的制剂，包装规格可为境外市售包装或</w:t>
      </w:r>
      <w:proofErr w:type="gramStart"/>
      <w:r>
        <w:rPr>
          <w:rFonts w:ascii="Times New Roman" w:eastAsia="仿宋_GB2312" w:hAnsi="Times New Roman" w:hint="eastAsia"/>
          <w:kern w:val="0"/>
          <w:sz w:val="32"/>
          <w:szCs w:val="32"/>
        </w:rPr>
        <w:t>境内拟</w:t>
      </w:r>
      <w:proofErr w:type="gramEnd"/>
      <w:r>
        <w:rPr>
          <w:rFonts w:ascii="Times New Roman" w:eastAsia="仿宋_GB2312" w:hAnsi="Times New Roman" w:hint="eastAsia"/>
          <w:kern w:val="0"/>
          <w:sz w:val="32"/>
          <w:szCs w:val="32"/>
        </w:rPr>
        <w:t>上市包装。</w:t>
      </w:r>
    </w:p>
    <w:p w14:paraId="07ACB21F" w14:textId="77777777" w:rsidR="00440C0C" w:rsidRDefault="00440C0C" w:rsidP="00440C0C">
      <w:pPr>
        <w:pStyle w:val="a9"/>
        <w:spacing w:line="580" w:lineRule="exact"/>
        <w:ind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3.</w:t>
      </w:r>
      <w:r>
        <w:rPr>
          <w:rFonts w:ascii="Times New Roman" w:eastAsia="仿宋_GB2312" w:hAnsi="Times New Roman" w:hint="eastAsia"/>
          <w:kern w:val="0"/>
          <w:sz w:val="32"/>
          <w:szCs w:val="32"/>
        </w:rPr>
        <w:t>注册检验用样品原液应提前在适当的条件下选用合适的包装材料进行分装后送样，保证所用包装材料不影响产品质量，并尽量选取小包装规格（如</w:t>
      </w:r>
      <w:r>
        <w:rPr>
          <w:rFonts w:ascii="Times New Roman" w:eastAsia="仿宋_GB2312" w:hAnsi="Times New Roman" w:hint="eastAsia"/>
          <w:kern w:val="0"/>
          <w:sz w:val="32"/>
          <w:szCs w:val="32"/>
        </w:rPr>
        <w:t>0.5</w:t>
      </w:r>
      <w:r>
        <w:rPr>
          <w:rFonts w:ascii="Times New Roman" w:eastAsia="仿宋_GB2312" w:hAnsi="Times New Roman" w:hint="eastAsia"/>
          <w:kern w:val="0"/>
          <w:sz w:val="32"/>
          <w:szCs w:val="32"/>
        </w:rPr>
        <w:t>—</w:t>
      </w:r>
      <w:r>
        <w:rPr>
          <w:rFonts w:ascii="Times New Roman" w:eastAsia="仿宋_GB2312" w:hAnsi="Times New Roman" w:hint="eastAsia"/>
          <w:kern w:val="0"/>
          <w:sz w:val="32"/>
          <w:szCs w:val="32"/>
        </w:rPr>
        <w:t>1.0ml</w:t>
      </w:r>
      <w:r w:rsidRPr="00D8397B">
        <w:rPr>
          <w:rFonts w:ascii="仿宋_GB2312" w:eastAsia="仿宋_GB2312" w:hAnsi="Times New Roman" w:hint="eastAsia"/>
          <w:kern w:val="0"/>
          <w:sz w:val="32"/>
          <w:szCs w:val="32"/>
        </w:rPr>
        <w:t>/</w:t>
      </w:r>
      <w:r>
        <w:rPr>
          <w:rFonts w:ascii="Times New Roman" w:eastAsia="仿宋_GB2312" w:hAnsi="Times New Roman" w:hint="eastAsia"/>
          <w:kern w:val="0"/>
          <w:sz w:val="32"/>
          <w:szCs w:val="32"/>
        </w:rPr>
        <w:t>支），保证各项实验的进行。</w:t>
      </w:r>
    </w:p>
    <w:p w14:paraId="0739F0E9" w14:textId="77777777" w:rsidR="00440C0C" w:rsidRDefault="00440C0C" w:rsidP="00440C0C">
      <w:pPr>
        <w:pStyle w:val="a9"/>
        <w:spacing w:line="580" w:lineRule="exact"/>
        <w:ind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成品为多种规格的，原则上每个规格为三批样品，成品处方相同，存在有多种规格的，应提供代表性规格的三批样品和其他规格至少一批样品（如最大和最小规格各三批、中间规格至少一批）进行检验。</w:t>
      </w:r>
    </w:p>
    <w:p w14:paraId="54DBBD1C" w14:textId="77777777" w:rsidR="00440C0C" w:rsidRDefault="00440C0C" w:rsidP="00440C0C">
      <w:pPr>
        <w:pStyle w:val="a9"/>
        <w:spacing w:line="580" w:lineRule="exact"/>
        <w:ind w:firstLine="640"/>
        <w:rPr>
          <w:rFonts w:ascii="Times New Roman" w:eastAsia="仿宋_GB2312" w:hAnsi="Times New Roman"/>
          <w:kern w:val="0"/>
          <w:sz w:val="32"/>
          <w:szCs w:val="32"/>
        </w:rPr>
      </w:pPr>
      <w:r>
        <w:rPr>
          <w:rFonts w:ascii="Times New Roman" w:eastAsia="仿宋_GB2312" w:hAnsi="Times New Roman" w:hint="eastAsia"/>
          <w:bCs/>
          <w:kern w:val="0"/>
          <w:sz w:val="32"/>
          <w:szCs w:val="32"/>
        </w:rPr>
        <w:t>进行微生物检查（无菌、微生物限度检查等）的样品（原液、半成品、成品等），外包装应与生产过程中企业微生物检查项目放行检验或稳定性检验所用包装一致，注意保证储运过程中包装的密闭性，防止在运输过程中因压力、震荡等造成泄漏，导致意外污染。冷冻保存的样品应注意冻融过程中可能造成的容器或密封袋破裂等情况。如有其他特殊包装形式，原则上应对包装及运输方式进行验证。</w:t>
      </w:r>
    </w:p>
    <w:p w14:paraId="0CF2CA4B" w14:textId="77777777" w:rsidR="00440C0C" w:rsidRDefault="00440C0C" w:rsidP="00440C0C">
      <w:pPr>
        <w:pStyle w:val="a9"/>
        <w:spacing w:line="580" w:lineRule="exact"/>
        <w:ind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lastRenderedPageBreak/>
        <w:t>每批样品量为全检量的</w:t>
      </w:r>
      <w:r>
        <w:rPr>
          <w:rFonts w:ascii="Times New Roman" w:eastAsia="仿宋_GB2312" w:hAnsi="Times New Roman" w:hint="eastAsia"/>
          <w:kern w:val="0"/>
          <w:sz w:val="32"/>
          <w:szCs w:val="32"/>
        </w:rPr>
        <w:t>2</w:t>
      </w:r>
      <w:r>
        <w:rPr>
          <w:rFonts w:ascii="Times New Roman" w:eastAsia="仿宋_GB2312" w:hAnsi="Times New Roman" w:hint="eastAsia"/>
          <w:kern w:val="0"/>
          <w:sz w:val="32"/>
          <w:szCs w:val="32"/>
        </w:rPr>
        <w:t>倍（全检量通常按所有检验项目分别单独测试时所需样品瓶</w:t>
      </w:r>
      <w:r>
        <w:rPr>
          <w:rFonts w:ascii="Times New Roman" w:eastAsia="仿宋_GB2312" w:hAnsi="Times New Roman" w:hint="eastAsia"/>
          <w:kern w:val="0"/>
          <w:sz w:val="32"/>
          <w:szCs w:val="32"/>
        </w:rPr>
        <w:t>/</w:t>
      </w:r>
      <w:r>
        <w:rPr>
          <w:rFonts w:ascii="Times New Roman" w:eastAsia="仿宋_GB2312" w:hAnsi="Times New Roman" w:hint="eastAsia"/>
          <w:kern w:val="0"/>
          <w:sz w:val="32"/>
          <w:szCs w:val="32"/>
        </w:rPr>
        <w:t>支数的总和计算），按</w:t>
      </w:r>
      <w:r>
        <w:rPr>
          <w:rFonts w:ascii="Times New Roman" w:eastAsia="仿宋_GB2312" w:hAnsi="Times New Roman" w:hint="eastAsia"/>
          <w:kern w:val="0"/>
          <w:sz w:val="32"/>
          <w:szCs w:val="32"/>
        </w:rPr>
        <w:t>1</w:t>
      </w:r>
      <w:r>
        <w:rPr>
          <w:rFonts w:ascii="Times New Roman" w:eastAsia="仿宋_GB2312" w:hAnsi="Times New Roman" w:hint="eastAsia"/>
          <w:kern w:val="0"/>
          <w:sz w:val="32"/>
          <w:szCs w:val="32"/>
        </w:rPr>
        <w:t>：</w:t>
      </w:r>
      <w:r>
        <w:rPr>
          <w:rFonts w:ascii="Times New Roman" w:eastAsia="仿宋_GB2312" w:hAnsi="Times New Roman" w:hint="eastAsia"/>
          <w:kern w:val="0"/>
          <w:sz w:val="32"/>
          <w:szCs w:val="32"/>
        </w:rPr>
        <w:t>0.5</w:t>
      </w:r>
      <w:r>
        <w:rPr>
          <w:rFonts w:ascii="Times New Roman" w:eastAsia="仿宋_GB2312" w:hAnsi="Times New Roman" w:hint="eastAsia"/>
          <w:kern w:val="0"/>
          <w:sz w:val="32"/>
          <w:szCs w:val="32"/>
        </w:rPr>
        <w:t>：</w:t>
      </w:r>
      <w:r>
        <w:rPr>
          <w:rFonts w:ascii="Times New Roman" w:eastAsia="仿宋_GB2312" w:hAnsi="Times New Roman" w:hint="eastAsia"/>
          <w:kern w:val="0"/>
          <w:sz w:val="32"/>
          <w:szCs w:val="32"/>
        </w:rPr>
        <w:t>0.5</w:t>
      </w:r>
      <w:r>
        <w:rPr>
          <w:rFonts w:ascii="Times New Roman" w:eastAsia="仿宋_GB2312" w:hAnsi="Times New Roman" w:hint="eastAsia"/>
          <w:kern w:val="0"/>
          <w:sz w:val="32"/>
          <w:szCs w:val="32"/>
        </w:rPr>
        <w:t>的比例分装为</w:t>
      </w:r>
      <w:r>
        <w:rPr>
          <w:rFonts w:ascii="Times New Roman" w:eastAsia="仿宋_GB2312" w:hAnsi="Times New Roman" w:hint="eastAsia"/>
          <w:kern w:val="0"/>
          <w:sz w:val="32"/>
          <w:szCs w:val="32"/>
        </w:rPr>
        <w:t>3</w:t>
      </w:r>
      <w:r>
        <w:rPr>
          <w:rFonts w:ascii="Times New Roman" w:eastAsia="仿宋_GB2312" w:hAnsi="Times New Roman" w:hint="eastAsia"/>
          <w:kern w:val="0"/>
          <w:sz w:val="32"/>
          <w:szCs w:val="32"/>
        </w:rPr>
        <w:t>份。</w:t>
      </w:r>
      <w:r>
        <w:rPr>
          <w:rFonts w:ascii="Times New Roman" w:eastAsia="仿宋_GB2312" w:hAnsi="Times New Roman" w:hint="eastAsia"/>
          <w:bCs/>
          <w:kern w:val="0"/>
          <w:sz w:val="32"/>
          <w:szCs w:val="32"/>
        </w:rPr>
        <w:t>样品剩余有效期原则上不少于</w:t>
      </w:r>
      <w:r>
        <w:rPr>
          <w:rFonts w:ascii="Times New Roman" w:eastAsia="仿宋_GB2312" w:hAnsi="Times New Roman" w:hint="eastAsia"/>
          <w:bCs/>
          <w:kern w:val="0"/>
          <w:sz w:val="32"/>
          <w:szCs w:val="32"/>
        </w:rPr>
        <w:t>2</w:t>
      </w:r>
      <w:r>
        <w:rPr>
          <w:rFonts w:ascii="Times New Roman" w:eastAsia="仿宋_GB2312" w:hAnsi="Times New Roman" w:hint="eastAsia"/>
          <w:bCs/>
          <w:kern w:val="0"/>
          <w:sz w:val="32"/>
          <w:szCs w:val="32"/>
        </w:rPr>
        <w:t>倍药品注册检验时限，如同时进行样品检验和标准复核的，为</w:t>
      </w:r>
      <w:r>
        <w:rPr>
          <w:rFonts w:ascii="Times New Roman" w:eastAsia="仿宋_GB2312" w:hAnsi="Times New Roman" w:hint="eastAsia"/>
          <w:bCs/>
          <w:kern w:val="0"/>
          <w:sz w:val="32"/>
          <w:szCs w:val="32"/>
        </w:rPr>
        <w:t>180</w:t>
      </w:r>
      <w:r>
        <w:rPr>
          <w:rFonts w:ascii="Times New Roman" w:eastAsia="仿宋_GB2312" w:hAnsi="Times New Roman" w:hint="eastAsia"/>
          <w:bCs/>
          <w:kern w:val="0"/>
          <w:sz w:val="32"/>
          <w:szCs w:val="32"/>
        </w:rPr>
        <w:t>个工作日；如仅进行样品检验的，为</w:t>
      </w:r>
      <w:r>
        <w:rPr>
          <w:rFonts w:ascii="Times New Roman" w:eastAsia="仿宋_GB2312" w:hAnsi="Times New Roman" w:hint="eastAsia"/>
          <w:bCs/>
          <w:kern w:val="0"/>
          <w:sz w:val="32"/>
          <w:szCs w:val="32"/>
        </w:rPr>
        <w:t>120</w:t>
      </w:r>
      <w:r>
        <w:rPr>
          <w:rFonts w:ascii="Times New Roman" w:eastAsia="仿宋_GB2312" w:hAnsi="Times New Roman" w:hint="eastAsia"/>
          <w:bCs/>
          <w:kern w:val="0"/>
          <w:sz w:val="32"/>
          <w:szCs w:val="32"/>
        </w:rPr>
        <w:t>个工作日，</w:t>
      </w:r>
      <w:r>
        <w:rPr>
          <w:rFonts w:ascii="Times New Roman" w:eastAsia="仿宋_GB2312" w:hAnsi="Times New Roman" w:hint="eastAsia"/>
          <w:bCs/>
          <w:sz w:val="32"/>
          <w:szCs w:val="32"/>
        </w:rPr>
        <w:t>特殊情况下，申请人可与相应药品检验机构协商。</w:t>
      </w:r>
    </w:p>
    <w:p w14:paraId="59476108" w14:textId="77777777" w:rsidR="00440C0C" w:rsidRDefault="00440C0C" w:rsidP="00440C0C">
      <w:pPr>
        <w:pStyle w:val="a9"/>
        <w:spacing w:line="580" w:lineRule="exact"/>
        <w:ind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4.</w:t>
      </w:r>
      <w:r>
        <w:rPr>
          <w:rFonts w:ascii="Times New Roman" w:eastAsia="仿宋_GB2312" w:hAnsi="Times New Roman" w:hint="eastAsia"/>
          <w:kern w:val="0"/>
          <w:sz w:val="32"/>
          <w:szCs w:val="32"/>
        </w:rPr>
        <w:t>对于细胞治疗类和基因治疗类产品，因其工艺及其质量放行检验的特殊性，注册检验的样本需根据工艺特点，以</w:t>
      </w:r>
      <w:proofErr w:type="gramStart"/>
      <w:r>
        <w:rPr>
          <w:rFonts w:ascii="Times New Roman" w:eastAsia="仿宋_GB2312" w:hAnsi="Times New Roman" w:hint="eastAsia"/>
          <w:kern w:val="0"/>
          <w:sz w:val="32"/>
          <w:szCs w:val="32"/>
        </w:rPr>
        <w:t>最</w:t>
      </w:r>
      <w:proofErr w:type="gramEnd"/>
      <w:r>
        <w:rPr>
          <w:rFonts w:ascii="Times New Roman" w:eastAsia="仿宋_GB2312" w:hAnsi="Times New Roman" w:hint="eastAsia"/>
          <w:kern w:val="0"/>
          <w:sz w:val="32"/>
          <w:szCs w:val="32"/>
        </w:rPr>
        <w:t>适样本为原则，分别来源于过程控制样本及</w:t>
      </w:r>
      <w:proofErr w:type="gramStart"/>
      <w:r>
        <w:rPr>
          <w:rFonts w:ascii="Times New Roman" w:eastAsia="仿宋_GB2312" w:hAnsi="Times New Roman" w:hint="eastAsia"/>
          <w:kern w:val="0"/>
          <w:sz w:val="32"/>
          <w:szCs w:val="32"/>
        </w:rPr>
        <w:t>终产品</w:t>
      </w:r>
      <w:proofErr w:type="gramEnd"/>
      <w:r>
        <w:rPr>
          <w:rFonts w:ascii="Times New Roman" w:eastAsia="仿宋_GB2312" w:hAnsi="Times New Roman" w:hint="eastAsia"/>
          <w:kern w:val="0"/>
          <w:sz w:val="32"/>
          <w:szCs w:val="32"/>
        </w:rPr>
        <w:t>样本。过程控制样本的包装及其规格需满足特定检验项目的相关要求。</w:t>
      </w:r>
    </w:p>
    <w:p w14:paraId="22625C2E" w14:textId="77777777" w:rsidR="00440C0C" w:rsidRDefault="00440C0C" w:rsidP="00440C0C">
      <w:pPr>
        <w:pStyle w:val="a9"/>
        <w:spacing w:line="580" w:lineRule="exact"/>
        <w:ind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对于自体治疗产品，如经过评估后不能提供自体供者样本，可采用至少三个不同健康供者来源的商业规模生产验证批次的样本，</w:t>
      </w:r>
      <w:bookmarkStart w:id="1" w:name="hmcheck_822a9ee1604d46878d22ffb277f10e19"/>
      <w:r>
        <w:rPr>
          <w:rFonts w:ascii="Times New Roman" w:eastAsia="仿宋_GB2312" w:hAnsi="Times New Roman" w:hint="eastAsia"/>
          <w:kern w:val="0"/>
          <w:sz w:val="32"/>
          <w:szCs w:val="32"/>
          <w:shd w:val="clear" w:color="auto" w:fill="FFFFFF"/>
        </w:rPr>
        <w:t>如</w:t>
      </w:r>
      <w:proofErr w:type="gramStart"/>
      <w:r>
        <w:rPr>
          <w:rFonts w:ascii="Times New Roman" w:eastAsia="仿宋_GB2312" w:hAnsi="Times New Roman" w:hint="eastAsia"/>
          <w:kern w:val="0"/>
          <w:sz w:val="32"/>
          <w:szCs w:val="32"/>
          <w:shd w:val="clear" w:color="auto" w:fill="FFFFFF"/>
        </w:rPr>
        <w:t>终</w:t>
      </w:r>
      <w:bookmarkEnd w:id="1"/>
      <w:r>
        <w:rPr>
          <w:rFonts w:ascii="Times New Roman" w:eastAsia="仿宋_GB2312" w:hAnsi="Times New Roman" w:hint="eastAsia"/>
          <w:kern w:val="0"/>
          <w:sz w:val="32"/>
          <w:szCs w:val="32"/>
        </w:rPr>
        <w:t>产品</w:t>
      </w:r>
      <w:proofErr w:type="gramEnd"/>
      <w:r>
        <w:rPr>
          <w:rFonts w:ascii="Times New Roman" w:eastAsia="仿宋_GB2312" w:hAnsi="Times New Roman" w:hint="eastAsia"/>
          <w:kern w:val="0"/>
          <w:sz w:val="32"/>
          <w:szCs w:val="32"/>
        </w:rPr>
        <w:t>包装不适用于检验时，其终产品包装可根据检验用量需求</w:t>
      </w:r>
      <w:proofErr w:type="gramStart"/>
      <w:r>
        <w:rPr>
          <w:rFonts w:ascii="Times New Roman" w:eastAsia="仿宋_GB2312" w:hAnsi="Times New Roman" w:hint="eastAsia"/>
          <w:kern w:val="0"/>
          <w:sz w:val="32"/>
          <w:szCs w:val="32"/>
        </w:rPr>
        <w:t>采用与终包装</w:t>
      </w:r>
      <w:proofErr w:type="gramEnd"/>
      <w:r>
        <w:rPr>
          <w:rFonts w:ascii="Times New Roman" w:eastAsia="仿宋_GB2312" w:hAnsi="Times New Roman" w:hint="eastAsia"/>
          <w:kern w:val="0"/>
          <w:sz w:val="32"/>
          <w:szCs w:val="32"/>
        </w:rPr>
        <w:t>相同材料的小包装规格。检验样本量如不能满足两倍量，则需要有“如不符合规定不进行复试”的书面声明。在特殊情况下，如样本量过小，不能满足所有项目的检验，需进行充分评估后，在满足安全性检验项目的前提下，适度进行有效性相关的检验。</w:t>
      </w:r>
    </w:p>
    <w:p w14:paraId="3277163F" w14:textId="77777777" w:rsidR="00440C0C" w:rsidRDefault="00440C0C" w:rsidP="00440C0C">
      <w:pPr>
        <w:pStyle w:val="a9"/>
        <w:spacing w:line="580" w:lineRule="exact"/>
        <w:ind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对于有效期短的细胞治疗产品，在满足上述安全性检验项目的前提下，样品的剩余有效期需满足与活性密切相关的检验项目要求。</w:t>
      </w:r>
    </w:p>
    <w:p w14:paraId="1D9D37F2" w14:textId="77777777" w:rsidR="00440C0C" w:rsidRDefault="00440C0C" w:rsidP="00440C0C">
      <w:pPr>
        <w:pStyle w:val="a9"/>
        <w:spacing w:line="580" w:lineRule="exact"/>
        <w:ind w:firstLine="640"/>
        <w:rPr>
          <w:rFonts w:ascii="Times New Roman" w:eastAsia="楷体_GB2312" w:hAnsi="Times New Roman" w:cs="楷体_GB2312"/>
          <w:kern w:val="0"/>
          <w:sz w:val="32"/>
          <w:szCs w:val="32"/>
        </w:rPr>
      </w:pPr>
      <w:r>
        <w:rPr>
          <w:rFonts w:ascii="Times New Roman" w:eastAsia="楷体_GB2312" w:hAnsi="Times New Roman" w:cs="楷体_GB2312" w:hint="eastAsia"/>
          <w:kern w:val="0"/>
          <w:sz w:val="32"/>
          <w:szCs w:val="32"/>
        </w:rPr>
        <w:lastRenderedPageBreak/>
        <w:t>（二）标准物质</w:t>
      </w:r>
    </w:p>
    <w:p w14:paraId="3377F636" w14:textId="77777777" w:rsidR="00440C0C" w:rsidRDefault="00440C0C" w:rsidP="00440C0C">
      <w:pPr>
        <w:spacing w:line="58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提供至少</w:t>
      </w:r>
      <w:r>
        <w:rPr>
          <w:rFonts w:ascii="Times New Roman" w:eastAsia="仿宋_GB2312" w:hAnsi="Times New Roman" w:hint="eastAsia"/>
          <w:kern w:val="0"/>
          <w:sz w:val="32"/>
          <w:szCs w:val="32"/>
        </w:rPr>
        <w:t>2</w:t>
      </w:r>
      <w:r>
        <w:rPr>
          <w:rFonts w:ascii="Times New Roman" w:eastAsia="仿宋_GB2312" w:hAnsi="Times New Roman" w:hint="eastAsia"/>
          <w:kern w:val="0"/>
          <w:sz w:val="32"/>
          <w:szCs w:val="32"/>
        </w:rPr>
        <w:t>倍检验用量的标准物质（标准品、对照品、参考品），用于标准复核检验、方法</w:t>
      </w:r>
      <w:proofErr w:type="gramStart"/>
      <w:r>
        <w:rPr>
          <w:rFonts w:ascii="Times New Roman" w:eastAsia="仿宋_GB2312" w:hAnsi="Times New Roman" w:hint="eastAsia"/>
          <w:kern w:val="0"/>
          <w:sz w:val="32"/>
          <w:szCs w:val="32"/>
        </w:rPr>
        <w:t>学转移</w:t>
      </w:r>
      <w:proofErr w:type="gramEnd"/>
      <w:r>
        <w:rPr>
          <w:rFonts w:ascii="Times New Roman" w:eastAsia="仿宋_GB2312" w:hAnsi="Times New Roman" w:hint="eastAsia"/>
          <w:kern w:val="0"/>
          <w:sz w:val="32"/>
          <w:szCs w:val="32"/>
        </w:rPr>
        <w:t>或者方法学验证，应尽量分装为小包装规格。对于按照复测期管理的标准物质，如果距离进入下一个复测点的时间不能满足完成检验的需要，申请人应当后续补充提交标准物质的复测报告。</w:t>
      </w:r>
    </w:p>
    <w:p w14:paraId="1C2D5168" w14:textId="77777777" w:rsidR="00440C0C" w:rsidRDefault="00440C0C" w:rsidP="00440C0C">
      <w:pPr>
        <w:spacing w:line="580" w:lineRule="exact"/>
        <w:ind w:firstLineChars="200" w:firstLine="640"/>
        <w:rPr>
          <w:rFonts w:ascii="Times New Roman" w:eastAsia="楷体_GB2312" w:hAnsi="Times New Roman" w:cs="楷体_GB2312"/>
          <w:kern w:val="0"/>
          <w:sz w:val="32"/>
          <w:szCs w:val="32"/>
        </w:rPr>
      </w:pPr>
      <w:r>
        <w:rPr>
          <w:rFonts w:ascii="Times New Roman" w:eastAsia="楷体_GB2312" w:hAnsi="Times New Roman" w:cs="楷体_GB2312" w:hint="eastAsia"/>
          <w:kern w:val="0"/>
          <w:sz w:val="32"/>
          <w:szCs w:val="32"/>
        </w:rPr>
        <w:t>（三）特殊实验材料</w:t>
      </w:r>
    </w:p>
    <w:p w14:paraId="1198C9D1" w14:textId="77777777" w:rsidR="00440C0C" w:rsidRDefault="00440C0C" w:rsidP="00440C0C">
      <w:pPr>
        <w:pStyle w:val="a9"/>
        <w:spacing w:line="580" w:lineRule="exact"/>
        <w:ind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应提供超出现行版《中国药典》标准中使用的特殊实验材料，包括制剂中的辅料、特殊色谱柱、特殊试剂、检定用细胞株和菌毒种、特殊实验用品等，并提供必要的使用说明文件。</w:t>
      </w:r>
    </w:p>
    <w:p w14:paraId="50F76D4D" w14:textId="77777777" w:rsidR="00C4703F" w:rsidRPr="00440C0C" w:rsidRDefault="00C4703F">
      <w:pPr>
        <w:rPr>
          <w:rFonts w:hint="eastAsia"/>
        </w:rPr>
      </w:pPr>
    </w:p>
    <w:sectPr w:rsidR="00C4703F" w:rsidRPr="00440C0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3FF5F" w14:textId="77777777" w:rsidR="007928B4" w:rsidRDefault="007928B4" w:rsidP="00440C0C">
      <w:pPr>
        <w:rPr>
          <w:rFonts w:hint="eastAsia"/>
        </w:rPr>
      </w:pPr>
      <w:r>
        <w:separator/>
      </w:r>
    </w:p>
  </w:endnote>
  <w:endnote w:type="continuationSeparator" w:id="0">
    <w:p w14:paraId="1F6C5B18" w14:textId="77777777" w:rsidR="007928B4" w:rsidRDefault="007928B4" w:rsidP="00440C0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altName w:val="微软雅黑"/>
    <w:charset w:val="86"/>
    <w:family w:val="modern"/>
    <w:pitch w:val="fixed"/>
    <w:sig w:usb0="00000001" w:usb1="080E0000" w:usb2="00000010" w:usb3="00000000" w:csb0="00040000" w:csb1="00000000"/>
  </w:font>
  <w:font w:name="仿宋_GB2312">
    <w:altName w:val="微软雅黑"/>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67393" w14:textId="77777777" w:rsidR="007928B4" w:rsidRDefault="007928B4" w:rsidP="00440C0C">
      <w:pPr>
        <w:rPr>
          <w:rFonts w:hint="eastAsia"/>
        </w:rPr>
      </w:pPr>
      <w:r>
        <w:separator/>
      </w:r>
    </w:p>
  </w:footnote>
  <w:footnote w:type="continuationSeparator" w:id="0">
    <w:p w14:paraId="4767B341" w14:textId="77777777" w:rsidR="007928B4" w:rsidRDefault="007928B4" w:rsidP="00440C0C">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251"/>
    <w:rsid w:val="00282251"/>
    <w:rsid w:val="002C70B0"/>
    <w:rsid w:val="00440C0C"/>
    <w:rsid w:val="00447B59"/>
    <w:rsid w:val="007928B4"/>
    <w:rsid w:val="00C470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91DBC18E-AF29-4909-A703-77E06B8FE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rsid w:val="00440C0C"/>
    <w:pPr>
      <w:widowControl w:val="0"/>
      <w:jc w:val="both"/>
    </w:pPr>
    <w:rPr>
      <w:rFonts w:ascii="Calibri" w:eastAsia="宋体" w:hAnsi="Calibri" w:cs="Times New Roman"/>
    </w:rPr>
  </w:style>
  <w:style w:type="paragraph" w:styleId="1">
    <w:name w:val="heading 1"/>
    <w:basedOn w:val="a"/>
    <w:next w:val="a"/>
    <w:link w:val="10"/>
    <w:uiPriority w:val="9"/>
    <w:qFormat/>
    <w:rsid w:val="00282251"/>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0">
    <w:name w:val="heading 2"/>
    <w:basedOn w:val="a"/>
    <w:next w:val="a"/>
    <w:link w:val="21"/>
    <w:uiPriority w:val="9"/>
    <w:semiHidden/>
    <w:unhideWhenUsed/>
    <w:qFormat/>
    <w:rsid w:val="00282251"/>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unhideWhenUsed/>
    <w:qFormat/>
    <w:rsid w:val="00282251"/>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282251"/>
    <w:pPr>
      <w:keepNext/>
      <w:keepLines/>
      <w:spacing w:before="80" w:after="40"/>
      <w:outlineLvl w:val="3"/>
    </w:pPr>
    <w:rPr>
      <w:rFonts w:asciiTheme="minorHAnsi" w:eastAsiaTheme="minorEastAsia" w:hAnsiTheme="minorHAnsi" w:cstheme="majorBidi"/>
      <w:color w:val="2F5496" w:themeColor="accent1" w:themeShade="BF"/>
      <w:sz w:val="28"/>
      <w:szCs w:val="28"/>
    </w:rPr>
  </w:style>
  <w:style w:type="paragraph" w:styleId="5">
    <w:name w:val="heading 5"/>
    <w:basedOn w:val="a"/>
    <w:next w:val="a"/>
    <w:link w:val="50"/>
    <w:uiPriority w:val="9"/>
    <w:semiHidden/>
    <w:unhideWhenUsed/>
    <w:qFormat/>
    <w:rsid w:val="00282251"/>
    <w:pPr>
      <w:keepNext/>
      <w:keepLines/>
      <w:spacing w:before="80" w:after="40"/>
      <w:outlineLvl w:val="4"/>
    </w:pPr>
    <w:rPr>
      <w:rFonts w:asciiTheme="minorHAnsi" w:eastAsiaTheme="minorEastAsia" w:hAnsiTheme="minorHAnsi" w:cstheme="majorBidi"/>
      <w:color w:val="2F5496" w:themeColor="accent1" w:themeShade="BF"/>
      <w:sz w:val="24"/>
      <w:szCs w:val="24"/>
    </w:rPr>
  </w:style>
  <w:style w:type="paragraph" w:styleId="6">
    <w:name w:val="heading 6"/>
    <w:basedOn w:val="a"/>
    <w:next w:val="a"/>
    <w:link w:val="60"/>
    <w:uiPriority w:val="9"/>
    <w:semiHidden/>
    <w:unhideWhenUsed/>
    <w:qFormat/>
    <w:rsid w:val="00282251"/>
    <w:pPr>
      <w:keepNext/>
      <w:keepLines/>
      <w:spacing w:before="40"/>
      <w:outlineLvl w:val="5"/>
    </w:pPr>
    <w:rPr>
      <w:rFonts w:asciiTheme="minorHAnsi" w:eastAsiaTheme="minorEastAsia" w:hAnsiTheme="minorHAnsi" w:cstheme="majorBidi"/>
      <w:b/>
      <w:bCs/>
      <w:color w:val="2F5496" w:themeColor="accent1" w:themeShade="BF"/>
    </w:rPr>
  </w:style>
  <w:style w:type="paragraph" w:styleId="7">
    <w:name w:val="heading 7"/>
    <w:basedOn w:val="a"/>
    <w:next w:val="a"/>
    <w:link w:val="70"/>
    <w:uiPriority w:val="9"/>
    <w:semiHidden/>
    <w:unhideWhenUsed/>
    <w:qFormat/>
    <w:rsid w:val="00282251"/>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282251"/>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282251"/>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82251"/>
    <w:rPr>
      <w:rFonts w:asciiTheme="majorHAnsi" w:eastAsiaTheme="majorEastAsia" w:hAnsiTheme="majorHAnsi" w:cstheme="majorBidi"/>
      <w:color w:val="2F5496" w:themeColor="accent1" w:themeShade="BF"/>
      <w:sz w:val="48"/>
      <w:szCs w:val="48"/>
    </w:rPr>
  </w:style>
  <w:style w:type="character" w:customStyle="1" w:styleId="21">
    <w:name w:val="标题 2 字符"/>
    <w:basedOn w:val="a0"/>
    <w:link w:val="20"/>
    <w:uiPriority w:val="9"/>
    <w:semiHidden/>
    <w:rsid w:val="00282251"/>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qFormat/>
    <w:rsid w:val="00282251"/>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282251"/>
    <w:rPr>
      <w:rFonts w:cstheme="majorBidi"/>
      <w:color w:val="2F5496" w:themeColor="accent1" w:themeShade="BF"/>
      <w:sz w:val="28"/>
      <w:szCs w:val="28"/>
    </w:rPr>
  </w:style>
  <w:style w:type="character" w:customStyle="1" w:styleId="50">
    <w:name w:val="标题 5 字符"/>
    <w:basedOn w:val="a0"/>
    <w:link w:val="5"/>
    <w:uiPriority w:val="9"/>
    <w:semiHidden/>
    <w:rsid w:val="00282251"/>
    <w:rPr>
      <w:rFonts w:cstheme="majorBidi"/>
      <w:color w:val="2F5496" w:themeColor="accent1" w:themeShade="BF"/>
      <w:sz w:val="24"/>
      <w:szCs w:val="24"/>
    </w:rPr>
  </w:style>
  <w:style w:type="character" w:customStyle="1" w:styleId="60">
    <w:name w:val="标题 6 字符"/>
    <w:basedOn w:val="a0"/>
    <w:link w:val="6"/>
    <w:uiPriority w:val="9"/>
    <w:semiHidden/>
    <w:rsid w:val="00282251"/>
    <w:rPr>
      <w:rFonts w:cstheme="majorBidi"/>
      <w:b/>
      <w:bCs/>
      <w:color w:val="2F5496" w:themeColor="accent1" w:themeShade="BF"/>
    </w:rPr>
  </w:style>
  <w:style w:type="character" w:customStyle="1" w:styleId="70">
    <w:name w:val="标题 7 字符"/>
    <w:basedOn w:val="a0"/>
    <w:link w:val="7"/>
    <w:uiPriority w:val="9"/>
    <w:semiHidden/>
    <w:rsid w:val="00282251"/>
    <w:rPr>
      <w:rFonts w:cstheme="majorBidi"/>
      <w:b/>
      <w:bCs/>
      <w:color w:val="595959" w:themeColor="text1" w:themeTint="A6"/>
    </w:rPr>
  </w:style>
  <w:style w:type="character" w:customStyle="1" w:styleId="80">
    <w:name w:val="标题 8 字符"/>
    <w:basedOn w:val="a0"/>
    <w:link w:val="8"/>
    <w:uiPriority w:val="9"/>
    <w:semiHidden/>
    <w:rsid w:val="00282251"/>
    <w:rPr>
      <w:rFonts w:cstheme="majorBidi"/>
      <w:color w:val="595959" w:themeColor="text1" w:themeTint="A6"/>
    </w:rPr>
  </w:style>
  <w:style w:type="character" w:customStyle="1" w:styleId="90">
    <w:name w:val="标题 9 字符"/>
    <w:basedOn w:val="a0"/>
    <w:link w:val="9"/>
    <w:uiPriority w:val="9"/>
    <w:semiHidden/>
    <w:rsid w:val="00282251"/>
    <w:rPr>
      <w:rFonts w:eastAsiaTheme="majorEastAsia" w:cstheme="majorBidi"/>
      <w:color w:val="595959" w:themeColor="text1" w:themeTint="A6"/>
    </w:rPr>
  </w:style>
  <w:style w:type="paragraph" w:styleId="a3">
    <w:name w:val="Title"/>
    <w:basedOn w:val="a"/>
    <w:next w:val="a"/>
    <w:link w:val="a4"/>
    <w:uiPriority w:val="10"/>
    <w:qFormat/>
    <w:rsid w:val="0028225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8225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8225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28225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82251"/>
    <w:pPr>
      <w:spacing w:before="160" w:after="160"/>
      <w:jc w:val="center"/>
    </w:pPr>
    <w:rPr>
      <w:rFonts w:asciiTheme="minorHAnsi" w:eastAsiaTheme="minorEastAsia" w:hAnsiTheme="minorHAnsi" w:cstheme="minorBidi"/>
      <w:i/>
      <w:iCs/>
      <w:color w:val="404040" w:themeColor="text1" w:themeTint="BF"/>
    </w:rPr>
  </w:style>
  <w:style w:type="character" w:customStyle="1" w:styleId="a8">
    <w:name w:val="引用 字符"/>
    <w:basedOn w:val="a0"/>
    <w:link w:val="a7"/>
    <w:uiPriority w:val="29"/>
    <w:rsid w:val="00282251"/>
    <w:rPr>
      <w:i/>
      <w:iCs/>
      <w:color w:val="404040" w:themeColor="text1" w:themeTint="BF"/>
    </w:rPr>
  </w:style>
  <w:style w:type="paragraph" w:styleId="a9">
    <w:name w:val="List Paragraph"/>
    <w:basedOn w:val="a"/>
    <w:uiPriority w:val="34"/>
    <w:qFormat/>
    <w:rsid w:val="00282251"/>
    <w:pPr>
      <w:ind w:left="720"/>
      <w:contextualSpacing/>
    </w:pPr>
    <w:rPr>
      <w:rFonts w:asciiTheme="minorHAnsi" w:eastAsiaTheme="minorEastAsia" w:hAnsiTheme="minorHAnsi" w:cstheme="minorBidi"/>
    </w:rPr>
  </w:style>
  <w:style w:type="character" w:styleId="aa">
    <w:name w:val="Intense Emphasis"/>
    <w:basedOn w:val="a0"/>
    <w:uiPriority w:val="21"/>
    <w:qFormat/>
    <w:rsid w:val="00282251"/>
    <w:rPr>
      <w:i/>
      <w:iCs/>
      <w:color w:val="2F5496" w:themeColor="accent1" w:themeShade="BF"/>
    </w:rPr>
  </w:style>
  <w:style w:type="paragraph" w:styleId="ab">
    <w:name w:val="Intense Quote"/>
    <w:basedOn w:val="a"/>
    <w:next w:val="a"/>
    <w:link w:val="ac"/>
    <w:uiPriority w:val="30"/>
    <w:qFormat/>
    <w:rsid w:val="00282251"/>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EastAsia" w:hAnsiTheme="minorHAnsi" w:cstheme="minorBidi"/>
      <w:i/>
      <w:iCs/>
      <w:color w:val="2F5496" w:themeColor="accent1" w:themeShade="BF"/>
    </w:rPr>
  </w:style>
  <w:style w:type="character" w:customStyle="1" w:styleId="ac">
    <w:name w:val="明显引用 字符"/>
    <w:basedOn w:val="a0"/>
    <w:link w:val="ab"/>
    <w:uiPriority w:val="30"/>
    <w:rsid w:val="00282251"/>
    <w:rPr>
      <w:i/>
      <w:iCs/>
      <w:color w:val="2F5496" w:themeColor="accent1" w:themeShade="BF"/>
    </w:rPr>
  </w:style>
  <w:style w:type="character" w:styleId="ad">
    <w:name w:val="Intense Reference"/>
    <w:basedOn w:val="a0"/>
    <w:uiPriority w:val="32"/>
    <w:qFormat/>
    <w:rsid w:val="00282251"/>
    <w:rPr>
      <w:b/>
      <w:bCs/>
      <w:smallCaps/>
      <w:color w:val="2F5496" w:themeColor="accent1" w:themeShade="BF"/>
      <w:spacing w:val="5"/>
    </w:rPr>
  </w:style>
  <w:style w:type="paragraph" w:styleId="ae">
    <w:name w:val="header"/>
    <w:basedOn w:val="a"/>
    <w:link w:val="af"/>
    <w:uiPriority w:val="99"/>
    <w:unhideWhenUsed/>
    <w:rsid w:val="00440C0C"/>
    <w:pP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f">
    <w:name w:val="页眉 字符"/>
    <w:basedOn w:val="a0"/>
    <w:link w:val="ae"/>
    <w:uiPriority w:val="99"/>
    <w:rsid w:val="00440C0C"/>
    <w:rPr>
      <w:sz w:val="18"/>
      <w:szCs w:val="18"/>
    </w:rPr>
  </w:style>
  <w:style w:type="paragraph" w:styleId="af0">
    <w:name w:val="footer"/>
    <w:basedOn w:val="a"/>
    <w:link w:val="af1"/>
    <w:uiPriority w:val="99"/>
    <w:unhideWhenUsed/>
    <w:rsid w:val="00440C0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f1">
    <w:name w:val="页脚 字符"/>
    <w:basedOn w:val="a0"/>
    <w:link w:val="af0"/>
    <w:uiPriority w:val="99"/>
    <w:rsid w:val="00440C0C"/>
    <w:rPr>
      <w:sz w:val="18"/>
      <w:szCs w:val="18"/>
    </w:rPr>
  </w:style>
  <w:style w:type="paragraph" w:styleId="af2">
    <w:name w:val="Normal (Web)"/>
    <w:basedOn w:val="a"/>
    <w:unhideWhenUsed/>
    <w:qFormat/>
    <w:rsid w:val="00440C0C"/>
    <w:pPr>
      <w:widowControl/>
      <w:spacing w:before="100" w:beforeAutospacing="1" w:after="100" w:afterAutospacing="1"/>
      <w:jc w:val="left"/>
    </w:pPr>
    <w:rPr>
      <w:rFonts w:ascii="宋体" w:hAnsi="宋体" w:cs="宋体"/>
      <w:kern w:val="0"/>
      <w:sz w:val="24"/>
      <w:szCs w:val="24"/>
    </w:rPr>
  </w:style>
  <w:style w:type="paragraph" w:styleId="af3">
    <w:name w:val="Body Text Indent"/>
    <w:basedOn w:val="a"/>
    <w:link w:val="af4"/>
    <w:uiPriority w:val="99"/>
    <w:semiHidden/>
    <w:unhideWhenUsed/>
    <w:rsid w:val="00440C0C"/>
    <w:pPr>
      <w:spacing w:after="120"/>
      <w:ind w:leftChars="200" w:left="420"/>
    </w:pPr>
  </w:style>
  <w:style w:type="character" w:customStyle="1" w:styleId="af4">
    <w:name w:val="正文文本缩进 字符"/>
    <w:basedOn w:val="a0"/>
    <w:link w:val="af3"/>
    <w:uiPriority w:val="99"/>
    <w:semiHidden/>
    <w:rsid w:val="00440C0C"/>
    <w:rPr>
      <w:rFonts w:ascii="Calibri" w:eastAsia="宋体" w:hAnsi="Calibri" w:cs="Times New Roman"/>
    </w:rPr>
  </w:style>
  <w:style w:type="paragraph" w:styleId="2">
    <w:name w:val="Body Text First Indent 2"/>
    <w:basedOn w:val="af3"/>
    <w:link w:val="22"/>
    <w:uiPriority w:val="99"/>
    <w:semiHidden/>
    <w:unhideWhenUsed/>
    <w:rsid w:val="00440C0C"/>
    <w:pPr>
      <w:ind w:firstLineChars="200" w:firstLine="420"/>
    </w:pPr>
  </w:style>
  <w:style w:type="character" w:customStyle="1" w:styleId="22">
    <w:name w:val="正文文本首行缩进 2 字符"/>
    <w:basedOn w:val="af4"/>
    <w:link w:val="2"/>
    <w:uiPriority w:val="99"/>
    <w:semiHidden/>
    <w:rsid w:val="00440C0C"/>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350</Words>
  <Characters>1996</Characters>
  <Application>Microsoft Office Word</Application>
  <DocSecurity>0</DocSecurity>
  <Lines>16</Lines>
  <Paragraphs>4</Paragraphs>
  <ScaleCrop>false</ScaleCrop>
  <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姜杰斯</dc:creator>
  <cp:keywords/>
  <dc:description/>
  <cp:lastModifiedBy>姜杰斯</cp:lastModifiedBy>
  <cp:revision>2</cp:revision>
  <dcterms:created xsi:type="dcterms:W3CDTF">2026-07-08T02:55:00Z</dcterms:created>
  <dcterms:modified xsi:type="dcterms:W3CDTF">2026-07-08T02:55:00Z</dcterms:modified>
</cp:coreProperties>
</file>