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3B16" w14:textId="77777777" w:rsidR="005404F9" w:rsidRPr="00F77C81" w:rsidRDefault="005404F9" w:rsidP="005404F9">
      <w:pPr>
        <w:pStyle w:val="3"/>
        <w:spacing w:before="0" w:after="200"/>
        <w:rPr>
          <w:rFonts w:ascii="Times New Roman" w:eastAsia="黑体" w:hAnsi="Times New Roman" w:cs="黑体"/>
        </w:rPr>
      </w:pPr>
      <w:bookmarkStart w:id="0" w:name="_Toc17857"/>
      <w:r w:rsidRPr="00F77C81">
        <w:rPr>
          <w:rFonts w:ascii="Times New Roman" w:eastAsia="黑体" w:hAnsi="Times New Roman" w:cs="黑体" w:hint="eastAsia"/>
        </w:rPr>
        <w:t>附件</w:t>
      </w:r>
      <w:r w:rsidRPr="00F77C81">
        <w:rPr>
          <w:rFonts w:ascii="Times New Roman" w:eastAsia="黑体" w:hAnsi="Times New Roman" w:cs="黑体" w:hint="eastAsia"/>
        </w:rPr>
        <w:t>1.2</w:t>
      </w:r>
      <w:bookmarkEnd w:id="0"/>
    </w:p>
    <w:p w14:paraId="09A684A6" w14:textId="77777777" w:rsidR="005404F9" w:rsidRDefault="005404F9" w:rsidP="005404F9">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化学药品注册检验用资料、样品、标准物质和特殊实验材料的要求</w:t>
      </w:r>
    </w:p>
    <w:p w14:paraId="543B9CFC" w14:textId="77777777" w:rsidR="005404F9" w:rsidRDefault="005404F9" w:rsidP="005404F9">
      <w:pPr>
        <w:spacing w:line="580" w:lineRule="exact"/>
        <w:rPr>
          <w:rFonts w:ascii="Times New Roman" w:hAnsi="Times New Roman" w:cs="Calibri"/>
          <w:b/>
          <w:sz w:val="28"/>
          <w:szCs w:val="32"/>
        </w:rPr>
      </w:pPr>
    </w:p>
    <w:p w14:paraId="0E0250BB" w14:textId="77777777" w:rsidR="005404F9" w:rsidRDefault="005404F9" w:rsidP="005404F9">
      <w:pPr>
        <w:pStyle w:val="a9"/>
        <w:spacing w:line="580" w:lineRule="exact"/>
        <w:ind w:firstLine="640"/>
        <w:rPr>
          <w:rFonts w:ascii="Times New Roman" w:eastAsia="仿宋_GB2312" w:hAnsi="Times New Roman" w:cs="Calibri"/>
          <w:b/>
          <w:sz w:val="32"/>
          <w:szCs w:val="32"/>
        </w:rPr>
      </w:pPr>
      <w:r>
        <w:rPr>
          <w:rFonts w:ascii="Times New Roman" w:eastAsia="黑体" w:hAnsi="Times New Roman" w:cs="黑体"/>
          <w:bCs/>
          <w:sz w:val="32"/>
          <w:szCs w:val="32"/>
        </w:rPr>
        <w:t>一、</w:t>
      </w:r>
      <w:r>
        <w:rPr>
          <w:rFonts w:ascii="Times New Roman" w:eastAsia="黑体" w:hAnsi="Times New Roman" w:cs="黑体" w:hint="eastAsia"/>
          <w:bCs/>
          <w:sz w:val="32"/>
          <w:szCs w:val="32"/>
        </w:rPr>
        <w:t>资料要求</w:t>
      </w:r>
    </w:p>
    <w:p w14:paraId="09DFDFF7" w14:textId="77777777" w:rsidR="005404F9" w:rsidRPr="00F77C81" w:rsidRDefault="005404F9" w:rsidP="005404F9">
      <w:pPr>
        <w:spacing w:line="580" w:lineRule="exact"/>
        <w:ind w:firstLineChars="200" w:firstLine="640"/>
        <w:jc w:val="left"/>
        <w:rPr>
          <w:rFonts w:ascii="楷体_GB2312" w:eastAsia="楷体_GB2312" w:hAnsi="Times New Roman"/>
          <w:kern w:val="0"/>
          <w:sz w:val="32"/>
          <w:szCs w:val="32"/>
        </w:rPr>
      </w:pPr>
      <w:r w:rsidRPr="00F77C81">
        <w:rPr>
          <w:rFonts w:ascii="楷体_GB2312" w:eastAsia="楷体_GB2312" w:hAnsi="Times New Roman" w:cs="楷体_GB2312" w:hint="eastAsia"/>
          <w:kern w:val="0"/>
          <w:sz w:val="32"/>
          <w:szCs w:val="32"/>
        </w:rPr>
        <w:t>（一）监管部门出具的资料</w:t>
      </w:r>
      <w:r w:rsidRPr="00F77C81">
        <w:rPr>
          <w:rFonts w:ascii="楷体_GB2312" w:eastAsia="楷体_GB2312" w:hAnsi="Times New Roman" w:hint="eastAsia"/>
          <w:kern w:val="0"/>
          <w:sz w:val="32"/>
          <w:szCs w:val="32"/>
        </w:rPr>
        <w:t>：</w:t>
      </w:r>
    </w:p>
    <w:p w14:paraId="6C9FCBE3" w14:textId="77777777" w:rsidR="005404F9" w:rsidRDefault="005404F9" w:rsidP="005404F9">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抽样记录凭证（境内生产药品）；</w:t>
      </w:r>
    </w:p>
    <w:p w14:paraId="495DB668" w14:textId="77777777" w:rsidR="005404F9" w:rsidRDefault="005404F9" w:rsidP="005404F9">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进口通关凭证（境外生产药品）；</w:t>
      </w:r>
    </w:p>
    <w:p w14:paraId="2B2B7FD6" w14:textId="77777777" w:rsidR="005404F9" w:rsidRDefault="005404F9" w:rsidP="005404F9">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注册检验通知或补充资料通知（前置注册检验除外）。</w:t>
      </w:r>
    </w:p>
    <w:p w14:paraId="3ED3F63B" w14:textId="77777777" w:rsidR="005404F9" w:rsidRDefault="005404F9" w:rsidP="005404F9">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（二）药品通用技术文件（</w:t>
      </w:r>
      <w:r>
        <w:rPr>
          <w:rFonts w:ascii="Times New Roman" w:eastAsia="楷体_GB2312" w:hAnsi="Times New Roman" w:cs="楷体_GB2312"/>
          <w:kern w:val="0"/>
          <w:sz w:val="32"/>
          <w:szCs w:val="32"/>
        </w:rPr>
        <w:t>CTD</w:t>
      </w:r>
      <w:r>
        <w:rPr>
          <w:rFonts w:ascii="Times New Roman" w:eastAsia="楷体_GB2312" w:hAnsi="Times New Roman" w:cs="楷体_GB2312"/>
          <w:kern w:val="0"/>
          <w:sz w:val="32"/>
          <w:szCs w:val="32"/>
        </w:rPr>
        <w:t>）资料：模块</w:t>
      </w:r>
      <w:r>
        <w:rPr>
          <w:rFonts w:ascii="Times New Roman" w:eastAsia="楷体_GB2312" w:hAnsi="Times New Roman" w:cs="楷体_GB2312"/>
          <w:kern w:val="0"/>
          <w:sz w:val="32"/>
          <w:szCs w:val="32"/>
        </w:rPr>
        <w:t>2</w:t>
      </w:r>
      <w:r>
        <w:rPr>
          <w:rFonts w:ascii="Times New Roman" w:eastAsia="楷体_GB2312" w:hAnsi="Times New Roman" w:cs="楷体_GB2312"/>
          <w:kern w:val="0"/>
          <w:sz w:val="32"/>
          <w:szCs w:val="32"/>
        </w:rPr>
        <w:t>（概要）中</w:t>
      </w:r>
      <w:r>
        <w:rPr>
          <w:rFonts w:ascii="Times New Roman" w:eastAsia="楷体_GB2312" w:hAnsi="Times New Roman" w:cs="楷体_GB2312"/>
          <w:kern w:val="0"/>
          <w:sz w:val="32"/>
          <w:szCs w:val="32"/>
        </w:rPr>
        <w:t>2.3</w:t>
      </w:r>
      <w:r>
        <w:rPr>
          <w:rFonts w:ascii="Times New Roman" w:eastAsia="楷体_GB2312" w:hAnsi="Times New Roman" w:cs="楷体_GB2312"/>
          <w:kern w:val="0"/>
          <w:sz w:val="32"/>
          <w:szCs w:val="32"/>
        </w:rPr>
        <w:t>（质量总体概述）；模块</w:t>
      </w:r>
      <w:r>
        <w:rPr>
          <w:rFonts w:ascii="Times New Roman" w:eastAsia="楷体_GB2312" w:hAnsi="Times New Roman" w:cs="楷体_GB2312"/>
          <w:kern w:val="0"/>
          <w:sz w:val="32"/>
          <w:szCs w:val="32"/>
        </w:rPr>
        <w:t>3</w:t>
      </w:r>
      <w:r>
        <w:rPr>
          <w:rFonts w:ascii="Times New Roman" w:eastAsia="楷体_GB2312" w:hAnsi="Times New Roman" w:cs="楷体_GB2312"/>
          <w:kern w:val="0"/>
          <w:sz w:val="32"/>
          <w:szCs w:val="32"/>
        </w:rPr>
        <w:t>（药学研究资料）中质量控制模块。</w:t>
      </w:r>
    </w:p>
    <w:p w14:paraId="649A05D4" w14:textId="77777777" w:rsidR="005404F9" w:rsidRDefault="005404F9" w:rsidP="005404F9">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（三）按照现行版《中国药典》格式和体例要求整理的质量标准及起草说明，符合</w:t>
      </w:r>
      <w:proofErr w:type="gramStart"/>
      <w:r>
        <w:rPr>
          <w:rFonts w:ascii="Times New Roman" w:eastAsia="楷体_GB2312" w:hAnsi="Times New Roman" w:cs="楷体_GB2312" w:hint="eastAsia"/>
          <w:kern w:val="0"/>
          <w:sz w:val="32"/>
          <w:szCs w:val="32"/>
        </w:rPr>
        <w:t>药审中心</w:t>
      </w:r>
      <w:proofErr w:type="gramEnd"/>
      <w:r>
        <w:rPr>
          <w:rFonts w:ascii="Times New Roman" w:eastAsia="楷体_GB2312" w:hAnsi="Times New Roman" w:cs="楷体_GB2312" w:hint="eastAsia"/>
          <w:kern w:val="0"/>
          <w:sz w:val="32"/>
          <w:szCs w:val="32"/>
        </w:rPr>
        <w:t>发布的质量标准通用格式和撰写指南要求，质量标准（包括引用通则）应与申报资料内容保持一致。</w:t>
      </w:r>
    </w:p>
    <w:p w14:paraId="03DE9267" w14:textId="77777777" w:rsidR="005404F9" w:rsidRDefault="005404F9" w:rsidP="005404F9">
      <w:pPr>
        <w:pStyle w:val="a9"/>
        <w:spacing w:line="580" w:lineRule="exact"/>
        <w:ind w:firstLine="616"/>
        <w:rPr>
          <w:rFonts w:ascii="Times New Roman" w:eastAsia="楷体_GB2312" w:hAnsi="Times New Roman" w:cs="楷体_GB2312"/>
          <w:spacing w:val="-6"/>
          <w:kern w:val="0"/>
          <w:sz w:val="32"/>
          <w:szCs w:val="32"/>
        </w:rPr>
      </w:pPr>
      <w:r>
        <w:rPr>
          <w:rFonts w:ascii="Times New Roman" w:eastAsia="楷体_GB2312" w:hAnsi="Times New Roman" w:cs="楷体_GB2312" w:hint="eastAsia"/>
          <w:spacing w:val="-6"/>
          <w:kern w:val="0"/>
          <w:sz w:val="32"/>
          <w:szCs w:val="32"/>
        </w:rPr>
        <w:t>（四）送检样品按申报质量标准出具的出厂检验报告书。</w:t>
      </w:r>
    </w:p>
    <w:p w14:paraId="0CA31A9D"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楷体_GB2312" w:hAnsi="Times New Roman" w:cs="楷体_GB2312" w:hint="eastAsia"/>
          <w:kern w:val="0"/>
          <w:sz w:val="32"/>
          <w:szCs w:val="32"/>
        </w:rPr>
        <w:t>（五）企业随送检样品提供的标准物质（对照品）的检验报告书及相关研究资料。</w:t>
      </w:r>
    </w:p>
    <w:p w14:paraId="6840BE6B" w14:textId="77777777" w:rsidR="005404F9" w:rsidRDefault="005404F9" w:rsidP="005404F9">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（六）其他必要的药学研究资料。如为非无菌化学</w:t>
      </w:r>
      <w:r>
        <w:rPr>
          <w:rFonts w:ascii="Times New Roman" w:eastAsia="楷体_GB2312" w:hAnsi="Times New Roman" w:cs="楷体_GB2312" w:hint="eastAsia"/>
          <w:kern w:val="0"/>
          <w:sz w:val="32"/>
          <w:szCs w:val="32"/>
        </w:rPr>
        <w:lastRenderedPageBreak/>
        <w:t>药品或原料药，应提供微生物限度控制策略（包括申报质量标准中是否订入微生物限度项目；微生物限度的检验策略是逐批检测还是定期检测；其他必要的风险评估资料）。</w:t>
      </w:r>
    </w:p>
    <w:p w14:paraId="16D5F05B" w14:textId="77777777" w:rsidR="005404F9" w:rsidRDefault="005404F9" w:rsidP="005404F9">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（七）原料药随制剂同时申请的，应按上述要求同时提供原料药和制剂的资料。</w:t>
      </w:r>
    </w:p>
    <w:p w14:paraId="28729299" w14:textId="77777777" w:rsidR="005404F9" w:rsidRDefault="005404F9" w:rsidP="005404F9">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（八）上市后补充申请注册检验，还需要提供已批准的药品注册标准。</w:t>
      </w:r>
    </w:p>
    <w:p w14:paraId="4E6ED29F" w14:textId="77777777" w:rsidR="005404F9" w:rsidRDefault="005404F9" w:rsidP="005404F9">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以上资料需同时提供纸质版（加盖申请人公章）和相应电子版，</w:t>
      </w:r>
      <w:r>
        <w:rPr>
          <w:rFonts w:ascii="Times New Roman" w:eastAsia="仿宋_GB2312" w:hAnsi="Times New Roman" w:cs="宋体" w:hint="eastAsia"/>
          <w:kern w:val="0"/>
          <w:sz w:val="32"/>
          <w:szCs w:val="32"/>
        </w:rPr>
        <w:t>境外生产</w:t>
      </w:r>
      <w:r>
        <w:rPr>
          <w:rFonts w:ascii="Times New Roman" w:eastAsia="仿宋_GB2312" w:hAnsi="Times New Roman" w:hint="eastAsia"/>
          <w:kern w:val="0"/>
          <w:sz w:val="32"/>
          <w:szCs w:val="32"/>
        </w:rPr>
        <w:t>药品应同时提供中、英文版的资料。</w:t>
      </w:r>
    </w:p>
    <w:p w14:paraId="0C92EBD7" w14:textId="77777777" w:rsidR="005404F9" w:rsidRDefault="005404F9" w:rsidP="005404F9">
      <w:pPr>
        <w:pStyle w:val="a9"/>
        <w:spacing w:line="580" w:lineRule="exact"/>
        <w:ind w:firstLine="640"/>
        <w:rPr>
          <w:rFonts w:ascii="Times New Roman" w:eastAsia="黑体" w:hAnsi="Times New Roman" w:cs="黑体"/>
          <w:bCs/>
          <w:sz w:val="32"/>
          <w:szCs w:val="32"/>
        </w:rPr>
      </w:pPr>
      <w:r>
        <w:rPr>
          <w:rFonts w:ascii="Times New Roman" w:eastAsia="黑体" w:hAnsi="Times New Roman" w:cs="黑体"/>
          <w:bCs/>
          <w:sz w:val="32"/>
          <w:szCs w:val="32"/>
        </w:rPr>
        <w:t>二、</w:t>
      </w:r>
      <w:r>
        <w:rPr>
          <w:rFonts w:ascii="Times New Roman" w:eastAsia="黑体" w:hAnsi="Times New Roman" w:cs="黑体" w:hint="eastAsia"/>
          <w:bCs/>
          <w:sz w:val="32"/>
          <w:szCs w:val="32"/>
        </w:rPr>
        <w:t>样品、标准物质及特殊实验材料的要求</w:t>
      </w:r>
    </w:p>
    <w:p w14:paraId="7B6E54EB" w14:textId="77777777" w:rsidR="005404F9" w:rsidRDefault="005404F9" w:rsidP="005404F9">
      <w:pPr>
        <w:spacing w:line="580" w:lineRule="exact"/>
        <w:ind w:firstLineChars="200"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（一）样品</w:t>
      </w:r>
    </w:p>
    <w:p w14:paraId="52BCB5F4"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样品应该为商业化规模生产的，产地、直接接触药品的包装材料等涉及产品质量的关键信息应与药品注册申请（上市许可申请或上市后补充申请）时提供的信息一致。</w:t>
      </w:r>
    </w:p>
    <w:p w14:paraId="2C9D31C6"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样品应包装完整，有完整标签，标签内容应符合国家药品监督管理局药品标签说明书相关文件规定，无正规标签的样品，必须贴有临时标签；标签内容至少包括：检品名称、批号、规格、生产单位；已确定效期的样品标签上应注明效期，有特殊储存条件要求的，标签上需注明储存条件。对于境外已上市的制剂，包装规格可为境外市售包装或</w:t>
      </w:r>
      <w:proofErr w:type="gramStart"/>
      <w:r>
        <w:rPr>
          <w:rFonts w:ascii="Times New Roman" w:eastAsia="仿宋_GB2312" w:hAnsi="Times New Roman" w:hint="eastAsia"/>
          <w:kern w:val="0"/>
          <w:sz w:val="32"/>
          <w:szCs w:val="32"/>
        </w:rPr>
        <w:t>境内拟</w:t>
      </w:r>
      <w:proofErr w:type="gramEnd"/>
      <w:r>
        <w:rPr>
          <w:rFonts w:ascii="Times New Roman" w:eastAsia="仿宋_GB2312" w:hAnsi="Times New Roman" w:hint="eastAsia"/>
          <w:kern w:val="0"/>
          <w:sz w:val="32"/>
          <w:szCs w:val="32"/>
        </w:rPr>
        <w:t>上市包装。抽样样品应封签完整无损，签名或盖章清晰可辨。样品标签内容必须与</w:t>
      </w:r>
      <w:r>
        <w:rPr>
          <w:rFonts w:ascii="Times New Roman" w:eastAsia="仿宋_GB2312" w:hAnsi="Times New Roman" w:hint="eastAsia"/>
          <w:kern w:val="0"/>
          <w:sz w:val="32"/>
          <w:szCs w:val="32"/>
        </w:rPr>
        <w:lastRenderedPageBreak/>
        <w:t>资料相应内容一致。</w:t>
      </w:r>
    </w:p>
    <w:p w14:paraId="258B547E"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样品为多种规格的，每个规格为三批样品，每批样品量为全检量的</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倍，样品剩余有效期原则上不少于</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倍药品注册检验时限，</w:t>
      </w:r>
      <w:r>
        <w:rPr>
          <w:rFonts w:ascii="Times New Roman" w:eastAsia="仿宋_GB2312" w:hAnsi="Times New Roman" w:hint="eastAsia"/>
          <w:bCs/>
          <w:kern w:val="0"/>
          <w:sz w:val="32"/>
          <w:szCs w:val="32"/>
        </w:rPr>
        <w:t>如同时进行样品检验和标准复核的，不少于</w:t>
      </w:r>
      <w:r>
        <w:rPr>
          <w:rFonts w:ascii="Times New Roman" w:eastAsia="仿宋_GB2312" w:hAnsi="Times New Roman" w:hint="eastAsia"/>
          <w:bCs/>
          <w:kern w:val="0"/>
          <w:sz w:val="32"/>
          <w:szCs w:val="32"/>
        </w:rPr>
        <w:t>180</w:t>
      </w:r>
      <w:r>
        <w:rPr>
          <w:rFonts w:ascii="Times New Roman" w:eastAsia="仿宋_GB2312" w:hAnsi="Times New Roman" w:hint="eastAsia"/>
          <w:bCs/>
          <w:kern w:val="0"/>
          <w:sz w:val="32"/>
          <w:szCs w:val="32"/>
        </w:rPr>
        <w:t>个工作日；如仅进行样品检验的，不少于</w:t>
      </w:r>
      <w:r>
        <w:rPr>
          <w:rFonts w:ascii="Times New Roman" w:eastAsia="仿宋_GB2312" w:hAnsi="Times New Roman" w:hint="eastAsia"/>
          <w:bCs/>
          <w:kern w:val="0"/>
          <w:sz w:val="32"/>
          <w:szCs w:val="32"/>
        </w:rPr>
        <w:t>120</w:t>
      </w:r>
      <w:r>
        <w:rPr>
          <w:rFonts w:ascii="Times New Roman" w:eastAsia="仿宋_GB2312" w:hAnsi="Times New Roman" w:hint="eastAsia"/>
          <w:bCs/>
          <w:kern w:val="0"/>
          <w:sz w:val="32"/>
          <w:szCs w:val="32"/>
        </w:rPr>
        <w:t>个工作日</w:t>
      </w:r>
      <w:r>
        <w:rPr>
          <w:rFonts w:ascii="Times New Roman" w:eastAsia="仿宋_GB2312" w:hAnsi="Times New Roman" w:hint="eastAsia"/>
          <w:kern w:val="0"/>
          <w:sz w:val="32"/>
          <w:szCs w:val="32"/>
        </w:rPr>
        <w:t>，</w:t>
      </w:r>
      <w:r>
        <w:rPr>
          <w:rFonts w:ascii="Times New Roman" w:eastAsia="仿宋_GB2312" w:hAnsi="Times New Roman" w:hint="eastAsia"/>
          <w:bCs/>
          <w:sz w:val="32"/>
          <w:szCs w:val="32"/>
        </w:rPr>
        <w:t>特殊情况下，申请人可与相应药品检验机构协商。</w:t>
      </w:r>
      <w:r>
        <w:rPr>
          <w:rFonts w:ascii="Times New Roman" w:eastAsia="仿宋_GB2312" w:hAnsi="Times New Roman" w:hint="eastAsia"/>
          <w:kern w:val="0"/>
          <w:sz w:val="32"/>
          <w:szCs w:val="32"/>
        </w:rPr>
        <w:t>液体制剂、半固体制剂（如软膏、乳膏等）如处方相同，存在多种规格的，</w:t>
      </w:r>
      <w:bookmarkStart w:id="1" w:name="_Hlk170505781"/>
      <w:r>
        <w:rPr>
          <w:rFonts w:ascii="Times New Roman" w:eastAsia="仿宋_GB2312" w:hAnsi="Times New Roman" w:hint="eastAsia"/>
          <w:kern w:val="0"/>
          <w:sz w:val="32"/>
          <w:szCs w:val="32"/>
        </w:rPr>
        <w:t>应提供代表性规格的三批样品和其他规格至少一批样品（如最大和最小规格各三批、中间规格至少一批）进行检验。</w:t>
      </w:r>
      <w:bookmarkEnd w:id="1"/>
    </w:p>
    <w:p w14:paraId="6D353E43"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原料药应提前在适当的条件下选用与申报包装材料一致或材质相同的包装材料或选用不影响产品质量的其他包装材料进行分装后送样，并承诺自行承担该包装材料可能对样品检验结果带来的风险。应尽量选取小的分装规格，避免样品污染，保证各项实验的进行。</w:t>
      </w:r>
    </w:p>
    <w:p w14:paraId="2EA27E09"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5.</w:t>
      </w:r>
      <w:r>
        <w:rPr>
          <w:rFonts w:ascii="Times New Roman" w:eastAsia="仿宋_GB2312" w:hAnsi="Times New Roman" w:hint="eastAsia"/>
          <w:kern w:val="0"/>
          <w:sz w:val="32"/>
          <w:szCs w:val="32"/>
        </w:rPr>
        <w:t>标准中涉及微生物限度、无菌等项目的，样品的采集、储存和运输应符合《药品生产质量管理规范》（</w:t>
      </w:r>
      <w:r>
        <w:rPr>
          <w:rFonts w:ascii="Times New Roman" w:eastAsia="仿宋_GB2312" w:hAnsi="Times New Roman" w:hint="eastAsia"/>
          <w:kern w:val="0"/>
          <w:sz w:val="32"/>
          <w:szCs w:val="32"/>
        </w:rPr>
        <w:t>GMP</w:t>
      </w:r>
      <w:r>
        <w:rPr>
          <w:rFonts w:ascii="Times New Roman" w:eastAsia="仿宋_GB2312" w:hAnsi="Times New Roman" w:hint="eastAsia"/>
          <w:kern w:val="0"/>
          <w:sz w:val="32"/>
          <w:szCs w:val="32"/>
        </w:rPr>
        <w:t>）的基本要求，具体可参考《中国药典》</w:t>
      </w:r>
      <w:r>
        <w:rPr>
          <w:rFonts w:ascii="Times New Roman" w:eastAsia="仿宋_GB2312" w:hAnsi="Times New Roman" w:hint="eastAsia"/>
          <w:kern w:val="0"/>
          <w:sz w:val="32"/>
          <w:szCs w:val="32"/>
        </w:rPr>
        <w:t>9203</w:t>
      </w:r>
      <w:r>
        <w:rPr>
          <w:rFonts w:ascii="Times New Roman" w:eastAsia="仿宋_GB2312" w:hAnsi="Times New Roman" w:hint="eastAsia"/>
          <w:kern w:val="0"/>
          <w:sz w:val="32"/>
          <w:szCs w:val="32"/>
        </w:rPr>
        <w:t>指导原则，应提供用于该检验的独立包装样品，并在外包装注明。对于需要冷藏（如</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8</w:t>
      </w:r>
      <w:r>
        <w:rPr>
          <w:rFonts w:ascii="Times New Roman" w:eastAsia="仿宋_GB2312" w:hAnsi="Times New Roman" w:hint="eastAsia"/>
          <w:kern w:val="0"/>
          <w:sz w:val="32"/>
          <w:szCs w:val="32"/>
        </w:rPr>
        <w:t>℃）运输的样品，应防止低温冰排或其他低温制冷剂与样品直接接触，导致样品冻结影响检测结果。对于非无菌高水活度的中间样品（水分活度</w:t>
      </w:r>
      <w:r>
        <w:rPr>
          <w:rFonts w:ascii="Times New Roman" w:eastAsia="仿宋_GB2312" w:hAnsi="Times New Roman" w:hint="eastAsia"/>
          <w:kern w:val="0"/>
          <w:sz w:val="32"/>
          <w:szCs w:val="32"/>
        </w:rPr>
        <w:t>aw</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0.6</w:t>
      </w:r>
      <w:r>
        <w:rPr>
          <w:rFonts w:ascii="Times New Roman" w:eastAsia="仿宋_GB2312" w:hAnsi="Times New Roman" w:hint="eastAsia"/>
          <w:kern w:val="0"/>
          <w:sz w:val="32"/>
          <w:szCs w:val="32"/>
        </w:rPr>
        <w:t>），送样前如需冷冻储存的，原则上无需对微生物限度进行注册检验。申请人应通过生产过</w:t>
      </w:r>
      <w:r>
        <w:rPr>
          <w:rFonts w:ascii="Times New Roman" w:eastAsia="仿宋_GB2312" w:hAnsi="Times New Roman" w:hint="eastAsia"/>
          <w:kern w:val="0"/>
          <w:sz w:val="32"/>
          <w:szCs w:val="32"/>
        </w:rPr>
        <w:lastRenderedPageBreak/>
        <w:t>程控制，生产后立即取样检测等方式加强微生物污染控制。如确需送样，为保证检测结果的准确性，申请人应对全过程进行风险研究并采取适当的措施以保证所送样品与生产后立即取样的微生物水平一致，送样时提供风险研究资料。标准中涉及热原、细菌内毒素等项目的，为避免样品污染，还应提供用于该检验的独立包装样品。</w:t>
      </w:r>
    </w:p>
    <w:p w14:paraId="2AC9F61D" w14:textId="77777777" w:rsidR="005404F9" w:rsidRDefault="005404F9" w:rsidP="005404F9">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（二）标准物质及参比制剂</w:t>
      </w:r>
    </w:p>
    <w:p w14:paraId="20F37E05"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提供检验及方法学验证所涉及的标准物质（对照品或标准品）及参比制剂，为满足注册检验的</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倍量。标准物质及参比制剂剩余有效期的要求与样品一致。对于按照复测期管理的标准物质，如果距离进入下一个复测点的时间不能满足完成检验的需要，申请人应当后续补充提交标准物质的复测报告。</w:t>
      </w:r>
    </w:p>
    <w:p w14:paraId="3836443C"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楷体_GB2312" w:hAnsi="Times New Roman" w:cs="楷体_GB2312" w:hint="eastAsia"/>
          <w:kern w:val="0"/>
          <w:sz w:val="32"/>
          <w:szCs w:val="32"/>
        </w:rPr>
        <w:t>（三）特殊实验材料</w:t>
      </w:r>
    </w:p>
    <w:p w14:paraId="14E4710A" w14:textId="77777777" w:rsidR="005404F9" w:rsidRDefault="005404F9" w:rsidP="005404F9">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应提供超出现行版《中国药典》标准中使用和其他不易获得的特殊实验材料，包括检验所需使用的特殊色谱柱，特殊试剂等，并提供必要的使用说明文件。</w:t>
      </w:r>
      <w:bookmarkStart w:id="2" w:name="YinFaRiQiΩ1"/>
      <w:bookmarkEnd w:id="2"/>
    </w:p>
    <w:p w14:paraId="63BE55E5" w14:textId="77777777" w:rsidR="00C4703F" w:rsidRPr="005404F9" w:rsidRDefault="00C4703F">
      <w:pPr>
        <w:rPr>
          <w:rFonts w:hint="eastAsia"/>
        </w:rPr>
      </w:pPr>
    </w:p>
    <w:sectPr w:rsidR="00C4703F" w:rsidRPr="005404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6FA81" w14:textId="77777777" w:rsidR="00CF7008" w:rsidRDefault="00CF7008" w:rsidP="005404F9">
      <w:pPr>
        <w:rPr>
          <w:rFonts w:hint="eastAsia"/>
        </w:rPr>
      </w:pPr>
      <w:r>
        <w:separator/>
      </w:r>
    </w:p>
  </w:endnote>
  <w:endnote w:type="continuationSeparator" w:id="0">
    <w:p w14:paraId="76A9C3D1" w14:textId="77777777" w:rsidR="00CF7008" w:rsidRDefault="00CF7008" w:rsidP="005404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2026" w14:textId="77777777" w:rsidR="00CF7008" w:rsidRDefault="00CF7008" w:rsidP="005404F9">
      <w:pPr>
        <w:rPr>
          <w:rFonts w:hint="eastAsia"/>
        </w:rPr>
      </w:pPr>
      <w:r>
        <w:separator/>
      </w:r>
    </w:p>
  </w:footnote>
  <w:footnote w:type="continuationSeparator" w:id="0">
    <w:p w14:paraId="089DD58E" w14:textId="77777777" w:rsidR="00CF7008" w:rsidRDefault="00CF7008" w:rsidP="005404F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7B"/>
    <w:rsid w:val="002C70B0"/>
    <w:rsid w:val="00447B59"/>
    <w:rsid w:val="005404F9"/>
    <w:rsid w:val="00C4703F"/>
    <w:rsid w:val="00CF7008"/>
    <w:rsid w:val="00F13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500E84D-3487-4A13-ADCC-73C63787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5404F9"/>
    <w:pPr>
      <w:widowControl w:val="0"/>
      <w:jc w:val="both"/>
    </w:pPr>
    <w:rPr>
      <w:rFonts w:ascii="Calibri" w:eastAsia="宋体" w:hAnsi="Calibri" w:cs="Times New Roman"/>
    </w:rPr>
  </w:style>
  <w:style w:type="paragraph" w:styleId="1">
    <w:name w:val="heading 1"/>
    <w:basedOn w:val="a"/>
    <w:next w:val="a"/>
    <w:link w:val="10"/>
    <w:uiPriority w:val="9"/>
    <w:qFormat/>
    <w:rsid w:val="00F13C7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F13C7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F13C7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13C7B"/>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F13C7B"/>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F13C7B"/>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F13C7B"/>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F13C7B"/>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F13C7B"/>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13C7B"/>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F13C7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F13C7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13C7B"/>
    <w:rPr>
      <w:rFonts w:cstheme="majorBidi"/>
      <w:color w:val="2F5496" w:themeColor="accent1" w:themeShade="BF"/>
      <w:sz w:val="28"/>
      <w:szCs w:val="28"/>
    </w:rPr>
  </w:style>
  <w:style w:type="character" w:customStyle="1" w:styleId="50">
    <w:name w:val="标题 5 字符"/>
    <w:basedOn w:val="a0"/>
    <w:link w:val="5"/>
    <w:uiPriority w:val="9"/>
    <w:semiHidden/>
    <w:rsid w:val="00F13C7B"/>
    <w:rPr>
      <w:rFonts w:cstheme="majorBidi"/>
      <w:color w:val="2F5496" w:themeColor="accent1" w:themeShade="BF"/>
      <w:sz w:val="24"/>
      <w:szCs w:val="24"/>
    </w:rPr>
  </w:style>
  <w:style w:type="character" w:customStyle="1" w:styleId="60">
    <w:name w:val="标题 6 字符"/>
    <w:basedOn w:val="a0"/>
    <w:link w:val="6"/>
    <w:uiPriority w:val="9"/>
    <w:semiHidden/>
    <w:rsid w:val="00F13C7B"/>
    <w:rPr>
      <w:rFonts w:cstheme="majorBidi"/>
      <w:b/>
      <w:bCs/>
      <w:color w:val="2F5496" w:themeColor="accent1" w:themeShade="BF"/>
    </w:rPr>
  </w:style>
  <w:style w:type="character" w:customStyle="1" w:styleId="70">
    <w:name w:val="标题 7 字符"/>
    <w:basedOn w:val="a0"/>
    <w:link w:val="7"/>
    <w:uiPriority w:val="9"/>
    <w:semiHidden/>
    <w:rsid w:val="00F13C7B"/>
    <w:rPr>
      <w:rFonts w:cstheme="majorBidi"/>
      <w:b/>
      <w:bCs/>
      <w:color w:val="595959" w:themeColor="text1" w:themeTint="A6"/>
    </w:rPr>
  </w:style>
  <w:style w:type="character" w:customStyle="1" w:styleId="80">
    <w:name w:val="标题 8 字符"/>
    <w:basedOn w:val="a0"/>
    <w:link w:val="8"/>
    <w:uiPriority w:val="9"/>
    <w:semiHidden/>
    <w:rsid w:val="00F13C7B"/>
    <w:rPr>
      <w:rFonts w:cstheme="majorBidi"/>
      <w:color w:val="595959" w:themeColor="text1" w:themeTint="A6"/>
    </w:rPr>
  </w:style>
  <w:style w:type="character" w:customStyle="1" w:styleId="90">
    <w:name w:val="标题 9 字符"/>
    <w:basedOn w:val="a0"/>
    <w:link w:val="9"/>
    <w:uiPriority w:val="9"/>
    <w:semiHidden/>
    <w:rsid w:val="00F13C7B"/>
    <w:rPr>
      <w:rFonts w:eastAsiaTheme="majorEastAsia" w:cstheme="majorBidi"/>
      <w:color w:val="595959" w:themeColor="text1" w:themeTint="A6"/>
    </w:rPr>
  </w:style>
  <w:style w:type="paragraph" w:styleId="a3">
    <w:name w:val="Title"/>
    <w:basedOn w:val="a"/>
    <w:next w:val="a"/>
    <w:link w:val="a4"/>
    <w:uiPriority w:val="10"/>
    <w:qFormat/>
    <w:rsid w:val="00F13C7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13C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C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13C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3C7B"/>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F13C7B"/>
    <w:rPr>
      <w:i/>
      <w:iCs/>
      <w:color w:val="404040" w:themeColor="text1" w:themeTint="BF"/>
    </w:rPr>
  </w:style>
  <w:style w:type="paragraph" w:styleId="a9">
    <w:name w:val="List Paragraph"/>
    <w:basedOn w:val="a"/>
    <w:uiPriority w:val="34"/>
    <w:qFormat/>
    <w:rsid w:val="00F13C7B"/>
    <w:pPr>
      <w:ind w:left="720"/>
      <w:contextualSpacing/>
    </w:pPr>
    <w:rPr>
      <w:rFonts w:asciiTheme="minorHAnsi" w:eastAsiaTheme="minorEastAsia" w:hAnsiTheme="minorHAnsi" w:cstheme="minorBidi"/>
    </w:rPr>
  </w:style>
  <w:style w:type="character" w:styleId="aa">
    <w:name w:val="Intense Emphasis"/>
    <w:basedOn w:val="a0"/>
    <w:uiPriority w:val="21"/>
    <w:qFormat/>
    <w:rsid w:val="00F13C7B"/>
    <w:rPr>
      <w:i/>
      <w:iCs/>
      <w:color w:val="2F5496" w:themeColor="accent1" w:themeShade="BF"/>
    </w:rPr>
  </w:style>
  <w:style w:type="paragraph" w:styleId="ab">
    <w:name w:val="Intense Quote"/>
    <w:basedOn w:val="a"/>
    <w:next w:val="a"/>
    <w:link w:val="ac"/>
    <w:uiPriority w:val="30"/>
    <w:qFormat/>
    <w:rsid w:val="00F13C7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F13C7B"/>
    <w:rPr>
      <w:i/>
      <w:iCs/>
      <w:color w:val="2F5496" w:themeColor="accent1" w:themeShade="BF"/>
    </w:rPr>
  </w:style>
  <w:style w:type="character" w:styleId="ad">
    <w:name w:val="Intense Reference"/>
    <w:basedOn w:val="a0"/>
    <w:uiPriority w:val="32"/>
    <w:qFormat/>
    <w:rsid w:val="00F13C7B"/>
    <w:rPr>
      <w:b/>
      <w:bCs/>
      <w:smallCaps/>
      <w:color w:val="2F5496" w:themeColor="accent1" w:themeShade="BF"/>
      <w:spacing w:val="5"/>
    </w:rPr>
  </w:style>
  <w:style w:type="paragraph" w:styleId="ae">
    <w:name w:val="header"/>
    <w:basedOn w:val="a"/>
    <w:link w:val="af"/>
    <w:uiPriority w:val="99"/>
    <w:unhideWhenUsed/>
    <w:rsid w:val="005404F9"/>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5404F9"/>
    <w:rPr>
      <w:sz w:val="18"/>
      <w:szCs w:val="18"/>
    </w:rPr>
  </w:style>
  <w:style w:type="paragraph" w:styleId="af0">
    <w:name w:val="footer"/>
    <w:basedOn w:val="a"/>
    <w:link w:val="af1"/>
    <w:uiPriority w:val="99"/>
    <w:unhideWhenUsed/>
    <w:rsid w:val="005404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5404F9"/>
    <w:rPr>
      <w:sz w:val="18"/>
      <w:szCs w:val="18"/>
    </w:rPr>
  </w:style>
  <w:style w:type="paragraph" w:styleId="af2">
    <w:name w:val="Normal (Web)"/>
    <w:basedOn w:val="a"/>
    <w:unhideWhenUsed/>
    <w:qFormat/>
    <w:rsid w:val="005404F9"/>
    <w:pPr>
      <w:widowControl/>
      <w:spacing w:before="100" w:beforeAutospacing="1" w:after="100" w:afterAutospacing="1"/>
      <w:jc w:val="left"/>
    </w:pPr>
    <w:rPr>
      <w:rFonts w:ascii="宋体" w:hAnsi="宋体" w:cs="宋体"/>
      <w:kern w:val="0"/>
      <w:sz w:val="24"/>
      <w:szCs w:val="24"/>
    </w:rPr>
  </w:style>
  <w:style w:type="paragraph" w:styleId="af3">
    <w:name w:val="Body Text Indent"/>
    <w:basedOn w:val="a"/>
    <w:link w:val="af4"/>
    <w:uiPriority w:val="99"/>
    <w:semiHidden/>
    <w:unhideWhenUsed/>
    <w:rsid w:val="005404F9"/>
    <w:pPr>
      <w:spacing w:after="120"/>
      <w:ind w:leftChars="200" w:left="420"/>
    </w:pPr>
  </w:style>
  <w:style w:type="character" w:customStyle="1" w:styleId="af4">
    <w:name w:val="正文文本缩进 字符"/>
    <w:basedOn w:val="a0"/>
    <w:link w:val="af3"/>
    <w:uiPriority w:val="99"/>
    <w:semiHidden/>
    <w:rsid w:val="005404F9"/>
    <w:rPr>
      <w:rFonts w:ascii="Calibri" w:eastAsia="宋体" w:hAnsi="Calibri" w:cs="Times New Roman"/>
    </w:rPr>
  </w:style>
  <w:style w:type="paragraph" w:styleId="2">
    <w:name w:val="Body Text First Indent 2"/>
    <w:basedOn w:val="af3"/>
    <w:link w:val="22"/>
    <w:uiPriority w:val="99"/>
    <w:semiHidden/>
    <w:unhideWhenUsed/>
    <w:rsid w:val="005404F9"/>
    <w:pPr>
      <w:ind w:firstLineChars="200" w:firstLine="420"/>
    </w:pPr>
  </w:style>
  <w:style w:type="character" w:customStyle="1" w:styleId="22">
    <w:name w:val="正文文本首行缩进 2 字符"/>
    <w:basedOn w:val="af4"/>
    <w:link w:val="2"/>
    <w:uiPriority w:val="99"/>
    <w:semiHidden/>
    <w:rsid w:val="005404F9"/>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2026-07-08T02:54:00Z</dcterms:created>
  <dcterms:modified xsi:type="dcterms:W3CDTF">2026-07-08T02:54:00Z</dcterms:modified>
</cp:coreProperties>
</file>