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A5" w:rsidRDefault="004A0D45">
      <w:pPr>
        <w:jc w:val="center"/>
        <w:rPr>
          <w:b/>
          <w:bCs/>
          <w:sz w:val="32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</w:rPr>
        <w:t>布洛芬混悬液中苯甲酸钠、山梨酸、羟苯甲酯、羟苯乙酯、羟苯丙酯和羟苯丁酯含量测定方法</w:t>
      </w:r>
    </w:p>
    <w:p w:rsidR="00C70FA5" w:rsidRDefault="00C70FA5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szCs w:val="21"/>
        </w:rPr>
      </w:pPr>
    </w:p>
    <w:p w:rsidR="00C70FA5" w:rsidRDefault="004A0D4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 w:hint="eastAsia"/>
          <w:b/>
          <w:sz w:val="24"/>
        </w:rPr>
        <w:t>苯甲酸钠、山梨酸、羟苯甲酯、羟苯乙酯、</w:t>
      </w:r>
      <w:r>
        <w:rPr>
          <w:rFonts w:ascii="Times New Roman" w:eastAsiaTheme="majorEastAsia" w:hAnsi="Times New Roman" w:cs="Times New Roman"/>
          <w:b/>
          <w:bCs/>
          <w:sz w:val="24"/>
        </w:rPr>
        <w:t>羟苯丙酯和羟苯丁酯</w:t>
      </w:r>
      <w:r>
        <w:rPr>
          <w:rFonts w:ascii="Times New Roman" w:eastAsia="宋体" w:hAnsi="Times New Roman" w:cs="Times New Roman" w:hint="eastAsia"/>
          <w:b/>
          <w:sz w:val="24"/>
        </w:rPr>
        <w:t xml:space="preserve">  </w:t>
      </w:r>
    </w:p>
    <w:p w:rsidR="00C70FA5" w:rsidRDefault="004A0D45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如使用苯甲酸钠、山梨酸、羟苯甲酯、羟苯乙酯、羟苯丙酯和羟苯丁酯作为抑菌剂，</w:t>
      </w:r>
      <w:r>
        <w:rPr>
          <w:rFonts w:ascii="Times New Roman" w:eastAsia="宋体" w:hAnsi="Times New Roman" w:cs="Times New Roman"/>
          <w:kern w:val="0"/>
          <w:sz w:val="24"/>
        </w:rPr>
        <w:t>照高效液相色谱法（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年</w:t>
      </w:r>
      <w:r>
        <w:rPr>
          <w:rFonts w:ascii="Times New Roman" w:eastAsia="宋体" w:hAnsi="Times New Roman" w:cs="Times New Roman"/>
          <w:sz w:val="24"/>
        </w:rPr>
        <w:t>版四部</w:t>
      </w:r>
      <w:r>
        <w:rPr>
          <w:rFonts w:ascii="Times New Roman" w:eastAsia="宋体" w:hAnsi="Times New Roman" w:cs="Times New Roman"/>
          <w:kern w:val="0"/>
          <w:sz w:val="24"/>
        </w:rPr>
        <w:t>通则</w:t>
      </w:r>
      <w:r>
        <w:rPr>
          <w:rFonts w:ascii="Times New Roman" w:eastAsia="宋体" w:hAnsi="Times New Roman" w:cs="Times New Roman"/>
          <w:kern w:val="0"/>
          <w:sz w:val="24"/>
        </w:rPr>
        <w:t>0512</w:t>
      </w:r>
      <w:r>
        <w:rPr>
          <w:rFonts w:ascii="Times New Roman" w:eastAsia="宋体" w:hAnsi="Times New Roman" w:cs="Times New Roman"/>
          <w:kern w:val="0"/>
          <w:sz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</w:rPr>
        <w:t>测定。</w:t>
      </w:r>
    </w:p>
    <w:p w:rsidR="00C70FA5" w:rsidRDefault="004A0D45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稀释剂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流动相</w:t>
      </w:r>
      <w:r>
        <w:rPr>
          <w:rFonts w:ascii="Times New Roman" w:eastAsia="宋体" w:hAnsi="Times New Roman" w:cs="Times New Roman" w:hint="eastAsia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 w:hint="eastAsia"/>
          <w:sz w:val="24"/>
        </w:rPr>
        <w:t>甲醇</w:t>
      </w:r>
      <w:r>
        <w:rPr>
          <w:rFonts w:ascii="Times New Roman" w:eastAsia="宋体" w:hAnsi="Times New Roman" w:cs="Times New Roman"/>
          <w:kern w:val="0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80</w:t>
      </w:r>
      <w:r>
        <w:rPr>
          <w:rFonts w:ascii="Times New Roman" w:eastAsia="宋体" w:hAnsi="Times New Roman" w:cs="Times New Roman"/>
          <w:sz w:val="24"/>
        </w:rPr>
        <w:t>:</w:t>
      </w:r>
      <w:r>
        <w:rPr>
          <w:rFonts w:ascii="Times New Roman" w:eastAsia="宋体" w:hAnsi="Times New Roman" w:cs="Times New Roman" w:hint="eastAsia"/>
          <w:sz w:val="24"/>
        </w:rPr>
        <w:t>20</w:t>
      </w:r>
      <w:r>
        <w:rPr>
          <w:rFonts w:ascii="Times New Roman" w:eastAsia="宋体" w:hAnsi="Times New Roman" w:cs="Times New Roman"/>
          <w:kern w:val="0"/>
          <w:sz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</w:rPr>
        <w:t>。</w:t>
      </w:r>
    </w:p>
    <w:p w:rsidR="00C70FA5" w:rsidRDefault="004A0D45">
      <w:pPr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</w:rPr>
      </w:pPr>
      <w:r w:rsidRPr="00CF7DFB">
        <w:rPr>
          <w:rFonts w:ascii="Times New Roman" w:eastAsia="宋体" w:hAnsi="Times New Roman" w:cs="Times New Roman" w:hint="eastAsia"/>
          <w:b/>
          <w:kern w:val="0"/>
          <w:sz w:val="24"/>
        </w:rPr>
        <w:t>供试品溶液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取本品</w:t>
      </w:r>
      <w:r>
        <w:rPr>
          <w:rFonts w:ascii="Times New Roman" w:eastAsia="宋体" w:hAnsi="Times New Roman" w:cs="Times New Roman" w:hint="eastAsia"/>
          <w:kern w:val="0"/>
          <w:sz w:val="24"/>
        </w:rPr>
        <w:t>，摇匀，精密称取本品适量（约相当于布洛芬</w:t>
      </w:r>
      <w:r>
        <w:rPr>
          <w:rFonts w:ascii="Times New Roman" w:eastAsia="宋体" w:hAnsi="Times New Roman" w:cs="Times New Roman" w:hint="eastAsia"/>
          <w:kern w:val="0"/>
          <w:sz w:val="24"/>
        </w:rPr>
        <w:t>10mg</w:t>
      </w:r>
      <w:r>
        <w:rPr>
          <w:rFonts w:ascii="Times New Roman" w:eastAsia="宋体" w:hAnsi="Times New Roman" w:cs="Times New Roman" w:hint="eastAsia"/>
          <w:kern w:val="0"/>
          <w:sz w:val="24"/>
        </w:rPr>
        <w:t>），置</w:t>
      </w:r>
      <w:r>
        <w:rPr>
          <w:rFonts w:ascii="Times New Roman" w:eastAsia="宋体" w:hAnsi="Times New Roman" w:cs="Times New Roman" w:hint="eastAsia"/>
          <w:kern w:val="0"/>
          <w:sz w:val="24"/>
        </w:rPr>
        <w:t>50ml</w:t>
      </w:r>
      <w:r>
        <w:rPr>
          <w:rFonts w:ascii="Times New Roman" w:eastAsia="宋体" w:hAnsi="Times New Roman" w:cs="Times New Roman" w:hint="eastAsia"/>
          <w:kern w:val="0"/>
          <w:sz w:val="24"/>
        </w:rPr>
        <w:t>量瓶中，</w:t>
      </w:r>
      <w:r>
        <w:rPr>
          <w:rFonts w:ascii="Times New Roman" w:eastAsia="宋体" w:hAnsi="Times New Roman" w:cs="Times New Roman"/>
          <w:kern w:val="0"/>
          <w:sz w:val="24"/>
        </w:rPr>
        <w:t>加</w:t>
      </w:r>
      <w:r>
        <w:rPr>
          <w:rFonts w:ascii="Times New Roman" w:eastAsia="宋体" w:hAnsi="Times New Roman" w:cs="Times New Roman" w:hint="eastAsia"/>
          <w:kern w:val="0"/>
          <w:sz w:val="24"/>
        </w:rPr>
        <w:t>稀释剂溶解并定量</w:t>
      </w:r>
      <w:r>
        <w:rPr>
          <w:rFonts w:ascii="Times New Roman" w:eastAsia="宋体" w:hAnsi="Times New Roman" w:cs="Times New Roman"/>
          <w:kern w:val="0"/>
          <w:sz w:val="24"/>
        </w:rPr>
        <w:t>稀释</w:t>
      </w:r>
      <w:r>
        <w:rPr>
          <w:rFonts w:ascii="Times New Roman" w:eastAsia="宋体" w:hAnsi="Times New Roman" w:cs="Times New Roman" w:hint="eastAsia"/>
          <w:kern w:val="0"/>
          <w:sz w:val="24"/>
        </w:rPr>
        <w:t>至刻度，摇匀，滤过，取续滤液。</w:t>
      </w:r>
    </w:p>
    <w:p w:rsidR="00C70FA5" w:rsidRDefault="004A0D45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CF7DFB">
        <w:rPr>
          <w:rFonts w:ascii="Times New Roman" w:eastAsia="宋体" w:hAnsi="Times New Roman" w:cs="Times New Roman" w:hint="eastAsia"/>
          <w:b/>
          <w:sz w:val="24"/>
        </w:rPr>
        <w:t>对照品</w:t>
      </w:r>
      <w:r w:rsidRPr="00CF7DFB">
        <w:rPr>
          <w:rFonts w:ascii="Times New Roman" w:eastAsia="宋体" w:hAnsi="Times New Roman" w:cs="Times New Roman" w:hint="eastAsia"/>
          <w:b/>
          <w:kern w:val="0"/>
          <w:sz w:val="24"/>
        </w:rPr>
        <w:t>溶液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</w:rPr>
        <w:t>根据样品处方中抑菌剂的添加量，选择对照品溶液（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）或对照品溶液（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）作为对照品溶液。</w:t>
      </w:r>
    </w:p>
    <w:p w:rsidR="00C70FA5" w:rsidRDefault="004A0D45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对照品溶液</w:t>
      </w:r>
      <w:r>
        <w:rPr>
          <w:rFonts w:ascii="Times New Roman" w:eastAsia="宋体" w:hAnsi="Times New Roman" w:cs="Times New Roman" w:hint="eastAsia"/>
          <w:kern w:val="0"/>
          <w:sz w:val="24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取</w:t>
      </w:r>
      <w:r>
        <w:rPr>
          <w:rFonts w:ascii="Times New Roman" w:eastAsia="宋体" w:hAnsi="Times New Roman" w:cs="Times New Roman" w:hint="eastAsia"/>
          <w:kern w:val="0"/>
          <w:sz w:val="24"/>
        </w:rPr>
        <w:t>苯甲酸钠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 w:hint="eastAsia"/>
          <w:kern w:val="0"/>
          <w:sz w:val="24"/>
        </w:rPr>
        <w:t>山梨酸、羟苯甲酯、羟苯乙酯、羟苯丙酯、羟苯丁酯</w:t>
      </w:r>
      <w:r>
        <w:rPr>
          <w:rFonts w:ascii="Times New Roman" w:hAnsi="Times New Roman" w:cs="Times New Roman" w:hint="eastAsia"/>
          <w:sz w:val="24"/>
        </w:rPr>
        <w:t>对照</w:t>
      </w:r>
      <w:r>
        <w:rPr>
          <w:rFonts w:ascii="Times New Roman" w:hAnsi="Times New Roman" w:cs="Times New Roman"/>
          <w:sz w:val="24"/>
        </w:rPr>
        <w:t>品</w:t>
      </w:r>
      <w:r>
        <w:rPr>
          <w:rFonts w:ascii="Times New Roman" w:hAnsi="Times New Roman" w:cs="Times New Roman" w:hint="eastAsia"/>
          <w:sz w:val="24"/>
        </w:rPr>
        <w:t>适量</w:t>
      </w:r>
      <w:r>
        <w:rPr>
          <w:rFonts w:ascii="Times New Roman" w:hAnsi="Times New Roman" w:cs="Times New Roman"/>
          <w:sz w:val="24"/>
        </w:rPr>
        <w:t>，精密称定，加</w:t>
      </w:r>
      <w:r>
        <w:rPr>
          <w:rFonts w:ascii="Times New Roman" w:hAnsi="Times New Roman" w:cs="Times New Roman" w:hint="eastAsia"/>
          <w:sz w:val="24"/>
        </w:rPr>
        <w:t>稀释剂溶解并定量稀释制成每</w:t>
      </w:r>
      <w:r>
        <w:rPr>
          <w:rFonts w:ascii="Times New Roman" w:hAnsi="Times New Roman" w:cs="Times New Roman" w:hint="eastAsia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中约含苯甲酸钠</w:t>
      </w:r>
      <w:r>
        <w:rPr>
          <w:rFonts w:ascii="Times New Roman" w:hAnsi="Times New Roman" w:cs="Times New Roman" w:hint="eastAsia"/>
          <w:sz w:val="24"/>
        </w:rPr>
        <w:t>30</w:t>
      </w:r>
      <w:r>
        <w:rPr>
          <w:rFonts w:ascii="Times New Roman" w:hAnsi="Times New Roman" w:cs="Times New Roman"/>
          <w:sz w:val="24"/>
        </w:rPr>
        <w:t>μg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 w:hint="eastAsia"/>
          <w:kern w:val="0"/>
          <w:sz w:val="24"/>
        </w:rPr>
        <w:t>山梨酸、羟苯甲酯、羟苯乙酯、羟苯丙酯、羟苯丁酯各</w:t>
      </w:r>
      <w:r>
        <w:rPr>
          <w:rFonts w:ascii="Times New Roman" w:eastAsia="宋体" w:hAnsi="Times New Roman" w:cs="Times New Roman" w:hint="eastAsia"/>
          <w:kern w:val="0"/>
          <w:sz w:val="24"/>
        </w:rPr>
        <w:t>10</w:t>
      </w:r>
      <w:r>
        <w:rPr>
          <w:rFonts w:ascii="Times New Roman" w:hAnsi="Times New Roman" w:cs="Times New Roman"/>
          <w:sz w:val="24"/>
        </w:rPr>
        <w:t>μg</w:t>
      </w:r>
      <w:r>
        <w:rPr>
          <w:rFonts w:ascii="Times New Roman" w:eastAsia="宋体" w:hAnsi="Times New Roman" w:cs="Times New Roman" w:hint="eastAsia"/>
          <w:kern w:val="0"/>
          <w:sz w:val="24"/>
        </w:rPr>
        <w:t>的溶液</w:t>
      </w:r>
      <w:r>
        <w:rPr>
          <w:rFonts w:ascii="Times New Roman" w:hAnsi="Times New Roman" w:cs="Times New Roman" w:hint="eastAsia"/>
          <w:sz w:val="24"/>
        </w:rPr>
        <w:t>。</w:t>
      </w:r>
    </w:p>
    <w:p w:rsidR="00C70FA5" w:rsidRDefault="004A0D45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对照品溶液（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取</w:t>
      </w:r>
      <w:r>
        <w:rPr>
          <w:rFonts w:ascii="Times New Roman" w:eastAsia="宋体" w:hAnsi="Times New Roman" w:cs="Times New Roman" w:hint="eastAsia"/>
          <w:kern w:val="0"/>
          <w:sz w:val="24"/>
        </w:rPr>
        <w:t>苯甲酸钠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 w:hint="eastAsia"/>
          <w:kern w:val="0"/>
          <w:sz w:val="24"/>
        </w:rPr>
        <w:t>山梨酸、羟苯甲酯、羟苯乙酯、羟苯丙酯、羟苯丁酯</w:t>
      </w:r>
      <w:r>
        <w:rPr>
          <w:rFonts w:ascii="Times New Roman" w:hAnsi="Times New Roman" w:cs="Times New Roman" w:hint="eastAsia"/>
          <w:sz w:val="24"/>
        </w:rPr>
        <w:t>对照</w:t>
      </w:r>
      <w:r>
        <w:rPr>
          <w:rFonts w:ascii="Times New Roman" w:hAnsi="Times New Roman" w:cs="Times New Roman"/>
          <w:sz w:val="24"/>
        </w:rPr>
        <w:t>品</w:t>
      </w:r>
      <w:r>
        <w:rPr>
          <w:rFonts w:ascii="Times New Roman" w:hAnsi="Times New Roman" w:cs="Times New Roman" w:hint="eastAsia"/>
          <w:sz w:val="24"/>
        </w:rPr>
        <w:t>适量</w:t>
      </w:r>
      <w:r>
        <w:rPr>
          <w:rFonts w:ascii="Times New Roman" w:hAnsi="Times New Roman" w:cs="Times New Roman"/>
          <w:sz w:val="24"/>
        </w:rPr>
        <w:t>，精密称定，加</w:t>
      </w:r>
      <w:r>
        <w:rPr>
          <w:rFonts w:ascii="Times New Roman" w:hAnsi="Times New Roman" w:cs="Times New Roman" w:hint="eastAsia"/>
          <w:sz w:val="24"/>
        </w:rPr>
        <w:t>稀释剂溶解并定量稀释制成每</w:t>
      </w:r>
      <w:r>
        <w:rPr>
          <w:rFonts w:ascii="Times New Roman" w:hAnsi="Times New Roman" w:cs="Times New Roman" w:hint="eastAsia"/>
          <w:sz w:val="24"/>
        </w:rPr>
        <w:t>1ml</w:t>
      </w:r>
      <w:r>
        <w:rPr>
          <w:rFonts w:ascii="Times New Roman" w:hAnsi="Times New Roman" w:cs="Times New Roman" w:hint="eastAsia"/>
          <w:sz w:val="24"/>
        </w:rPr>
        <w:t>中约含苯甲酸钠</w:t>
      </w:r>
      <w:r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/>
          <w:sz w:val="24"/>
        </w:rPr>
        <w:t>μg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 w:hint="eastAsia"/>
          <w:kern w:val="0"/>
          <w:sz w:val="24"/>
        </w:rPr>
        <w:t>羟苯甲酯</w:t>
      </w:r>
      <w:r>
        <w:rPr>
          <w:rFonts w:ascii="Times New Roman" w:eastAsia="宋体" w:hAnsi="Times New Roman" w:cs="Times New Roman" w:hint="eastAsia"/>
          <w:kern w:val="0"/>
          <w:sz w:val="24"/>
        </w:rPr>
        <w:t>3</w:t>
      </w:r>
      <w:r>
        <w:rPr>
          <w:rFonts w:ascii="Times New Roman" w:hAnsi="Times New Roman" w:cs="Times New Roman"/>
          <w:sz w:val="24"/>
        </w:rPr>
        <w:t>μg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 w:hint="eastAsia"/>
          <w:kern w:val="0"/>
          <w:sz w:val="24"/>
        </w:rPr>
        <w:t>山梨酸、羟苯甲酯、羟苯乙酯、羟苯丙酯、羟苯丁酯各</w:t>
      </w:r>
      <w:r>
        <w:rPr>
          <w:rFonts w:ascii="Times New Roman" w:eastAsia="宋体" w:hAnsi="Times New Roman" w:cs="Times New Roman" w:hint="eastAsia"/>
          <w:kern w:val="0"/>
          <w:sz w:val="24"/>
        </w:rPr>
        <w:t>2</w:t>
      </w:r>
      <w:r>
        <w:rPr>
          <w:rFonts w:ascii="Times New Roman" w:hAnsi="Times New Roman" w:cs="Times New Roman"/>
          <w:sz w:val="24"/>
        </w:rPr>
        <w:t>μg</w:t>
      </w:r>
      <w:r>
        <w:rPr>
          <w:rFonts w:ascii="Times New Roman" w:eastAsia="宋体" w:hAnsi="Times New Roman" w:cs="Times New Roman" w:hint="eastAsia"/>
          <w:kern w:val="0"/>
          <w:sz w:val="24"/>
        </w:rPr>
        <w:t>的溶液</w:t>
      </w:r>
      <w:r>
        <w:rPr>
          <w:rFonts w:ascii="Times New Roman" w:hAnsi="Times New Roman" w:cs="Times New Roman" w:hint="eastAsia"/>
          <w:sz w:val="24"/>
        </w:rPr>
        <w:t>。</w:t>
      </w:r>
    </w:p>
    <w:p w:rsidR="00C70FA5" w:rsidRDefault="004A0D45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CF7DFB">
        <w:rPr>
          <w:rFonts w:ascii="Times New Roman" w:hAnsi="Times New Roman" w:cs="Times New Roman" w:hint="eastAsia"/>
          <w:b/>
          <w:sz w:val="24"/>
        </w:rPr>
        <w:t>色谱条件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用十八烷基硅烷键合硅胶</w:t>
      </w:r>
      <w:r>
        <w:rPr>
          <w:rFonts w:ascii="Times New Roman" w:eastAsia="宋体" w:hAnsi="Times New Roman" w:cs="Times New Roman" w:hint="eastAsia"/>
          <w:kern w:val="0"/>
          <w:sz w:val="24"/>
        </w:rPr>
        <w:t>为填充剂</w:t>
      </w:r>
      <w:r>
        <w:rPr>
          <w:rFonts w:ascii="Times New Roman" w:eastAsia="宋体" w:hAnsi="Times New Roman" w:cs="Times New Roman"/>
          <w:kern w:val="0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Agilent ZORBAX SB-C</w:t>
      </w:r>
      <w:r w:rsidRPr="00563451">
        <w:rPr>
          <w:rFonts w:ascii="Times New Roman" w:eastAsia="宋体" w:hAnsi="Times New Roman" w:cs="Times New Roman"/>
          <w:sz w:val="24"/>
          <w:vertAlign w:val="subscript"/>
        </w:rPr>
        <w:t>18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250mm×4.6mm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5μm</w:t>
      </w:r>
      <w:r>
        <w:rPr>
          <w:rFonts w:ascii="Times New Roman" w:eastAsia="宋体" w:hAnsi="Times New Roman" w:cs="Times New Roman"/>
          <w:kern w:val="0"/>
          <w:sz w:val="24"/>
        </w:rPr>
        <w:t>）；以</w:t>
      </w:r>
      <w:r>
        <w:rPr>
          <w:rFonts w:ascii="Times New Roman" w:eastAsia="宋体" w:hAnsi="Times New Roman" w:cs="Times New Roman"/>
          <w:kern w:val="0"/>
          <w:sz w:val="24"/>
        </w:rPr>
        <w:t>0.01mol/L</w:t>
      </w:r>
      <w:r>
        <w:rPr>
          <w:rFonts w:ascii="Times New Roman" w:eastAsia="宋体" w:hAnsi="Times New Roman" w:cs="Times New Roman"/>
          <w:sz w:val="24"/>
        </w:rPr>
        <w:t>醋酸铵溶液（用氨试液调</w:t>
      </w:r>
      <w:r>
        <w:rPr>
          <w:rFonts w:ascii="Times New Roman" w:eastAsia="宋体" w:hAnsi="Times New Roman" w:cs="Times New Roman"/>
          <w:sz w:val="24"/>
        </w:rPr>
        <w:t>pH</w:t>
      </w:r>
      <w:r>
        <w:rPr>
          <w:rFonts w:ascii="Times New Roman" w:eastAsia="宋体" w:hAnsi="Times New Roman" w:cs="Times New Roman"/>
          <w:sz w:val="24"/>
        </w:rPr>
        <w:t>值至</w:t>
      </w:r>
      <w:r>
        <w:rPr>
          <w:rFonts w:ascii="Times New Roman" w:eastAsia="宋体" w:hAnsi="Times New Roman" w:cs="Times New Roman"/>
          <w:sz w:val="24"/>
        </w:rPr>
        <w:t>8.0</w:t>
      </w:r>
      <w:r>
        <w:rPr>
          <w:rFonts w:ascii="Times New Roman" w:eastAsia="宋体" w:hAnsi="Times New Roman" w:cs="Times New Roman"/>
          <w:sz w:val="24"/>
        </w:rPr>
        <w:t>）为流动相</w:t>
      </w:r>
      <w:r>
        <w:rPr>
          <w:rFonts w:ascii="Times New Roman" w:eastAsia="宋体" w:hAnsi="Times New Roman" w:cs="Times New Roman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>，甲醇为流动相</w:t>
      </w:r>
      <w:r>
        <w:rPr>
          <w:rFonts w:ascii="Times New Roman" w:eastAsia="宋体" w:hAnsi="Times New Roman" w:cs="Times New Roman"/>
          <w:sz w:val="24"/>
        </w:rPr>
        <w:t>B</w:t>
      </w:r>
      <w:r>
        <w:rPr>
          <w:rFonts w:ascii="Times New Roman" w:eastAsia="宋体" w:hAnsi="Times New Roman" w:cs="Times New Roman"/>
          <w:sz w:val="24"/>
        </w:rPr>
        <w:t>，按下表</w:t>
      </w:r>
      <w:r>
        <w:rPr>
          <w:rFonts w:ascii="Times New Roman" w:hAnsi="Times New Roman" w:cs="Times New Roman"/>
          <w:sz w:val="24"/>
        </w:rPr>
        <w:t>进行梯度洗脱；流速为每分钟</w:t>
      </w:r>
      <w:r>
        <w:rPr>
          <w:rFonts w:ascii="Times New Roman" w:hAnsi="Times New Roman" w:cs="Times New Roman" w:hint="eastAsia"/>
          <w:sz w:val="24"/>
        </w:rPr>
        <w:t>1.0</w:t>
      </w:r>
      <w:r>
        <w:rPr>
          <w:rFonts w:ascii="Times New Roman" w:hAnsi="Times New Roman" w:cs="Times New Roman"/>
          <w:sz w:val="24"/>
        </w:rPr>
        <w:t>ml</w:t>
      </w:r>
      <w:r>
        <w:rPr>
          <w:rFonts w:ascii="Times New Roman" w:hAnsi="Times New Roman" w:cs="Times New Roman"/>
          <w:sz w:val="24"/>
        </w:rPr>
        <w:t>；检测波长为</w:t>
      </w:r>
      <w:r>
        <w:rPr>
          <w:rFonts w:ascii="Times New Roman" w:hAnsi="Times New Roman" w:cs="Times New Roman" w:hint="eastAsia"/>
          <w:sz w:val="24"/>
        </w:rPr>
        <w:t>苯甲酸钠</w:t>
      </w:r>
      <w:r>
        <w:rPr>
          <w:rFonts w:ascii="Times New Roman" w:hAnsi="Times New Roman" w:cs="Times New Roman" w:hint="eastAsia"/>
          <w:sz w:val="24"/>
        </w:rPr>
        <w:t>230nm</w:t>
      </w:r>
      <w:r>
        <w:rPr>
          <w:rFonts w:ascii="Times New Roman" w:hAnsi="Times New Roman" w:cs="Times New Roman" w:hint="eastAsia"/>
          <w:sz w:val="24"/>
        </w:rPr>
        <w:t>，山梨酸、羟苯甲酯、羟苯乙酯、羟苯丙酯、羟苯丁酯</w:t>
      </w:r>
      <w:r>
        <w:rPr>
          <w:rFonts w:ascii="Times New Roman" w:hAnsi="Times New Roman" w:cs="Times New Roman"/>
          <w:sz w:val="24"/>
        </w:rPr>
        <w:t>254nm</w:t>
      </w:r>
      <w:r>
        <w:rPr>
          <w:rFonts w:ascii="Times New Roman" w:hAnsi="Times New Roman" w:cs="Times New Roman"/>
          <w:sz w:val="24"/>
        </w:rPr>
        <w:t>；柱温为</w:t>
      </w:r>
      <w:r>
        <w:rPr>
          <w:rFonts w:ascii="Times New Roman" w:hAnsi="Times New Roman" w:cs="Times New Roman"/>
          <w:sz w:val="24"/>
        </w:rPr>
        <w:t>30℃</w:t>
      </w:r>
      <w:r>
        <w:rPr>
          <w:rFonts w:ascii="Times New Roman" w:hAnsi="Times New Roman" w:cs="Times New Roman"/>
          <w:sz w:val="24"/>
        </w:rPr>
        <w:t>；</w:t>
      </w:r>
      <w:r>
        <w:rPr>
          <w:rFonts w:ascii="Times New Roman" w:hAnsi="Times New Roman" w:cs="Times New Roman" w:hint="eastAsia"/>
          <w:sz w:val="24"/>
        </w:rPr>
        <w:t>进样体积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µ</w:t>
      </w:r>
      <w:r>
        <w:rPr>
          <w:rFonts w:ascii="Times New Roman" w:eastAsia="宋体" w:hAnsi="Times New Roman" w:cs="Times New Roman" w:hint="eastAsia"/>
          <w:sz w:val="24"/>
        </w:rPr>
        <w:t>l</w:t>
      </w:r>
      <w:r>
        <w:rPr>
          <w:rFonts w:ascii="Times New Roman" w:hAnsi="Times New Roman" w:cs="Times New Roman"/>
          <w:sz w:val="24"/>
        </w:rPr>
        <w:t>。</w:t>
      </w:r>
    </w:p>
    <w:tbl>
      <w:tblPr>
        <w:tblW w:w="5000" w:type="pct"/>
        <w:tblBorders>
          <w:top w:val="single" w:sz="4" w:space="0" w:color="auto"/>
          <w:bottom w:val="single" w:sz="4" w:space="0" w:color="000000"/>
          <w:insideH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66"/>
        <w:gridCol w:w="3171"/>
        <w:gridCol w:w="3183"/>
      </w:tblGrid>
      <w:tr w:rsidR="00C70FA5">
        <w:tc>
          <w:tcPr>
            <w:tcW w:w="1227" w:type="pct"/>
            <w:tcBorders>
              <w:bottom w:val="single" w:sz="4" w:space="0" w:color="000000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时间（分钟）</w:t>
            </w:r>
          </w:p>
        </w:tc>
        <w:tc>
          <w:tcPr>
            <w:tcW w:w="1882" w:type="pct"/>
            <w:tcBorders>
              <w:bottom w:val="single" w:sz="4" w:space="0" w:color="000000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流动相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%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）</w:t>
            </w:r>
          </w:p>
        </w:tc>
        <w:tc>
          <w:tcPr>
            <w:tcW w:w="1889" w:type="pct"/>
            <w:tcBorders>
              <w:bottom w:val="single" w:sz="4" w:space="0" w:color="000000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流动相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B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%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）</w:t>
            </w:r>
          </w:p>
        </w:tc>
      </w:tr>
      <w:tr w:rsidR="00C70FA5">
        <w:tc>
          <w:tcPr>
            <w:tcW w:w="1227" w:type="pct"/>
            <w:tcBorders>
              <w:top w:val="single" w:sz="4" w:space="0" w:color="000000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82" w:type="pct"/>
            <w:tcBorders>
              <w:top w:val="single" w:sz="4" w:space="0" w:color="000000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</w:rPr>
              <w:t>2</w:t>
            </w:r>
          </w:p>
        </w:tc>
        <w:tc>
          <w:tcPr>
            <w:tcW w:w="1889" w:type="pct"/>
            <w:tcBorders>
              <w:top w:val="single" w:sz="4" w:space="0" w:color="000000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18</w:t>
            </w:r>
          </w:p>
        </w:tc>
      </w:tr>
      <w:tr w:rsidR="00C70FA5">
        <w:tc>
          <w:tcPr>
            <w:tcW w:w="1227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15</w:t>
            </w:r>
          </w:p>
        </w:tc>
        <w:tc>
          <w:tcPr>
            <w:tcW w:w="1882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32</w:t>
            </w:r>
          </w:p>
        </w:tc>
        <w:tc>
          <w:tcPr>
            <w:tcW w:w="1889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68</w:t>
            </w:r>
          </w:p>
        </w:tc>
      </w:tr>
      <w:tr w:rsidR="00C70FA5">
        <w:tc>
          <w:tcPr>
            <w:tcW w:w="1227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22</w:t>
            </w:r>
          </w:p>
        </w:tc>
        <w:tc>
          <w:tcPr>
            <w:tcW w:w="1882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32</w:t>
            </w:r>
          </w:p>
        </w:tc>
        <w:tc>
          <w:tcPr>
            <w:tcW w:w="1889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68</w:t>
            </w:r>
          </w:p>
        </w:tc>
      </w:tr>
      <w:tr w:rsidR="00C70FA5">
        <w:tc>
          <w:tcPr>
            <w:tcW w:w="1227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24</w:t>
            </w:r>
          </w:p>
        </w:tc>
        <w:tc>
          <w:tcPr>
            <w:tcW w:w="1882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10</w:t>
            </w:r>
          </w:p>
        </w:tc>
        <w:tc>
          <w:tcPr>
            <w:tcW w:w="1889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90</w:t>
            </w:r>
          </w:p>
        </w:tc>
      </w:tr>
      <w:tr w:rsidR="00C70FA5">
        <w:tc>
          <w:tcPr>
            <w:tcW w:w="1227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29</w:t>
            </w:r>
          </w:p>
        </w:tc>
        <w:tc>
          <w:tcPr>
            <w:tcW w:w="1882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10</w:t>
            </w:r>
          </w:p>
        </w:tc>
        <w:tc>
          <w:tcPr>
            <w:tcW w:w="1889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90</w:t>
            </w:r>
          </w:p>
        </w:tc>
      </w:tr>
      <w:tr w:rsidR="00C70FA5">
        <w:tc>
          <w:tcPr>
            <w:tcW w:w="1227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lastRenderedPageBreak/>
              <w:t>30</w:t>
            </w:r>
          </w:p>
        </w:tc>
        <w:tc>
          <w:tcPr>
            <w:tcW w:w="1882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82</w:t>
            </w:r>
          </w:p>
        </w:tc>
        <w:tc>
          <w:tcPr>
            <w:tcW w:w="1889" w:type="pct"/>
            <w:tcBorders>
              <w:top w:val="nil"/>
              <w:bottom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18</w:t>
            </w:r>
          </w:p>
        </w:tc>
      </w:tr>
      <w:tr w:rsidR="00C70FA5">
        <w:tc>
          <w:tcPr>
            <w:tcW w:w="1227" w:type="pct"/>
            <w:tcBorders>
              <w:top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35</w:t>
            </w:r>
          </w:p>
        </w:tc>
        <w:tc>
          <w:tcPr>
            <w:tcW w:w="1882" w:type="pct"/>
            <w:tcBorders>
              <w:top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82</w:t>
            </w:r>
          </w:p>
        </w:tc>
        <w:tc>
          <w:tcPr>
            <w:tcW w:w="1889" w:type="pct"/>
            <w:tcBorders>
              <w:top w:val="nil"/>
              <w:tl2br w:val="nil"/>
              <w:tr2bl w:val="nil"/>
            </w:tcBorders>
            <w:shd w:val="clear" w:color="auto" w:fill="FFFFFF"/>
          </w:tcPr>
          <w:p w:rsidR="00C70FA5" w:rsidRDefault="004A0D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18</w:t>
            </w:r>
          </w:p>
        </w:tc>
      </w:tr>
    </w:tbl>
    <w:p w:rsidR="00C70FA5" w:rsidRDefault="004A0D45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CF7DFB">
        <w:rPr>
          <w:rFonts w:ascii="Times New Roman" w:hAnsi="Times New Roman" w:cs="Times New Roman" w:hint="eastAsia"/>
          <w:b/>
          <w:sz w:val="24"/>
        </w:rPr>
        <w:t>系统适用性要求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Fonts w:ascii="Times New Roman" w:hAnsi="Times New Roman" w:cs="Times New Roman" w:hint="eastAsia"/>
          <w:sz w:val="24"/>
        </w:rPr>
        <w:t>对照品溶液（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）或对照品溶液（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）中，检测波长为</w:t>
      </w:r>
      <w:r>
        <w:rPr>
          <w:rFonts w:ascii="Times New Roman" w:hAnsi="Times New Roman" w:cs="Times New Roman" w:hint="eastAsia"/>
          <w:sz w:val="24"/>
        </w:rPr>
        <w:t>230nm</w:t>
      </w:r>
      <w:r>
        <w:rPr>
          <w:rFonts w:ascii="Times New Roman" w:hAnsi="Times New Roman" w:cs="Times New Roman" w:hint="eastAsia"/>
          <w:sz w:val="24"/>
        </w:rPr>
        <w:t>时，苯甲酸峰和山梨酸峰之间分离度应不小于</w:t>
      </w:r>
      <w:r>
        <w:rPr>
          <w:rFonts w:ascii="Times New Roman" w:hAnsi="Times New Roman" w:cs="Times New Roman" w:hint="eastAsia"/>
          <w:sz w:val="24"/>
        </w:rPr>
        <w:t>1.5</w:t>
      </w:r>
      <w:r>
        <w:rPr>
          <w:rFonts w:ascii="Times New Roman" w:hAnsi="Times New Roman" w:cs="Times New Roman" w:hint="eastAsia"/>
          <w:sz w:val="24"/>
        </w:rPr>
        <w:t>。</w:t>
      </w:r>
    </w:p>
    <w:p w:rsidR="00C70FA5" w:rsidRDefault="004A0D45">
      <w:pPr>
        <w:widowControl/>
        <w:spacing w:line="360" w:lineRule="auto"/>
        <w:ind w:firstLineChars="200" w:firstLine="482"/>
        <w:jc w:val="left"/>
      </w:pPr>
      <w:r w:rsidRPr="00CF7DFB">
        <w:rPr>
          <w:rFonts w:ascii="Times New Roman" w:hAnsi="Times New Roman" w:cs="Times New Roman" w:hint="eastAsia"/>
          <w:b/>
          <w:sz w:val="24"/>
        </w:rPr>
        <w:t>测定法</w:t>
      </w:r>
      <w:r>
        <w:rPr>
          <w:rFonts w:ascii="Times New Roman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精密量取</w:t>
      </w:r>
      <w:r>
        <w:rPr>
          <w:rFonts w:ascii="Times New Roman" w:eastAsia="宋体" w:hAnsi="Times New Roman" w:cs="Times New Roman" w:hint="eastAsia"/>
          <w:kern w:val="0"/>
          <w:sz w:val="24"/>
        </w:rPr>
        <w:t>对照品溶液、</w:t>
      </w:r>
      <w:r>
        <w:rPr>
          <w:rFonts w:ascii="Times New Roman" w:eastAsia="宋体" w:hAnsi="Times New Roman" w:cs="Times New Roman"/>
          <w:kern w:val="0"/>
          <w:sz w:val="24"/>
        </w:rPr>
        <w:t>供试品溶液，注入液相色谱仪，记录色谱图。</w:t>
      </w:r>
    </w:p>
    <w:p w:rsidR="00C70FA5" w:rsidRDefault="004A0D45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限度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供试品溶液色谱图中如有</w:t>
      </w:r>
      <w:r>
        <w:rPr>
          <w:rFonts w:ascii="Times New Roman" w:eastAsia="宋体" w:hAnsi="Times New Roman" w:cs="Times New Roman" w:hint="eastAsia"/>
          <w:kern w:val="0"/>
          <w:sz w:val="24"/>
        </w:rPr>
        <w:t>与苯甲酸、山梨酸、羟苯甲酯、羟苯乙酯、羟苯丙酯、羟苯丁酯</w:t>
      </w:r>
      <w:r>
        <w:rPr>
          <w:rFonts w:ascii="Times New Roman" w:eastAsia="宋体" w:hAnsi="Times New Roman" w:cs="Times New Roman"/>
          <w:kern w:val="0"/>
          <w:sz w:val="24"/>
        </w:rPr>
        <w:t>峰</w:t>
      </w:r>
      <w:r>
        <w:rPr>
          <w:rFonts w:ascii="Times New Roman" w:eastAsia="宋体" w:hAnsi="Times New Roman" w:cs="Times New Roman" w:hint="eastAsia"/>
          <w:kern w:val="0"/>
          <w:sz w:val="24"/>
        </w:rPr>
        <w:t>保留时间一致的色谱峰</w:t>
      </w:r>
      <w:r>
        <w:rPr>
          <w:rFonts w:ascii="Times New Roman" w:eastAsia="宋体" w:hAnsi="Times New Roman" w:cs="Times New Roman"/>
          <w:kern w:val="0"/>
          <w:sz w:val="24"/>
        </w:rPr>
        <w:t>，</w:t>
      </w:r>
      <w:r>
        <w:rPr>
          <w:rFonts w:ascii="Times New Roman" w:eastAsia="宋体" w:hAnsi="Times New Roman" w:cs="Times New Roman" w:hint="eastAsia"/>
          <w:kern w:val="0"/>
          <w:sz w:val="24"/>
        </w:rPr>
        <w:t>按外标法以峰面积计算，均应为标示量的</w:t>
      </w:r>
      <w:r>
        <w:rPr>
          <w:rFonts w:ascii="Times New Roman" w:eastAsia="宋体" w:hAnsi="Times New Roman" w:cs="Times New Roman"/>
          <w:kern w:val="0"/>
          <w:sz w:val="24"/>
        </w:rPr>
        <w:t>80.0</w:t>
      </w:r>
      <w:r>
        <w:rPr>
          <w:rFonts w:ascii="Times New Roman" w:eastAsia="宋体" w:hAnsi="Times New Roman" w:cs="Times New Roman" w:hint="eastAsia"/>
          <w:kern w:val="0"/>
          <w:sz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</w:rPr>
        <w:t>～</w:t>
      </w:r>
      <w:r>
        <w:rPr>
          <w:rFonts w:ascii="Times New Roman" w:eastAsia="宋体" w:hAnsi="Times New Roman" w:cs="Times New Roman"/>
          <w:kern w:val="0"/>
          <w:sz w:val="24"/>
        </w:rPr>
        <w:t>120</w:t>
      </w:r>
      <w:r>
        <w:rPr>
          <w:rFonts w:ascii="Times New Roman" w:eastAsia="宋体" w:hAnsi="Times New Roman" w:cs="Times New Roman" w:hint="eastAsia"/>
          <w:kern w:val="0"/>
          <w:sz w:val="24"/>
        </w:rPr>
        <w:t>.0%</w:t>
      </w:r>
      <w:bookmarkStart w:id="0" w:name="_GoBack"/>
      <w:bookmarkEnd w:id="0"/>
      <w:r>
        <w:rPr>
          <w:rFonts w:ascii="Times New Roman" w:eastAsia="宋体" w:hAnsi="Times New Roman" w:cs="Times New Roman" w:hint="eastAsia"/>
          <w:kern w:val="0"/>
          <w:sz w:val="24"/>
        </w:rPr>
        <w:t>。</w:t>
      </w:r>
    </w:p>
    <w:p w:rsidR="00C70FA5" w:rsidRPr="00563451" w:rsidRDefault="00C70FA5" w:rsidP="00CF7DFB">
      <w:pPr>
        <w:rPr>
          <w:rFonts w:ascii="Times New Roman" w:eastAsiaTheme="majorEastAsia" w:hAnsi="Times New Roman" w:cs="Times New Roman" w:hint="eastAsia"/>
          <w:b/>
          <w:bCs/>
          <w:sz w:val="32"/>
          <w:szCs w:val="32"/>
        </w:rPr>
        <w:sectPr w:rsidR="00C70FA5" w:rsidRPr="0056345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70FA5" w:rsidRDefault="00C70FA5" w:rsidP="00CF7DFB">
      <w:pPr>
        <w:rPr>
          <w:rFonts w:hint="eastAsia"/>
        </w:rPr>
      </w:pPr>
    </w:p>
    <w:sectPr w:rsidR="00C70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167D7"/>
    <w:multiLevelType w:val="multilevel"/>
    <w:tmpl w:val="05E167D7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8DF"/>
    <w:rsid w:val="00082BAF"/>
    <w:rsid w:val="00174BDA"/>
    <w:rsid w:val="0025128E"/>
    <w:rsid w:val="00353C96"/>
    <w:rsid w:val="003625F3"/>
    <w:rsid w:val="004A0D45"/>
    <w:rsid w:val="00510BBC"/>
    <w:rsid w:val="00563451"/>
    <w:rsid w:val="00711479"/>
    <w:rsid w:val="007E1337"/>
    <w:rsid w:val="008745FD"/>
    <w:rsid w:val="00923880"/>
    <w:rsid w:val="009F60BA"/>
    <w:rsid w:val="00A23702"/>
    <w:rsid w:val="00AE1ACB"/>
    <w:rsid w:val="00C70FA5"/>
    <w:rsid w:val="00CF7DFB"/>
    <w:rsid w:val="00DA241F"/>
    <w:rsid w:val="00E70778"/>
    <w:rsid w:val="00E9677D"/>
    <w:rsid w:val="00F35BE4"/>
    <w:rsid w:val="00F520B7"/>
    <w:rsid w:val="00F7413A"/>
    <w:rsid w:val="01244B4F"/>
    <w:rsid w:val="023E5ED4"/>
    <w:rsid w:val="028607E0"/>
    <w:rsid w:val="028841E8"/>
    <w:rsid w:val="02C77F44"/>
    <w:rsid w:val="02CD333D"/>
    <w:rsid w:val="0308110B"/>
    <w:rsid w:val="03C133D3"/>
    <w:rsid w:val="04243534"/>
    <w:rsid w:val="05BC6D1B"/>
    <w:rsid w:val="05EF7973"/>
    <w:rsid w:val="05FB37E4"/>
    <w:rsid w:val="062921F7"/>
    <w:rsid w:val="06585868"/>
    <w:rsid w:val="07355611"/>
    <w:rsid w:val="0800505F"/>
    <w:rsid w:val="08270AB0"/>
    <w:rsid w:val="08416A35"/>
    <w:rsid w:val="08784428"/>
    <w:rsid w:val="089B2882"/>
    <w:rsid w:val="08BB7CA5"/>
    <w:rsid w:val="08FA3663"/>
    <w:rsid w:val="096E1B79"/>
    <w:rsid w:val="09A05D8C"/>
    <w:rsid w:val="0AC12813"/>
    <w:rsid w:val="0ADF7413"/>
    <w:rsid w:val="0AF8779C"/>
    <w:rsid w:val="0B194EBD"/>
    <w:rsid w:val="0B1D4F59"/>
    <w:rsid w:val="0B8F4B2A"/>
    <w:rsid w:val="0BAD5B6D"/>
    <w:rsid w:val="0CDC12FD"/>
    <w:rsid w:val="0CE00267"/>
    <w:rsid w:val="0D177C2D"/>
    <w:rsid w:val="0DCA6B8B"/>
    <w:rsid w:val="0DE36DAD"/>
    <w:rsid w:val="0E2D1D30"/>
    <w:rsid w:val="0E426CFF"/>
    <w:rsid w:val="0E9A258E"/>
    <w:rsid w:val="0EAC381C"/>
    <w:rsid w:val="10145D9A"/>
    <w:rsid w:val="10E151A4"/>
    <w:rsid w:val="121B38E4"/>
    <w:rsid w:val="129B3182"/>
    <w:rsid w:val="129F33EB"/>
    <w:rsid w:val="12A60C4F"/>
    <w:rsid w:val="14193375"/>
    <w:rsid w:val="14726547"/>
    <w:rsid w:val="1480504B"/>
    <w:rsid w:val="14BB29C5"/>
    <w:rsid w:val="14DB6A24"/>
    <w:rsid w:val="14F77330"/>
    <w:rsid w:val="152C66A1"/>
    <w:rsid w:val="15C75CB7"/>
    <w:rsid w:val="163F07E4"/>
    <w:rsid w:val="16AA413A"/>
    <w:rsid w:val="16C90419"/>
    <w:rsid w:val="1751704A"/>
    <w:rsid w:val="17F263B3"/>
    <w:rsid w:val="19301FCA"/>
    <w:rsid w:val="1A1346A1"/>
    <w:rsid w:val="1A4C696A"/>
    <w:rsid w:val="1B9A3EE7"/>
    <w:rsid w:val="1BE00C1B"/>
    <w:rsid w:val="1BE270E6"/>
    <w:rsid w:val="1C551061"/>
    <w:rsid w:val="1C9454AC"/>
    <w:rsid w:val="1CD62FEC"/>
    <w:rsid w:val="1CF31BD8"/>
    <w:rsid w:val="1D586900"/>
    <w:rsid w:val="1DD1126C"/>
    <w:rsid w:val="1E585DC5"/>
    <w:rsid w:val="1ED13E25"/>
    <w:rsid w:val="1F4A0788"/>
    <w:rsid w:val="1F643B60"/>
    <w:rsid w:val="1FAF24AB"/>
    <w:rsid w:val="1FC93498"/>
    <w:rsid w:val="20247B81"/>
    <w:rsid w:val="205B330A"/>
    <w:rsid w:val="20C00476"/>
    <w:rsid w:val="21223734"/>
    <w:rsid w:val="2146702C"/>
    <w:rsid w:val="21870BD7"/>
    <w:rsid w:val="21B76691"/>
    <w:rsid w:val="228A57F5"/>
    <w:rsid w:val="229C7065"/>
    <w:rsid w:val="22A37A3A"/>
    <w:rsid w:val="22CF70FF"/>
    <w:rsid w:val="232278DB"/>
    <w:rsid w:val="23511EB0"/>
    <w:rsid w:val="236057B9"/>
    <w:rsid w:val="238766EA"/>
    <w:rsid w:val="23A65BF9"/>
    <w:rsid w:val="23F55DA2"/>
    <w:rsid w:val="24263DED"/>
    <w:rsid w:val="24304B22"/>
    <w:rsid w:val="25027768"/>
    <w:rsid w:val="251A2FE4"/>
    <w:rsid w:val="254919CF"/>
    <w:rsid w:val="25AE1000"/>
    <w:rsid w:val="25AE10DA"/>
    <w:rsid w:val="25AE6BFC"/>
    <w:rsid w:val="26BE2C6B"/>
    <w:rsid w:val="26C82463"/>
    <w:rsid w:val="26D51240"/>
    <w:rsid w:val="26DD4AA1"/>
    <w:rsid w:val="27D01AB5"/>
    <w:rsid w:val="28EB2806"/>
    <w:rsid w:val="292B60F3"/>
    <w:rsid w:val="2978620B"/>
    <w:rsid w:val="29BA0FD0"/>
    <w:rsid w:val="29D339E4"/>
    <w:rsid w:val="2A07450D"/>
    <w:rsid w:val="2C5069AB"/>
    <w:rsid w:val="2CDA4D37"/>
    <w:rsid w:val="2D17545F"/>
    <w:rsid w:val="2D5A1274"/>
    <w:rsid w:val="2D6A77B1"/>
    <w:rsid w:val="2DE16A39"/>
    <w:rsid w:val="2E1703F4"/>
    <w:rsid w:val="2E7E479C"/>
    <w:rsid w:val="2F4E1790"/>
    <w:rsid w:val="2F6D663D"/>
    <w:rsid w:val="2F8021FD"/>
    <w:rsid w:val="31163E9D"/>
    <w:rsid w:val="3179138B"/>
    <w:rsid w:val="31D177A6"/>
    <w:rsid w:val="31DC0335"/>
    <w:rsid w:val="321647DC"/>
    <w:rsid w:val="324B4234"/>
    <w:rsid w:val="325F0342"/>
    <w:rsid w:val="32FE2DC2"/>
    <w:rsid w:val="331C09AD"/>
    <w:rsid w:val="33256A56"/>
    <w:rsid w:val="3393156D"/>
    <w:rsid w:val="33DE4224"/>
    <w:rsid w:val="33DF76CE"/>
    <w:rsid w:val="34B55550"/>
    <w:rsid w:val="34C133D7"/>
    <w:rsid w:val="34D2724B"/>
    <w:rsid w:val="34D702FF"/>
    <w:rsid w:val="34DE6B34"/>
    <w:rsid w:val="3557197A"/>
    <w:rsid w:val="356A17C0"/>
    <w:rsid w:val="356F35BD"/>
    <w:rsid w:val="365F3AA9"/>
    <w:rsid w:val="37047688"/>
    <w:rsid w:val="37E80451"/>
    <w:rsid w:val="38A2335E"/>
    <w:rsid w:val="39345E5D"/>
    <w:rsid w:val="39B766DE"/>
    <w:rsid w:val="39CC320A"/>
    <w:rsid w:val="3A074111"/>
    <w:rsid w:val="3B580397"/>
    <w:rsid w:val="3B8A4E8A"/>
    <w:rsid w:val="3BA02EF3"/>
    <w:rsid w:val="3BBF3CE3"/>
    <w:rsid w:val="3C874F4D"/>
    <w:rsid w:val="3CA36A78"/>
    <w:rsid w:val="3D1E0248"/>
    <w:rsid w:val="3D281069"/>
    <w:rsid w:val="3D585A1C"/>
    <w:rsid w:val="3D7B41A1"/>
    <w:rsid w:val="3E304597"/>
    <w:rsid w:val="3EB7613D"/>
    <w:rsid w:val="3F4C4628"/>
    <w:rsid w:val="3FA34067"/>
    <w:rsid w:val="402248C6"/>
    <w:rsid w:val="40497E49"/>
    <w:rsid w:val="416C1B44"/>
    <w:rsid w:val="419D59AB"/>
    <w:rsid w:val="424065B8"/>
    <w:rsid w:val="42AA029E"/>
    <w:rsid w:val="43027E6A"/>
    <w:rsid w:val="432B47BF"/>
    <w:rsid w:val="43396EC7"/>
    <w:rsid w:val="43405DE3"/>
    <w:rsid w:val="43E90E8A"/>
    <w:rsid w:val="444C48C2"/>
    <w:rsid w:val="448E3B94"/>
    <w:rsid w:val="44D562AB"/>
    <w:rsid w:val="44E530D7"/>
    <w:rsid w:val="46734F9A"/>
    <w:rsid w:val="46940C1B"/>
    <w:rsid w:val="471B7706"/>
    <w:rsid w:val="48465E46"/>
    <w:rsid w:val="48915888"/>
    <w:rsid w:val="48C93235"/>
    <w:rsid w:val="48CE034D"/>
    <w:rsid w:val="49413F6A"/>
    <w:rsid w:val="494D6245"/>
    <w:rsid w:val="49A91566"/>
    <w:rsid w:val="49AF2638"/>
    <w:rsid w:val="4A8D3FB3"/>
    <w:rsid w:val="4A995BC8"/>
    <w:rsid w:val="4AC941F1"/>
    <w:rsid w:val="4B0A3436"/>
    <w:rsid w:val="4B2A3084"/>
    <w:rsid w:val="4B997E99"/>
    <w:rsid w:val="4BD14B4D"/>
    <w:rsid w:val="4BEB10F9"/>
    <w:rsid w:val="4BEB1517"/>
    <w:rsid w:val="4C5E370B"/>
    <w:rsid w:val="4C9D141E"/>
    <w:rsid w:val="4CE6727A"/>
    <w:rsid w:val="4D0D5665"/>
    <w:rsid w:val="4DF008F6"/>
    <w:rsid w:val="4E430E3F"/>
    <w:rsid w:val="4EDA6442"/>
    <w:rsid w:val="4F28751F"/>
    <w:rsid w:val="4F3231F1"/>
    <w:rsid w:val="4F995D6F"/>
    <w:rsid w:val="508B1159"/>
    <w:rsid w:val="50D423ED"/>
    <w:rsid w:val="5115719D"/>
    <w:rsid w:val="51157DEB"/>
    <w:rsid w:val="511E5E74"/>
    <w:rsid w:val="51584D43"/>
    <w:rsid w:val="51BB6460"/>
    <w:rsid w:val="52AF57B5"/>
    <w:rsid w:val="532B56B3"/>
    <w:rsid w:val="54152384"/>
    <w:rsid w:val="5433125E"/>
    <w:rsid w:val="546E0251"/>
    <w:rsid w:val="54BC13AD"/>
    <w:rsid w:val="55BF5B9A"/>
    <w:rsid w:val="55D65896"/>
    <w:rsid w:val="561C1500"/>
    <w:rsid w:val="57085729"/>
    <w:rsid w:val="58025058"/>
    <w:rsid w:val="58747A38"/>
    <w:rsid w:val="58B812C0"/>
    <w:rsid w:val="58C526A4"/>
    <w:rsid w:val="58C63A37"/>
    <w:rsid w:val="594C2D2C"/>
    <w:rsid w:val="596008B9"/>
    <w:rsid w:val="5A566091"/>
    <w:rsid w:val="5A8A3950"/>
    <w:rsid w:val="5AC97D2E"/>
    <w:rsid w:val="5ACD3B98"/>
    <w:rsid w:val="5B0001C7"/>
    <w:rsid w:val="5B2D0BC7"/>
    <w:rsid w:val="5B6D2F37"/>
    <w:rsid w:val="5BC11778"/>
    <w:rsid w:val="5BFD0535"/>
    <w:rsid w:val="5C2225EB"/>
    <w:rsid w:val="5CA964EB"/>
    <w:rsid w:val="5CB0294D"/>
    <w:rsid w:val="5CD15EC3"/>
    <w:rsid w:val="5D1F40E1"/>
    <w:rsid w:val="5D6D36CF"/>
    <w:rsid w:val="5D9C189E"/>
    <w:rsid w:val="5E0F2D7E"/>
    <w:rsid w:val="5E1F4219"/>
    <w:rsid w:val="5E7A2A9B"/>
    <w:rsid w:val="5EA46316"/>
    <w:rsid w:val="5F260F5E"/>
    <w:rsid w:val="5FEB3E1A"/>
    <w:rsid w:val="5FED71B5"/>
    <w:rsid w:val="60AF7D7D"/>
    <w:rsid w:val="60CA02CE"/>
    <w:rsid w:val="61AB3F2A"/>
    <w:rsid w:val="61D47B26"/>
    <w:rsid w:val="61ED6460"/>
    <w:rsid w:val="61EE639A"/>
    <w:rsid w:val="62745D9D"/>
    <w:rsid w:val="62B26857"/>
    <w:rsid w:val="63036B35"/>
    <w:rsid w:val="63800BB7"/>
    <w:rsid w:val="63882552"/>
    <w:rsid w:val="644F1416"/>
    <w:rsid w:val="6487429D"/>
    <w:rsid w:val="64D15E5E"/>
    <w:rsid w:val="65011522"/>
    <w:rsid w:val="65221756"/>
    <w:rsid w:val="657678DF"/>
    <w:rsid w:val="660C2AFC"/>
    <w:rsid w:val="66753261"/>
    <w:rsid w:val="67465A12"/>
    <w:rsid w:val="677D2B78"/>
    <w:rsid w:val="67F10197"/>
    <w:rsid w:val="6833351A"/>
    <w:rsid w:val="68933FE3"/>
    <w:rsid w:val="69955D38"/>
    <w:rsid w:val="6B1842B0"/>
    <w:rsid w:val="6B2C6F39"/>
    <w:rsid w:val="6B6A3BAC"/>
    <w:rsid w:val="6C5E1575"/>
    <w:rsid w:val="6CC8016F"/>
    <w:rsid w:val="6D251E32"/>
    <w:rsid w:val="6D6773CE"/>
    <w:rsid w:val="6DBA4D1F"/>
    <w:rsid w:val="6E32279E"/>
    <w:rsid w:val="6E432C55"/>
    <w:rsid w:val="6E8B3E17"/>
    <w:rsid w:val="6E92670C"/>
    <w:rsid w:val="6EC854A9"/>
    <w:rsid w:val="6F162170"/>
    <w:rsid w:val="6F671E44"/>
    <w:rsid w:val="6FA27CE9"/>
    <w:rsid w:val="708909A2"/>
    <w:rsid w:val="70BF0F2F"/>
    <w:rsid w:val="71973708"/>
    <w:rsid w:val="719E1E29"/>
    <w:rsid w:val="71FF42FF"/>
    <w:rsid w:val="720123A0"/>
    <w:rsid w:val="737233E3"/>
    <w:rsid w:val="745009D0"/>
    <w:rsid w:val="745C1D1F"/>
    <w:rsid w:val="74785519"/>
    <w:rsid w:val="74F1099C"/>
    <w:rsid w:val="76577A80"/>
    <w:rsid w:val="767D5A52"/>
    <w:rsid w:val="769C54DF"/>
    <w:rsid w:val="76BB2B74"/>
    <w:rsid w:val="77925F9C"/>
    <w:rsid w:val="77F05C02"/>
    <w:rsid w:val="78A57FAB"/>
    <w:rsid w:val="790A36F3"/>
    <w:rsid w:val="79383081"/>
    <w:rsid w:val="795C4937"/>
    <w:rsid w:val="79727603"/>
    <w:rsid w:val="7C9B0A90"/>
    <w:rsid w:val="7CA0025A"/>
    <w:rsid w:val="7D1527E1"/>
    <w:rsid w:val="7D7652B6"/>
    <w:rsid w:val="7DC73204"/>
    <w:rsid w:val="7EB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CA352B0-C0D9-4A6D-8BEA-AF3DECE5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Balloon Text"/>
    <w:basedOn w:val="a"/>
    <w:link w:val="Char"/>
    <w:rsid w:val="00F520B7"/>
    <w:rPr>
      <w:sz w:val="18"/>
      <w:szCs w:val="18"/>
    </w:rPr>
  </w:style>
  <w:style w:type="character" w:customStyle="1" w:styleId="Char">
    <w:name w:val="批注框文本 Char"/>
    <w:basedOn w:val="a0"/>
    <w:link w:val="a5"/>
    <w:rsid w:val="00F520B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swing</dc:creator>
  <cp:lastModifiedBy>章娟</cp:lastModifiedBy>
  <cp:revision>4</cp:revision>
  <cp:lastPrinted>2021-09-30T07:35:00Z</cp:lastPrinted>
  <dcterms:created xsi:type="dcterms:W3CDTF">2021-09-30T07:35:00Z</dcterms:created>
  <dcterms:modified xsi:type="dcterms:W3CDTF">2021-10-08T08:19:00Z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7A3C0BAB2DCD4729BB34A1C3AC38C611</vt:lpwstr>
  </property>
</Properties>
</file>