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3F" w:rsidRPr="00C9623F" w:rsidRDefault="00C9623F" w:rsidP="00C9623F">
      <w:pPr>
        <w:spacing w:line="360" w:lineRule="auto"/>
        <w:jc w:val="center"/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</w:pPr>
      <w:bookmarkStart w:id="0" w:name="_GoBack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参</w:t>
      </w:r>
      <w:proofErr w:type="gramStart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苓</w:t>
      </w:r>
      <w:proofErr w:type="gramEnd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白术</w:t>
      </w:r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制剂</w:t>
      </w:r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（参</w:t>
      </w:r>
      <w:proofErr w:type="gramStart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苓</w:t>
      </w:r>
      <w:proofErr w:type="gramEnd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白术散、参</w:t>
      </w:r>
      <w:proofErr w:type="gramStart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苓</w:t>
      </w:r>
      <w:proofErr w:type="gramEnd"/>
      <w:r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白术丸）中</w:t>
      </w:r>
      <w:r w:rsidRPr="00C9623F">
        <w:rPr>
          <w:rFonts w:ascii="Times New Roman" w:hAnsi="Times New Roman"/>
          <w:b/>
          <w:bCs/>
          <w:color w:val="000000"/>
          <w:kern w:val="0"/>
          <w:sz w:val="28"/>
          <w:szCs w:val="32"/>
        </w:rPr>
        <w:t>拟人参皂苷</w:t>
      </w:r>
      <w:r w:rsidRPr="00C9623F">
        <w:rPr>
          <w:rFonts w:ascii="Times New Roman" w:hAnsi="Times New Roman"/>
          <w:b/>
          <w:bCs/>
          <w:color w:val="000000"/>
          <w:kern w:val="0"/>
          <w:sz w:val="28"/>
          <w:szCs w:val="32"/>
        </w:rPr>
        <w:t>F11</w:t>
      </w:r>
      <w:r w:rsidRPr="00C9623F"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和</w:t>
      </w:r>
      <w:r w:rsidRPr="00C9623F">
        <w:rPr>
          <w:rFonts w:ascii="Times New Roman" w:hAnsi="Times New Roman"/>
          <w:b/>
          <w:bCs/>
          <w:color w:val="000000"/>
          <w:kern w:val="0"/>
          <w:sz w:val="28"/>
          <w:szCs w:val="32"/>
        </w:rPr>
        <w:t>人参皂苷</w:t>
      </w:r>
      <w:proofErr w:type="spellStart"/>
      <w:r w:rsidRPr="00C9623F">
        <w:rPr>
          <w:rFonts w:ascii="Times New Roman" w:hAnsi="Times New Roman"/>
          <w:b/>
          <w:bCs/>
          <w:color w:val="000000"/>
          <w:kern w:val="0"/>
          <w:sz w:val="28"/>
          <w:szCs w:val="32"/>
        </w:rPr>
        <w:t>Rf</w:t>
      </w:r>
      <w:proofErr w:type="spellEnd"/>
      <w:r w:rsidRPr="00C9623F">
        <w:rPr>
          <w:rFonts w:ascii="Times New Roman" w:hAnsi="Times New Roman" w:hint="eastAsia"/>
          <w:b/>
          <w:bCs/>
          <w:color w:val="000000"/>
          <w:kern w:val="0"/>
          <w:sz w:val="28"/>
          <w:szCs w:val="32"/>
        </w:rPr>
        <w:t>检查方法</w:t>
      </w:r>
    </w:p>
    <w:bookmarkEnd w:id="0"/>
    <w:p w:rsidR="00C9623F" w:rsidRPr="00F5791D" w:rsidRDefault="00C9623F" w:rsidP="00C9623F">
      <w:pPr>
        <w:spacing w:line="360" w:lineRule="auto"/>
        <w:jc w:val="center"/>
        <w:rPr>
          <w:rFonts w:ascii="Times New Roman" w:hAnsi="Times New Roman"/>
          <w:b/>
          <w:kern w:val="0"/>
          <w:sz w:val="24"/>
          <w:szCs w:val="32"/>
        </w:rPr>
      </w:pPr>
      <w:r w:rsidRPr="00F5791D">
        <w:rPr>
          <w:rFonts w:ascii="Times New Roman" w:hAnsi="Times New Roman"/>
          <w:b/>
          <w:kern w:val="0"/>
          <w:sz w:val="24"/>
          <w:szCs w:val="32"/>
        </w:rPr>
        <w:t>照高效液相色谱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-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质谱法（中国药典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2020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年版四部通则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0512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和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0431</w:t>
      </w:r>
      <w:r w:rsidRPr="00F5791D">
        <w:rPr>
          <w:rFonts w:ascii="Times New Roman" w:hAnsi="Times New Roman"/>
          <w:b/>
          <w:kern w:val="0"/>
          <w:sz w:val="24"/>
          <w:szCs w:val="32"/>
        </w:rPr>
        <w:t>）测定。</w:t>
      </w:r>
    </w:p>
    <w:p w:rsidR="00C9623F" w:rsidRPr="00F5791D" w:rsidRDefault="00C9623F" w:rsidP="00C9623F">
      <w:pPr>
        <w:spacing w:line="360" w:lineRule="auto"/>
        <w:ind w:firstLine="480"/>
        <w:rPr>
          <w:rFonts w:ascii="Times New Roman" w:hAnsi="Times New Roman"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色谱、质谱条件与系统适用性试验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  </w:t>
      </w:r>
      <w:r w:rsidRPr="00F5791D">
        <w:rPr>
          <w:rFonts w:ascii="Times New Roman" w:hAnsi="Times New Roman"/>
          <w:kern w:val="0"/>
          <w:sz w:val="24"/>
          <w:szCs w:val="24"/>
        </w:rPr>
        <w:t>以十八烷基硅烷键合硅胶为填充剂（色谱柱内径</w:t>
      </w:r>
      <w:r w:rsidRPr="00F5791D">
        <w:rPr>
          <w:rFonts w:ascii="Times New Roman" w:hAnsi="Times New Roman"/>
          <w:kern w:val="0"/>
          <w:sz w:val="24"/>
          <w:szCs w:val="24"/>
        </w:rPr>
        <w:t>2.1mm</w:t>
      </w:r>
      <w:r w:rsidRPr="00F5791D">
        <w:rPr>
          <w:rFonts w:ascii="Times New Roman" w:hAnsi="Times New Roman"/>
          <w:kern w:val="0"/>
          <w:sz w:val="24"/>
          <w:szCs w:val="24"/>
        </w:rPr>
        <w:t>）；以水为流动相</w:t>
      </w:r>
      <w:r w:rsidRPr="00F5791D">
        <w:rPr>
          <w:rFonts w:ascii="Times New Roman" w:hAnsi="Times New Roman"/>
          <w:kern w:val="0"/>
          <w:sz w:val="24"/>
          <w:szCs w:val="24"/>
        </w:rPr>
        <w:t>A</w:t>
      </w:r>
      <w:r w:rsidRPr="00F5791D">
        <w:rPr>
          <w:rFonts w:ascii="Times New Roman" w:hAnsi="Times New Roman"/>
          <w:kern w:val="0"/>
          <w:sz w:val="24"/>
          <w:szCs w:val="24"/>
        </w:rPr>
        <w:t>，乙腈为流动相</w:t>
      </w:r>
      <w:r w:rsidRPr="00F5791D">
        <w:rPr>
          <w:rFonts w:ascii="Times New Roman" w:hAnsi="Times New Roman"/>
          <w:kern w:val="0"/>
          <w:sz w:val="24"/>
          <w:szCs w:val="24"/>
        </w:rPr>
        <w:t>B</w:t>
      </w:r>
      <w:r w:rsidRPr="00F5791D">
        <w:rPr>
          <w:rFonts w:ascii="Times New Roman" w:hAnsi="Times New Roman"/>
          <w:kern w:val="0"/>
          <w:sz w:val="24"/>
          <w:szCs w:val="24"/>
        </w:rPr>
        <w:t>，按下表中的规定进行梯度洗脱；流速为</w:t>
      </w:r>
      <w:r w:rsidRPr="00F5791D">
        <w:rPr>
          <w:rFonts w:ascii="Times New Roman" w:hAnsi="Times New Roman"/>
          <w:kern w:val="0"/>
          <w:sz w:val="24"/>
          <w:szCs w:val="24"/>
        </w:rPr>
        <w:t>0.35ml/min</w:t>
      </w:r>
      <w:r w:rsidRPr="00F5791D">
        <w:rPr>
          <w:rFonts w:ascii="Times New Roman" w:hAnsi="Times New Roman"/>
          <w:kern w:val="0"/>
          <w:sz w:val="24"/>
          <w:szCs w:val="24"/>
        </w:rPr>
        <w:t>；</w:t>
      </w:r>
      <w:proofErr w:type="gramStart"/>
      <w:r w:rsidRPr="00F5791D">
        <w:rPr>
          <w:rFonts w:ascii="Times New Roman" w:hAnsi="Times New Roman"/>
          <w:sz w:val="24"/>
          <w:szCs w:val="24"/>
        </w:rPr>
        <w:t>柱温为</w:t>
      </w:r>
      <w:proofErr w:type="gramEnd"/>
      <w:r w:rsidRPr="00F5791D">
        <w:rPr>
          <w:rFonts w:ascii="Times New Roman" w:hAnsi="Times New Roman"/>
          <w:sz w:val="24"/>
          <w:szCs w:val="24"/>
        </w:rPr>
        <w:t>40</w:t>
      </w:r>
      <w:r w:rsidRPr="00F5791D">
        <w:rPr>
          <w:rFonts w:ascii="宋体" w:hAnsi="宋体" w:cs="宋体" w:hint="eastAsia"/>
          <w:sz w:val="24"/>
          <w:szCs w:val="24"/>
        </w:rPr>
        <w:t>℃</w:t>
      </w:r>
      <w:r w:rsidRPr="00F5791D">
        <w:rPr>
          <w:rFonts w:ascii="Times New Roman" w:hAnsi="Times New Roman"/>
          <w:sz w:val="24"/>
          <w:szCs w:val="24"/>
        </w:rPr>
        <w:t>；采用质谱检测器，</w:t>
      </w:r>
      <w:r w:rsidRPr="00F5791D">
        <w:rPr>
          <w:rFonts w:ascii="Times New Roman" w:hAnsi="Times New Roman"/>
          <w:kern w:val="0"/>
          <w:sz w:val="24"/>
          <w:szCs w:val="24"/>
        </w:rPr>
        <w:t>电喷雾负离子模式（</w:t>
      </w:r>
      <w:r w:rsidRPr="00F5791D">
        <w:rPr>
          <w:rFonts w:ascii="Times New Roman" w:hAnsi="Times New Roman"/>
          <w:kern w:val="0"/>
          <w:sz w:val="24"/>
          <w:szCs w:val="24"/>
        </w:rPr>
        <w:t>ESI-</w:t>
      </w:r>
      <w:r w:rsidRPr="00F5791D">
        <w:rPr>
          <w:rFonts w:ascii="Times New Roman" w:hAnsi="Times New Roman"/>
          <w:kern w:val="0"/>
          <w:sz w:val="24"/>
          <w:szCs w:val="24"/>
        </w:rPr>
        <w:t>），进行多反应监测（</w:t>
      </w:r>
      <w:r w:rsidRPr="00F5791D">
        <w:rPr>
          <w:rFonts w:ascii="Times New Roman" w:hAnsi="Times New Roman"/>
          <w:kern w:val="0"/>
          <w:sz w:val="24"/>
          <w:szCs w:val="24"/>
        </w:rPr>
        <w:t>MRM</w:t>
      </w:r>
      <w:r w:rsidRPr="00F5791D">
        <w:rPr>
          <w:rFonts w:ascii="Times New Roman" w:hAnsi="Times New Roman"/>
          <w:kern w:val="0"/>
          <w:sz w:val="24"/>
          <w:szCs w:val="24"/>
        </w:rPr>
        <w:t>），选择拟人参皂苷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质荷比</w:t>
      </w:r>
      <w:r w:rsidRPr="00F5791D">
        <w:rPr>
          <w:rFonts w:ascii="Times New Roman" w:hAnsi="Times New Roman"/>
          <w:kern w:val="0"/>
          <w:sz w:val="24"/>
          <w:szCs w:val="24"/>
        </w:rPr>
        <w:t>m/z 799.6→653.7</w:t>
      </w:r>
      <w:r w:rsidRPr="00F5791D">
        <w:rPr>
          <w:rFonts w:ascii="Times New Roman" w:hAnsi="Times New Roman"/>
          <w:kern w:val="0"/>
          <w:sz w:val="24"/>
          <w:szCs w:val="24"/>
        </w:rPr>
        <w:t>和</w:t>
      </w:r>
      <w:r w:rsidRPr="00F5791D">
        <w:rPr>
          <w:rFonts w:ascii="Times New Roman" w:hAnsi="Times New Roman"/>
          <w:kern w:val="0"/>
          <w:sz w:val="24"/>
          <w:szCs w:val="24"/>
        </w:rPr>
        <w:t>m/z 799.6→491.6</w:t>
      </w:r>
      <w:r w:rsidRPr="00F5791D">
        <w:rPr>
          <w:rFonts w:ascii="Times New Roman" w:hAnsi="Times New Roman"/>
          <w:kern w:val="0"/>
          <w:sz w:val="24"/>
          <w:szCs w:val="24"/>
        </w:rPr>
        <w:t>，人参皂苷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质荷比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m/z 799.6→637.6 </w:t>
      </w:r>
      <w:r w:rsidRPr="00F5791D">
        <w:rPr>
          <w:rFonts w:ascii="Times New Roman" w:hAnsi="Times New Roman"/>
          <w:kern w:val="0"/>
          <w:sz w:val="24"/>
          <w:szCs w:val="24"/>
        </w:rPr>
        <w:t>和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m/z 799.6→475.6 </w:t>
      </w:r>
      <w:r w:rsidRPr="00F5791D">
        <w:rPr>
          <w:rFonts w:ascii="Times New Roman" w:hAnsi="Times New Roman"/>
          <w:kern w:val="0"/>
          <w:sz w:val="24"/>
          <w:szCs w:val="24"/>
        </w:rPr>
        <w:t>作为监测离子对。</w:t>
      </w:r>
    </w:p>
    <w:tbl>
      <w:tblPr>
        <w:tblW w:w="648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2180"/>
        <w:gridCol w:w="2180"/>
      </w:tblGrid>
      <w:tr w:rsidR="00C9623F" w:rsidRPr="00F5791D" w:rsidTr="004B1BF9">
        <w:trPr>
          <w:trHeight w:val="337"/>
          <w:jc w:val="center"/>
        </w:trPr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textAlignment w:val="baseline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时间（分钟）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textAlignment w:val="baseline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流动相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A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（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%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）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textAlignment w:val="baseline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流动相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B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（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%</w:t>
            </w:r>
            <w:r w:rsidRPr="00F5791D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）</w:t>
            </w:r>
          </w:p>
        </w:tc>
      </w:tr>
      <w:tr w:rsidR="00C9623F" w:rsidRPr="00F5791D" w:rsidTr="004B1BF9">
        <w:trPr>
          <w:trHeight w:val="221"/>
          <w:jc w:val="center"/>
        </w:trPr>
        <w:tc>
          <w:tcPr>
            <w:tcW w:w="212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sz w:val="24"/>
                <w:szCs w:val="24"/>
              </w:rPr>
              <w:t>0</w:t>
            </w:r>
            <w:r w:rsidRPr="00F5791D">
              <w:rPr>
                <w:rFonts w:ascii="Times New Roman" w:hAnsi="Times New Roman"/>
                <w:sz w:val="24"/>
                <w:szCs w:val="24"/>
              </w:rPr>
              <w:t>～</w:t>
            </w:r>
            <w:r w:rsidRPr="00F579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sz w:val="24"/>
                <w:szCs w:val="24"/>
              </w:rPr>
              <w:t>80→50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sz w:val="24"/>
                <w:szCs w:val="24"/>
              </w:rPr>
              <w:t>20→50</w:t>
            </w:r>
          </w:p>
        </w:tc>
      </w:tr>
      <w:tr w:rsidR="00C9623F" w:rsidRPr="00F5791D" w:rsidTr="004B1BF9">
        <w:trPr>
          <w:trHeight w:val="205"/>
          <w:jc w:val="center"/>
        </w:trPr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sz w:val="24"/>
                <w:szCs w:val="24"/>
              </w:rPr>
              <w:t>2</w:t>
            </w:r>
            <w:r w:rsidRPr="00F5791D">
              <w:rPr>
                <w:rFonts w:ascii="Times New Roman" w:hAnsi="Times New Roman"/>
                <w:sz w:val="24"/>
                <w:szCs w:val="24"/>
              </w:rPr>
              <w:t>～</w:t>
            </w:r>
            <w:r w:rsidRPr="00F5791D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sz w:val="24"/>
                <w:szCs w:val="24"/>
              </w:rPr>
              <w:t>50→20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9623F" w:rsidRPr="00F5791D" w:rsidRDefault="00C9623F" w:rsidP="004B1BF9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F5791D">
              <w:rPr>
                <w:rFonts w:ascii="Times New Roman" w:hAnsi="Times New Roman"/>
                <w:sz w:val="24"/>
                <w:szCs w:val="24"/>
              </w:rPr>
              <w:t>50→80</w:t>
            </w:r>
          </w:p>
        </w:tc>
      </w:tr>
    </w:tbl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对照品溶液的制备</w:t>
      </w:r>
      <w:r w:rsidRPr="00F5791D">
        <w:rPr>
          <w:rFonts w:ascii="Times New Roman" w:hAnsi="Times New Roman"/>
          <w:b/>
          <w:kern w:val="0"/>
          <w:sz w:val="24"/>
          <w:szCs w:val="24"/>
        </w:rPr>
        <w:t xml:space="preserve"> 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 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取拟人参皂苷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对照品适量，精密称定，加</w:t>
      </w:r>
      <w:r w:rsidRPr="00F5791D">
        <w:rPr>
          <w:rFonts w:ascii="Times New Roman" w:hAnsi="Times New Roman"/>
          <w:kern w:val="0"/>
          <w:sz w:val="24"/>
          <w:szCs w:val="24"/>
        </w:rPr>
        <w:t>30%</w:t>
      </w:r>
      <w:r w:rsidRPr="00F5791D">
        <w:rPr>
          <w:rFonts w:ascii="Times New Roman" w:hAnsi="Times New Roman"/>
          <w:kern w:val="0"/>
          <w:sz w:val="24"/>
          <w:szCs w:val="24"/>
        </w:rPr>
        <w:t>甲醇制成每</w:t>
      </w:r>
      <w:r w:rsidRPr="00F5791D">
        <w:rPr>
          <w:rFonts w:ascii="Times New Roman" w:hAnsi="Times New Roman"/>
          <w:kern w:val="0"/>
          <w:sz w:val="24"/>
          <w:szCs w:val="24"/>
        </w:rPr>
        <w:t>1ml</w:t>
      </w:r>
      <w:r w:rsidRPr="00F5791D">
        <w:rPr>
          <w:rFonts w:ascii="Times New Roman" w:hAnsi="Times New Roman"/>
          <w:kern w:val="0"/>
          <w:sz w:val="24"/>
          <w:szCs w:val="24"/>
        </w:rPr>
        <w:t>含</w:t>
      </w:r>
      <w:r w:rsidRPr="00F5791D">
        <w:rPr>
          <w:rFonts w:ascii="Times New Roman" w:hAnsi="Times New Roman"/>
          <w:kern w:val="0"/>
          <w:sz w:val="24"/>
          <w:szCs w:val="24"/>
        </w:rPr>
        <w:t>26ng</w:t>
      </w:r>
      <w:r w:rsidRPr="00F5791D">
        <w:rPr>
          <w:rFonts w:ascii="Times New Roman" w:hAnsi="Times New Roman"/>
          <w:kern w:val="0"/>
          <w:sz w:val="24"/>
          <w:szCs w:val="24"/>
        </w:rPr>
        <w:t>的溶液；取人参皂苷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对照品适量，精密称定，加</w:t>
      </w:r>
      <w:r w:rsidRPr="00F5791D">
        <w:rPr>
          <w:rFonts w:ascii="Times New Roman" w:hAnsi="Times New Roman"/>
          <w:kern w:val="0"/>
          <w:sz w:val="24"/>
          <w:szCs w:val="24"/>
        </w:rPr>
        <w:t>30%</w:t>
      </w:r>
      <w:r w:rsidRPr="00F5791D">
        <w:rPr>
          <w:rFonts w:ascii="Times New Roman" w:hAnsi="Times New Roman"/>
          <w:kern w:val="0"/>
          <w:sz w:val="24"/>
          <w:szCs w:val="24"/>
        </w:rPr>
        <w:t>甲醇制成每</w:t>
      </w:r>
      <w:r w:rsidRPr="00F5791D">
        <w:rPr>
          <w:rFonts w:ascii="Times New Roman" w:hAnsi="Times New Roman"/>
          <w:kern w:val="0"/>
          <w:sz w:val="24"/>
          <w:szCs w:val="24"/>
        </w:rPr>
        <w:t>1ml</w:t>
      </w:r>
      <w:r w:rsidRPr="00F5791D">
        <w:rPr>
          <w:rFonts w:ascii="Times New Roman" w:hAnsi="Times New Roman"/>
          <w:kern w:val="0"/>
          <w:sz w:val="24"/>
          <w:szCs w:val="24"/>
        </w:rPr>
        <w:t>含</w:t>
      </w:r>
      <w:r w:rsidRPr="00F5791D">
        <w:rPr>
          <w:rFonts w:ascii="Times New Roman" w:hAnsi="Times New Roman"/>
          <w:kern w:val="0"/>
          <w:sz w:val="24"/>
          <w:szCs w:val="24"/>
        </w:rPr>
        <w:t>24ng</w:t>
      </w:r>
      <w:r w:rsidRPr="00F5791D">
        <w:rPr>
          <w:rFonts w:ascii="Times New Roman" w:hAnsi="Times New Roman"/>
          <w:kern w:val="0"/>
          <w:sz w:val="24"/>
          <w:szCs w:val="24"/>
        </w:rPr>
        <w:t>的溶液即得。</w:t>
      </w:r>
    </w:p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proofErr w:type="gramStart"/>
      <w:r w:rsidRPr="00F5791D">
        <w:rPr>
          <w:rFonts w:ascii="Times New Roman" w:hAnsi="Times New Roman"/>
          <w:b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b/>
          <w:kern w:val="0"/>
          <w:sz w:val="24"/>
          <w:szCs w:val="24"/>
        </w:rPr>
        <w:t>的制备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  </w:t>
      </w:r>
      <w:r w:rsidRPr="00F5791D">
        <w:rPr>
          <w:rFonts w:ascii="Times New Roman" w:hAnsi="Times New Roman"/>
          <w:kern w:val="0"/>
          <w:sz w:val="24"/>
          <w:szCs w:val="24"/>
        </w:rPr>
        <w:t>取本品细粉（丸剂研细）约</w:t>
      </w:r>
      <w:r w:rsidRPr="00F5791D">
        <w:rPr>
          <w:rFonts w:ascii="Times New Roman" w:hAnsi="Times New Roman"/>
          <w:kern w:val="0"/>
          <w:sz w:val="24"/>
          <w:szCs w:val="24"/>
        </w:rPr>
        <w:t>0.5g</w:t>
      </w:r>
      <w:r w:rsidRPr="00F5791D">
        <w:rPr>
          <w:rFonts w:ascii="Times New Roman" w:hAnsi="Times New Roman"/>
          <w:kern w:val="0"/>
          <w:sz w:val="24"/>
          <w:szCs w:val="24"/>
        </w:rPr>
        <w:t>，精密称定，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置具塞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锥形瓶中，精密加入</w:t>
      </w:r>
      <w:r w:rsidRPr="00F5791D">
        <w:rPr>
          <w:rFonts w:ascii="Times New Roman" w:hAnsi="Times New Roman"/>
          <w:kern w:val="0"/>
          <w:sz w:val="24"/>
          <w:szCs w:val="24"/>
        </w:rPr>
        <w:t>30%</w:t>
      </w:r>
      <w:r w:rsidRPr="00F5791D">
        <w:rPr>
          <w:rFonts w:ascii="Times New Roman" w:hAnsi="Times New Roman"/>
          <w:kern w:val="0"/>
          <w:sz w:val="24"/>
          <w:szCs w:val="24"/>
        </w:rPr>
        <w:t>甲醇</w:t>
      </w:r>
      <w:r w:rsidRPr="00F5791D">
        <w:rPr>
          <w:rFonts w:ascii="Times New Roman" w:hAnsi="Times New Roman"/>
          <w:kern w:val="0"/>
          <w:sz w:val="24"/>
          <w:szCs w:val="24"/>
        </w:rPr>
        <w:t>25ml</w:t>
      </w:r>
      <w:r w:rsidRPr="00F5791D">
        <w:rPr>
          <w:rFonts w:ascii="Times New Roman" w:hAnsi="Times New Roman"/>
          <w:kern w:val="0"/>
          <w:sz w:val="24"/>
          <w:szCs w:val="24"/>
        </w:rPr>
        <w:t>，密塞，超声处理（功率</w:t>
      </w:r>
      <w:r w:rsidRPr="00F5791D">
        <w:rPr>
          <w:rFonts w:ascii="Times New Roman" w:hAnsi="Times New Roman"/>
          <w:kern w:val="0"/>
          <w:sz w:val="24"/>
          <w:szCs w:val="24"/>
        </w:rPr>
        <w:t>500W</w:t>
      </w:r>
      <w:r w:rsidRPr="00F5791D">
        <w:rPr>
          <w:rFonts w:ascii="Times New Roman" w:hAnsi="Times New Roman"/>
          <w:kern w:val="0"/>
          <w:sz w:val="24"/>
          <w:szCs w:val="24"/>
        </w:rPr>
        <w:t>，频率</w:t>
      </w:r>
      <w:r w:rsidRPr="00F5791D">
        <w:rPr>
          <w:rFonts w:ascii="Times New Roman" w:hAnsi="Times New Roman"/>
          <w:kern w:val="0"/>
          <w:sz w:val="24"/>
          <w:szCs w:val="24"/>
        </w:rPr>
        <w:t>53kHz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r w:rsidRPr="00F5791D">
        <w:rPr>
          <w:rFonts w:ascii="Times New Roman" w:hAnsi="Times New Roman"/>
          <w:kern w:val="0"/>
          <w:sz w:val="24"/>
          <w:szCs w:val="24"/>
        </w:rPr>
        <w:t>30</w:t>
      </w:r>
      <w:r w:rsidRPr="00F5791D">
        <w:rPr>
          <w:rFonts w:ascii="Times New Roman" w:hAnsi="Times New Roman"/>
          <w:kern w:val="0"/>
          <w:sz w:val="24"/>
          <w:szCs w:val="24"/>
        </w:rPr>
        <w:t>分钟，取出，放冷，滤过，精密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量取续滤液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1ml</w:t>
      </w:r>
      <w:r w:rsidRPr="00F5791D">
        <w:rPr>
          <w:rFonts w:ascii="Times New Roman" w:hAnsi="Times New Roman"/>
          <w:kern w:val="0"/>
          <w:sz w:val="24"/>
          <w:szCs w:val="24"/>
        </w:rPr>
        <w:t>，置</w:t>
      </w:r>
      <w:r w:rsidRPr="00F5791D">
        <w:rPr>
          <w:rFonts w:ascii="Times New Roman" w:hAnsi="Times New Roman"/>
          <w:kern w:val="0"/>
          <w:sz w:val="24"/>
          <w:szCs w:val="24"/>
        </w:rPr>
        <w:t>10ml</w:t>
      </w:r>
      <w:r w:rsidRPr="00F5791D">
        <w:rPr>
          <w:rFonts w:ascii="Times New Roman" w:hAnsi="Times New Roman"/>
          <w:kern w:val="0"/>
          <w:sz w:val="24"/>
          <w:szCs w:val="24"/>
        </w:rPr>
        <w:t>量瓶中，用</w:t>
      </w:r>
      <w:r w:rsidRPr="00F5791D">
        <w:rPr>
          <w:rFonts w:ascii="Times New Roman" w:hAnsi="Times New Roman"/>
          <w:kern w:val="0"/>
          <w:sz w:val="24"/>
          <w:szCs w:val="24"/>
        </w:rPr>
        <w:t>30%</w:t>
      </w:r>
      <w:r w:rsidRPr="00F5791D">
        <w:rPr>
          <w:rFonts w:ascii="Times New Roman" w:hAnsi="Times New Roman"/>
          <w:kern w:val="0"/>
          <w:sz w:val="24"/>
          <w:szCs w:val="24"/>
        </w:rPr>
        <w:t>甲醇稀释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定容至刻度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，用</w:t>
      </w:r>
      <w:r w:rsidRPr="00F5791D">
        <w:rPr>
          <w:rFonts w:ascii="Times New Roman" w:hAnsi="Times New Roman"/>
          <w:kern w:val="0"/>
          <w:sz w:val="24"/>
          <w:szCs w:val="24"/>
        </w:rPr>
        <w:t>0.2µm</w:t>
      </w:r>
      <w:r w:rsidRPr="00F5791D">
        <w:rPr>
          <w:rFonts w:ascii="Times New Roman" w:hAnsi="Times New Roman"/>
          <w:kern w:val="0"/>
          <w:sz w:val="24"/>
          <w:szCs w:val="24"/>
        </w:rPr>
        <w:t>滤膜滤过，即得。</w:t>
      </w:r>
    </w:p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测定法</w:t>
      </w:r>
      <w:r w:rsidRPr="00F5791D">
        <w:rPr>
          <w:rFonts w:ascii="Times New Roman" w:hAnsi="Times New Roman"/>
          <w:b/>
          <w:kern w:val="0"/>
          <w:sz w:val="24"/>
          <w:szCs w:val="24"/>
        </w:rPr>
        <w:t xml:space="preserve"> 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 </w:t>
      </w:r>
      <w:r w:rsidRPr="00F5791D">
        <w:rPr>
          <w:rFonts w:ascii="Times New Roman" w:hAnsi="Times New Roman"/>
          <w:kern w:val="0"/>
          <w:sz w:val="24"/>
          <w:szCs w:val="24"/>
        </w:rPr>
        <w:t>分别精密吸取对照品溶液与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各</w:t>
      </w:r>
      <w:r w:rsidRPr="00F5791D">
        <w:rPr>
          <w:rFonts w:ascii="Times New Roman" w:hAnsi="Times New Roman"/>
          <w:kern w:val="0"/>
          <w:sz w:val="24"/>
          <w:szCs w:val="24"/>
        </w:rPr>
        <w:t>5μl</w:t>
      </w:r>
      <w:r w:rsidRPr="00F5791D">
        <w:rPr>
          <w:rFonts w:ascii="Times New Roman" w:hAnsi="Times New Roman"/>
          <w:kern w:val="0"/>
          <w:sz w:val="24"/>
          <w:szCs w:val="24"/>
        </w:rPr>
        <w:t>，注入液相色谱</w:t>
      </w:r>
      <w:r w:rsidRPr="00F5791D">
        <w:rPr>
          <w:rFonts w:ascii="Times New Roman" w:hAnsi="Times New Roman"/>
          <w:kern w:val="0"/>
          <w:sz w:val="24"/>
          <w:szCs w:val="24"/>
        </w:rPr>
        <w:t>-</w:t>
      </w:r>
      <w:r w:rsidRPr="00F5791D">
        <w:rPr>
          <w:rFonts w:ascii="Times New Roman" w:hAnsi="Times New Roman"/>
          <w:kern w:val="0"/>
          <w:sz w:val="24"/>
          <w:szCs w:val="24"/>
        </w:rPr>
        <w:t>质谱联用仪，测定，记录色谱图。</w:t>
      </w:r>
    </w:p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Chars="196" w:firstLine="472"/>
        <w:rPr>
          <w:rFonts w:ascii="Times New Roman" w:hAnsi="Times New Roman"/>
          <w:b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结果判断</w:t>
      </w:r>
    </w:p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Chars="196" w:firstLine="472"/>
        <w:rPr>
          <w:rFonts w:ascii="Times New Roman" w:hAnsi="Times New Roman"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拟人参皂苷</w:t>
      </w:r>
      <w:r w:rsidRPr="00F5791D">
        <w:rPr>
          <w:rFonts w:ascii="Times New Roman" w:hAnsi="Times New Roman"/>
          <w:b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b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b/>
          <w:kern w:val="0"/>
          <w:sz w:val="24"/>
          <w:szCs w:val="24"/>
        </w:rPr>
        <w:t xml:space="preserve">  </w:t>
      </w:r>
      <w:r w:rsidRPr="00F5791D">
        <w:rPr>
          <w:rFonts w:ascii="Times New Roman" w:hAnsi="Times New Roman"/>
          <w:kern w:val="0"/>
          <w:sz w:val="24"/>
          <w:szCs w:val="24"/>
        </w:rPr>
        <w:t>（</w:t>
      </w:r>
      <w:r w:rsidRPr="00F5791D">
        <w:rPr>
          <w:rFonts w:ascii="Times New Roman" w:hAnsi="Times New Roman"/>
          <w:kern w:val="0"/>
          <w:sz w:val="24"/>
          <w:szCs w:val="24"/>
        </w:rPr>
        <w:t>1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的提取离子流色谱中，未同时出现与拟人参皂苷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对照品溶液色谱相应的色谱峰，视为未检出。（</w:t>
      </w:r>
      <w:r w:rsidRPr="00F5791D">
        <w:rPr>
          <w:rFonts w:ascii="Times New Roman" w:hAnsi="Times New Roman"/>
          <w:kern w:val="0"/>
          <w:sz w:val="24"/>
          <w:szCs w:val="24"/>
        </w:rPr>
        <w:t>2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的提取离子流色谱中，同时出现与拟人参皂苷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对照品溶液色谱相应的色谱峰，但供试品色谱中</w:t>
      </w:r>
      <w:r w:rsidRPr="00F5791D">
        <w:rPr>
          <w:rFonts w:ascii="Times New Roman" w:hAnsi="Times New Roman"/>
          <w:i/>
          <w:kern w:val="0"/>
          <w:sz w:val="24"/>
          <w:szCs w:val="24"/>
        </w:rPr>
        <w:t>m/z799.6→653.7</w:t>
      </w:r>
      <w:r w:rsidRPr="00F5791D">
        <w:rPr>
          <w:rFonts w:ascii="Times New Roman" w:hAnsi="Times New Roman"/>
          <w:kern w:val="0"/>
          <w:sz w:val="24"/>
          <w:szCs w:val="24"/>
        </w:rPr>
        <w:t>的色谱峰峰面积值不大于拟人参皂苷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对照品溶液相应的峰面积值，视为未检出。（</w:t>
      </w:r>
      <w:r w:rsidRPr="00F5791D">
        <w:rPr>
          <w:rFonts w:ascii="Times New Roman" w:hAnsi="Times New Roman"/>
          <w:kern w:val="0"/>
          <w:sz w:val="24"/>
          <w:szCs w:val="24"/>
        </w:rPr>
        <w:t>3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的提取离子流色谱中，同时出现与拟人参皂苷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且供试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品色谱中</w:t>
      </w:r>
      <w:r w:rsidRPr="00F5791D">
        <w:rPr>
          <w:rFonts w:ascii="Times New Roman" w:hAnsi="Times New Roman"/>
          <w:i/>
          <w:kern w:val="0"/>
          <w:sz w:val="24"/>
          <w:szCs w:val="24"/>
        </w:rPr>
        <w:lastRenderedPageBreak/>
        <w:t>m/z799.6→653.7</w:t>
      </w:r>
      <w:r w:rsidRPr="00F5791D">
        <w:rPr>
          <w:rFonts w:ascii="Times New Roman" w:hAnsi="Times New Roman"/>
          <w:kern w:val="0"/>
          <w:sz w:val="24"/>
          <w:szCs w:val="24"/>
        </w:rPr>
        <w:t>的色谱峰峰面积值大于拟人参皂苷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对照品溶液相应的峰面积值，视为检出。</w:t>
      </w:r>
    </w:p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Chars="196" w:firstLine="472"/>
        <w:rPr>
          <w:rFonts w:ascii="Times New Roman" w:hAnsi="Times New Roman"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人参皂苷</w:t>
      </w:r>
      <w:proofErr w:type="spellStart"/>
      <w:r w:rsidRPr="00F5791D">
        <w:rPr>
          <w:rFonts w:ascii="Times New Roman" w:hAnsi="Times New Roman"/>
          <w:b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b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b/>
          <w:kern w:val="0"/>
          <w:sz w:val="24"/>
          <w:szCs w:val="24"/>
        </w:rPr>
        <w:t xml:space="preserve"> </w:t>
      </w:r>
      <w:r w:rsidRPr="00F5791D">
        <w:rPr>
          <w:rFonts w:ascii="Times New Roman" w:hAnsi="Times New Roman"/>
          <w:kern w:val="0"/>
          <w:sz w:val="24"/>
          <w:szCs w:val="24"/>
        </w:rPr>
        <w:t>（</w:t>
      </w:r>
      <w:r w:rsidRPr="00F5791D">
        <w:rPr>
          <w:rFonts w:ascii="Times New Roman" w:hAnsi="Times New Roman"/>
          <w:kern w:val="0"/>
          <w:sz w:val="24"/>
          <w:szCs w:val="24"/>
        </w:rPr>
        <w:t>1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的提取离子流色谱中，未同时出现与人参皂苷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对照品溶液色谱相应的色谱峰，视为未检出。（</w:t>
      </w:r>
      <w:r w:rsidRPr="00F5791D">
        <w:rPr>
          <w:rFonts w:ascii="Times New Roman" w:hAnsi="Times New Roman"/>
          <w:kern w:val="0"/>
          <w:sz w:val="24"/>
          <w:szCs w:val="24"/>
        </w:rPr>
        <w:t>2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的提取离子流色谱中，同时出现与人参皂苷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对照品溶液色谱相应的色谱峰，但供试品色谱中</w:t>
      </w:r>
      <w:r w:rsidRPr="00F5791D">
        <w:rPr>
          <w:rFonts w:ascii="Times New Roman" w:hAnsi="Times New Roman"/>
          <w:i/>
          <w:kern w:val="0"/>
          <w:sz w:val="24"/>
          <w:szCs w:val="24"/>
        </w:rPr>
        <w:t>m/z799.6→637.6</w:t>
      </w:r>
      <w:r w:rsidRPr="00F5791D">
        <w:rPr>
          <w:rFonts w:ascii="Times New Roman" w:hAnsi="Times New Roman"/>
          <w:kern w:val="0"/>
          <w:sz w:val="24"/>
          <w:szCs w:val="24"/>
        </w:rPr>
        <w:t>的色谱峰峰面积值不大于人参皂苷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对照品溶液相应的峰面积值，视为未检出。（</w:t>
      </w:r>
      <w:r w:rsidRPr="00F5791D">
        <w:rPr>
          <w:rFonts w:ascii="Times New Roman" w:hAnsi="Times New Roman"/>
          <w:kern w:val="0"/>
          <w:sz w:val="24"/>
          <w:szCs w:val="24"/>
        </w:rPr>
        <w:t>3</w:t>
      </w:r>
      <w:r w:rsidRPr="00F5791D">
        <w:rPr>
          <w:rFonts w:ascii="Times New Roman" w:hAnsi="Times New Roman"/>
          <w:kern w:val="0"/>
          <w:sz w:val="24"/>
          <w:szCs w:val="24"/>
        </w:rPr>
        <w:t>）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供试品溶液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的提取离子流色谱中，同时出现与人参皂苷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且供试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品色谱中</w:t>
      </w:r>
      <w:r w:rsidRPr="00F5791D">
        <w:rPr>
          <w:rFonts w:ascii="Times New Roman" w:hAnsi="Times New Roman"/>
          <w:i/>
          <w:kern w:val="0"/>
          <w:sz w:val="24"/>
          <w:szCs w:val="24"/>
        </w:rPr>
        <w:t>m/z799.6→637.6</w:t>
      </w:r>
      <w:r w:rsidRPr="00F5791D">
        <w:rPr>
          <w:rFonts w:ascii="Times New Roman" w:hAnsi="Times New Roman"/>
          <w:kern w:val="0"/>
          <w:sz w:val="24"/>
          <w:szCs w:val="24"/>
        </w:rPr>
        <w:t>的色谱峰峰面积值大于人参皂苷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对照品溶液相应的峰面积值，视为检出。</w:t>
      </w:r>
    </w:p>
    <w:p w:rsidR="00C9623F" w:rsidRPr="00F5791D" w:rsidRDefault="00C9623F" w:rsidP="00C9623F">
      <w:pPr>
        <w:autoSpaceDE w:val="0"/>
        <w:autoSpaceDN w:val="0"/>
        <w:adjustRightInd w:val="0"/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r w:rsidRPr="00F5791D">
        <w:rPr>
          <w:rFonts w:ascii="Times New Roman" w:hAnsi="Times New Roman"/>
          <w:b/>
          <w:kern w:val="0"/>
          <w:sz w:val="24"/>
          <w:szCs w:val="24"/>
        </w:rPr>
        <w:t>结果判定</w:t>
      </w:r>
      <w:r w:rsidRPr="00F5791D">
        <w:rPr>
          <w:rFonts w:ascii="Times New Roman" w:hAnsi="Times New Roman"/>
          <w:kern w:val="0"/>
          <w:sz w:val="24"/>
          <w:szCs w:val="24"/>
        </w:rPr>
        <w:t xml:space="preserve">  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供试品的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提取离子流色谱中，</w:t>
      </w:r>
      <w:proofErr w:type="gramStart"/>
      <w:r w:rsidRPr="00F5791D">
        <w:rPr>
          <w:rFonts w:ascii="Times New Roman" w:hAnsi="Times New Roman"/>
          <w:kern w:val="0"/>
          <w:sz w:val="24"/>
          <w:szCs w:val="24"/>
        </w:rPr>
        <w:t>应不得</w:t>
      </w:r>
      <w:proofErr w:type="gramEnd"/>
      <w:r w:rsidRPr="00F5791D">
        <w:rPr>
          <w:rFonts w:ascii="Times New Roman" w:hAnsi="Times New Roman"/>
          <w:kern w:val="0"/>
          <w:sz w:val="24"/>
          <w:szCs w:val="24"/>
        </w:rPr>
        <w:t>检出与拟人参皂苷</w:t>
      </w:r>
      <w:r w:rsidRPr="00F5791D">
        <w:rPr>
          <w:rFonts w:ascii="Times New Roman" w:hAnsi="Times New Roman"/>
          <w:kern w:val="0"/>
          <w:sz w:val="24"/>
          <w:szCs w:val="24"/>
        </w:rPr>
        <w:t>F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11</w:t>
      </w:r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对照品溶液色谱相应的色谱峰，但应检出与人参皂苷</w:t>
      </w:r>
      <w:proofErr w:type="spellStart"/>
      <w:r w:rsidRPr="00F5791D">
        <w:rPr>
          <w:rFonts w:ascii="Times New Roman" w:hAnsi="Times New Roman"/>
          <w:kern w:val="0"/>
          <w:sz w:val="24"/>
          <w:szCs w:val="24"/>
        </w:rPr>
        <w:t>R</w:t>
      </w:r>
      <w:r w:rsidRPr="00F5791D">
        <w:rPr>
          <w:rFonts w:ascii="Times New Roman" w:hAnsi="Times New Roman"/>
          <w:kern w:val="0"/>
          <w:sz w:val="24"/>
          <w:szCs w:val="24"/>
          <w:vertAlign w:val="subscript"/>
        </w:rPr>
        <w:t>f</w:t>
      </w:r>
      <w:proofErr w:type="spellEnd"/>
      <w:r w:rsidRPr="00F5791D">
        <w:rPr>
          <w:rFonts w:ascii="Times New Roman" w:hAnsi="Times New Roman"/>
          <w:kern w:val="0"/>
          <w:sz w:val="24"/>
          <w:szCs w:val="24"/>
        </w:rPr>
        <w:t>对照品溶液色谱相应的色谱峰。</w:t>
      </w:r>
    </w:p>
    <w:p w:rsidR="009504C9" w:rsidRPr="00C9623F" w:rsidRDefault="009504C9"/>
    <w:sectPr w:rsidR="009504C9" w:rsidRPr="00C96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3F" w:rsidRDefault="00C9623F" w:rsidP="00C9623F">
      <w:r>
        <w:separator/>
      </w:r>
    </w:p>
  </w:endnote>
  <w:endnote w:type="continuationSeparator" w:id="0">
    <w:p w:rsidR="00C9623F" w:rsidRDefault="00C9623F" w:rsidP="00C9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3F" w:rsidRDefault="00C9623F" w:rsidP="00C9623F">
      <w:r>
        <w:separator/>
      </w:r>
    </w:p>
  </w:footnote>
  <w:footnote w:type="continuationSeparator" w:id="0">
    <w:p w:rsidR="00C9623F" w:rsidRDefault="00C9623F" w:rsidP="00C96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CE"/>
    <w:rsid w:val="004804CE"/>
    <w:rsid w:val="009504C9"/>
    <w:rsid w:val="00C9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6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62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62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62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6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62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62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62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1068</Characters>
  <Application>Microsoft Office Word</Application>
  <DocSecurity>0</DocSecurity>
  <Lines>8</Lines>
  <Paragraphs>2</Paragraphs>
  <ScaleCrop>false</ScaleCrop>
  <Company>P R C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2022-02-21T07:58:00Z</dcterms:created>
  <dcterms:modified xsi:type="dcterms:W3CDTF">2022-02-21T08:00:00Z</dcterms:modified>
</cp:coreProperties>
</file>