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B0B" w:rsidRPr="0017590F" w:rsidRDefault="00CD2B0B" w:rsidP="00CD2B0B">
      <w:pPr>
        <w:jc w:val="center"/>
        <w:rPr>
          <w:rFonts w:ascii="Times New Roman" w:eastAsia="宋体" w:hAnsi="Times New Roman"/>
          <w:b/>
          <w:color w:val="000000" w:themeColor="text1"/>
          <w:sz w:val="28"/>
          <w:szCs w:val="28"/>
        </w:rPr>
      </w:pPr>
      <w:r w:rsidRPr="0017590F">
        <w:rPr>
          <w:rFonts w:ascii="Times New Roman" w:eastAsia="宋体" w:hAnsi="Times New Roman" w:hint="eastAsia"/>
          <w:b/>
          <w:color w:val="000000" w:themeColor="text1"/>
          <w:sz w:val="28"/>
          <w:szCs w:val="28"/>
        </w:rPr>
        <w:t>清热解毒制剂品种山麦冬的检查项目高效液相色谱</w:t>
      </w:r>
      <w:r w:rsidRPr="0017590F">
        <w:rPr>
          <w:rFonts w:ascii="Times New Roman" w:eastAsia="宋体" w:hAnsi="Times New Roman"/>
          <w:b/>
          <w:color w:val="000000" w:themeColor="text1"/>
          <w:sz w:val="28"/>
          <w:szCs w:val="28"/>
        </w:rPr>
        <w:t>-</w:t>
      </w:r>
      <w:r>
        <w:rPr>
          <w:rFonts w:ascii="Times New Roman" w:eastAsia="宋体" w:hAnsi="Times New Roman"/>
          <w:b/>
          <w:color w:val="000000" w:themeColor="text1"/>
          <w:sz w:val="28"/>
          <w:szCs w:val="28"/>
        </w:rPr>
        <w:t>质谱联用</w:t>
      </w:r>
      <w:r w:rsidRPr="0017590F">
        <w:rPr>
          <w:rFonts w:ascii="Times New Roman" w:eastAsia="宋体" w:hAnsi="Times New Roman"/>
          <w:b/>
          <w:color w:val="000000" w:themeColor="text1"/>
          <w:sz w:val="28"/>
          <w:szCs w:val="28"/>
        </w:rPr>
        <w:t>方法</w:t>
      </w:r>
    </w:p>
    <w:p w:rsidR="00CD2B0B" w:rsidRPr="00F52C3C" w:rsidRDefault="00CD2B0B" w:rsidP="00CD2B0B">
      <w:pPr>
        <w:adjustRightInd w:val="0"/>
        <w:snapToGrid w:val="0"/>
        <w:spacing w:line="360" w:lineRule="auto"/>
        <w:rPr>
          <w:rFonts w:ascii="Times New Roman" w:eastAsia="宋体" w:hAnsi="Times New Roman"/>
          <w:sz w:val="24"/>
          <w:szCs w:val="21"/>
        </w:rPr>
      </w:pPr>
      <w:r w:rsidRPr="00F52C3C">
        <w:rPr>
          <w:rFonts w:ascii="Times New Roman" w:eastAsia="宋体" w:hAnsi="Times New Roman"/>
          <w:b/>
          <w:sz w:val="24"/>
        </w:rPr>
        <w:t>【检查】山麦冬</w:t>
      </w:r>
      <w:r w:rsidRPr="00F52C3C">
        <w:rPr>
          <w:rFonts w:ascii="Times New Roman" w:eastAsia="宋体" w:hAnsi="Times New Roman"/>
          <w:sz w:val="24"/>
          <w:szCs w:val="21"/>
        </w:rPr>
        <w:t xml:space="preserve"> </w:t>
      </w:r>
      <w:r w:rsidRPr="00F52C3C">
        <w:rPr>
          <w:rFonts w:ascii="Times New Roman" w:eastAsia="宋体" w:hAnsi="Times New Roman"/>
          <w:sz w:val="24"/>
          <w:szCs w:val="21"/>
        </w:rPr>
        <w:t>照高效液相色谱</w:t>
      </w:r>
      <w:r w:rsidRPr="00F52C3C">
        <w:rPr>
          <w:rFonts w:ascii="Times New Roman" w:eastAsia="宋体" w:hAnsi="Times New Roman"/>
          <w:sz w:val="24"/>
          <w:szCs w:val="21"/>
        </w:rPr>
        <w:t>-</w:t>
      </w:r>
      <w:r w:rsidRPr="00F52C3C">
        <w:rPr>
          <w:rFonts w:ascii="Times New Roman" w:eastAsia="宋体" w:hAnsi="Times New Roman"/>
          <w:sz w:val="24"/>
          <w:szCs w:val="21"/>
        </w:rPr>
        <w:t>质谱法（《中国药典》</w:t>
      </w:r>
      <w:r w:rsidRPr="00F52C3C">
        <w:rPr>
          <w:rFonts w:ascii="Times New Roman" w:eastAsia="宋体" w:hAnsi="Times New Roman"/>
          <w:sz w:val="24"/>
          <w:szCs w:val="21"/>
        </w:rPr>
        <w:t>2020</w:t>
      </w:r>
      <w:r w:rsidRPr="00F52C3C">
        <w:rPr>
          <w:rFonts w:ascii="Times New Roman" w:eastAsia="宋体" w:hAnsi="Times New Roman"/>
          <w:sz w:val="24"/>
          <w:szCs w:val="21"/>
        </w:rPr>
        <w:t>年版通则</w:t>
      </w:r>
      <w:r w:rsidRPr="00F52C3C">
        <w:rPr>
          <w:rFonts w:ascii="Times New Roman" w:eastAsia="宋体" w:hAnsi="Times New Roman"/>
          <w:sz w:val="24"/>
          <w:szCs w:val="21"/>
        </w:rPr>
        <w:t>0512</w:t>
      </w:r>
      <w:r w:rsidRPr="00F52C3C">
        <w:rPr>
          <w:rFonts w:ascii="Times New Roman" w:eastAsia="宋体" w:hAnsi="Times New Roman"/>
          <w:sz w:val="24"/>
          <w:szCs w:val="21"/>
        </w:rPr>
        <w:t>和通则</w:t>
      </w:r>
      <w:r w:rsidRPr="00F52C3C">
        <w:rPr>
          <w:rFonts w:ascii="Times New Roman" w:eastAsia="宋体" w:hAnsi="Times New Roman"/>
          <w:sz w:val="24"/>
          <w:szCs w:val="21"/>
        </w:rPr>
        <w:t>0431</w:t>
      </w:r>
      <w:r w:rsidRPr="00F52C3C">
        <w:rPr>
          <w:rFonts w:ascii="Times New Roman" w:eastAsia="宋体" w:hAnsi="Times New Roman"/>
          <w:sz w:val="24"/>
          <w:szCs w:val="21"/>
        </w:rPr>
        <w:t>）测定。</w:t>
      </w:r>
    </w:p>
    <w:p w:rsidR="00CD2B0B" w:rsidRPr="00F52C3C" w:rsidRDefault="00CD2B0B" w:rsidP="00CD2B0B">
      <w:pPr>
        <w:adjustRightInd w:val="0"/>
        <w:snapToGrid w:val="0"/>
        <w:spacing w:line="360" w:lineRule="auto"/>
        <w:ind w:firstLineChars="200" w:firstLine="482"/>
        <w:rPr>
          <w:rFonts w:ascii="Times New Roman" w:eastAsia="宋体" w:hAnsi="Times New Roman"/>
          <w:sz w:val="24"/>
          <w:szCs w:val="21"/>
        </w:rPr>
      </w:pPr>
      <w:r w:rsidRPr="00F52C3C">
        <w:rPr>
          <w:rFonts w:ascii="Times New Roman" w:eastAsia="宋体" w:hAnsi="Times New Roman"/>
          <w:b/>
          <w:sz w:val="24"/>
          <w:szCs w:val="21"/>
        </w:rPr>
        <w:t>色谱、质谱条件与系统适应性试验</w:t>
      </w:r>
      <w:r w:rsidRPr="00F52C3C">
        <w:rPr>
          <w:rFonts w:ascii="Times New Roman" w:eastAsia="宋体" w:hAnsi="Times New Roman"/>
          <w:sz w:val="24"/>
          <w:szCs w:val="21"/>
        </w:rPr>
        <w:t xml:space="preserve">  </w:t>
      </w:r>
      <w:r w:rsidRPr="00F52C3C">
        <w:rPr>
          <w:rFonts w:ascii="Times New Roman" w:eastAsia="宋体" w:hAnsi="Times New Roman"/>
          <w:sz w:val="24"/>
          <w:szCs w:val="21"/>
        </w:rPr>
        <w:t>以十八烷基硅烷键合硅胶为填充剂</w:t>
      </w:r>
      <w:r w:rsidRPr="00F52C3C">
        <w:rPr>
          <w:rFonts w:ascii="Times New Roman" w:eastAsia="宋体" w:hAnsi="Times New Roman"/>
          <w:sz w:val="24"/>
        </w:rPr>
        <w:t>（内径</w:t>
      </w:r>
      <w:r w:rsidRPr="00F52C3C">
        <w:rPr>
          <w:rFonts w:ascii="Times New Roman" w:eastAsia="宋体" w:hAnsi="Times New Roman"/>
          <w:sz w:val="24"/>
        </w:rPr>
        <w:t>2.1mm</w:t>
      </w:r>
      <w:r w:rsidRPr="00F52C3C">
        <w:rPr>
          <w:rFonts w:ascii="Times New Roman" w:eastAsia="宋体" w:hAnsi="Times New Roman"/>
          <w:sz w:val="24"/>
        </w:rPr>
        <w:t>，粒径</w:t>
      </w:r>
      <w:r w:rsidRPr="00F52C3C">
        <w:rPr>
          <w:rFonts w:ascii="Times New Roman" w:eastAsia="宋体" w:hAnsi="Times New Roman"/>
          <w:sz w:val="24"/>
        </w:rPr>
        <w:t>1.8μm</w:t>
      </w:r>
      <w:r w:rsidRPr="00F52C3C">
        <w:rPr>
          <w:rFonts w:ascii="Times New Roman" w:eastAsia="宋体" w:hAnsi="Times New Roman"/>
          <w:sz w:val="24"/>
        </w:rPr>
        <w:t>）</w:t>
      </w:r>
      <w:r w:rsidRPr="00F52C3C">
        <w:rPr>
          <w:rFonts w:ascii="Times New Roman" w:eastAsia="宋体" w:hAnsi="Times New Roman"/>
          <w:sz w:val="24"/>
          <w:szCs w:val="21"/>
        </w:rPr>
        <w:t>；以</w:t>
      </w:r>
      <w:r w:rsidRPr="00F52C3C">
        <w:rPr>
          <w:rFonts w:ascii="Times New Roman" w:eastAsia="宋体" w:hAnsi="Times New Roman"/>
          <w:sz w:val="24"/>
          <w:szCs w:val="24"/>
        </w:rPr>
        <w:t>乙腈为流动相</w:t>
      </w:r>
      <w:r w:rsidRPr="00F52C3C">
        <w:rPr>
          <w:rFonts w:ascii="Times New Roman" w:eastAsia="宋体" w:hAnsi="Times New Roman"/>
          <w:sz w:val="24"/>
          <w:szCs w:val="24"/>
        </w:rPr>
        <w:t>A</w:t>
      </w:r>
      <w:r w:rsidRPr="00F52C3C">
        <w:rPr>
          <w:rFonts w:ascii="Times New Roman" w:eastAsia="宋体" w:hAnsi="Times New Roman"/>
          <w:sz w:val="24"/>
          <w:szCs w:val="24"/>
        </w:rPr>
        <w:t>，以</w:t>
      </w:r>
      <w:r w:rsidRPr="00F52C3C">
        <w:rPr>
          <w:rFonts w:ascii="Times New Roman" w:eastAsia="宋体" w:hAnsi="Times New Roman"/>
          <w:sz w:val="24"/>
          <w:szCs w:val="24"/>
        </w:rPr>
        <w:t>0.1%</w:t>
      </w:r>
      <w:r w:rsidRPr="00F52C3C">
        <w:rPr>
          <w:rFonts w:ascii="Times New Roman" w:eastAsia="宋体" w:hAnsi="Times New Roman"/>
          <w:sz w:val="24"/>
          <w:szCs w:val="24"/>
        </w:rPr>
        <w:t>甲酸溶液为流动相</w:t>
      </w:r>
      <w:r w:rsidRPr="00F52C3C">
        <w:rPr>
          <w:rFonts w:ascii="Times New Roman" w:eastAsia="宋体" w:hAnsi="Times New Roman"/>
          <w:sz w:val="24"/>
          <w:szCs w:val="24"/>
        </w:rPr>
        <w:t>B</w:t>
      </w:r>
      <w:r w:rsidRPr="00F52C3C">
        <w:rPr>
          <w:rFonts w:ascii="Times New Roman" w:eastAsia="宋体" w:hAnsi="Times New Roman"/>
          <w:sz w:val="24"/>
          <w:szCs w:val="21"/>
        </w:rPr>
        <w:t>，按下表</w:t>
      </w:r>
      <w:r w:rsidRPr="00F52C3C">
        <w:rPr>
          <w:rFonts w:ascii="Times New Roman" w:eastAsia="宋体" w:hAnsi="Times New Roman"/>
          <w:sz w:val="24"/>
          <w:szCs w:val="21"/>
        </w:rPr>
        <w:t>18-1</w:t>
      </w:r>
      <w:r w:rsidRPr="00F52C3C">
        <w:rPr>
          <w:rFonts w:ascii="Times New Roman" w:eastAsia="宋体" w:hAnsi="Times New Roman"/>
          <w:sz w:val="24"/>
          <w:szCs w:val="21"/>
        </w:rPr>
        <w:t>进行梯度洗脱，流速为每分钟</w:t>
      </w:r>
      <w:r w:rsidRPr="00F52C3C">
        <w:rPr>
          <w:rFonts w:ascii="Times New Roman" w:eastAsia="宋体" w:hAnsi="Times New Roman"/>
          <w:sz w:val="24"/>
          <w:szCs w:val="21"/>
        </w:rPr>
        <w:t>0.3ml</w:t>
      </w:r>
      <w:r w:rsidRPr="00F52C3C">
        <w:rPr>
          <w:rFonts w:ascii="Times New Roman" w:eastAsia="宋体" w:hAnsi="Times New Roman"/>
          <w:sz w:val="24"/>
          <w:szCs w:val="21"/>
        </w:rPr>
        <w:t>；采用</w:t>
      </w:r>
      <w:r w:rsidRPr="00F52C3C">
        <w:rPr>
          <w:rFonts w:ascii="Times New Roman" w:eastAsia="宋体" w:hAnsi="Times New Roman"/>
          <w:sz w:val="24"/>
          <w:szCs w:val="24"/>
        </w:rPr>
        <w:t>串联四级杆质谱检测器，电喷雾离子化（</w:t>
      </w:r>
      <w:r w:rsidRPr="00F52C3C">
        <w:rPr>
          <w:rFonts w:ascii="Times New Roman" w:eastAsia="宋体" w:hAnsi="Times New Roman"/>
          <w:sz w:val="24"/>
          <w:szCs w:val="24"/>
        </w:rPr>
        <w:t>ESI</w:t>
      </w:r>
      <w:r w:rsidRPr="00F52C3C">
        <w:rPr>
          <w:rFonts w:ascii="Times New Roman" w:eastAsia="宋体" w:hAnsi="Times New Roman"/>
          <w:sz w:val="24"/>
          <w:szCs w:val="24"/>
        </w:rPr>
        <w:t>）正离子模式，多反应离子监测（</w:t>
      </w:r>
      <w:r w:rsidRPr="00F52C3C">
        <w:rPr>
          <w:rFonts w:ascii="Times New Roman" w:eastAsia="宋体" w:hAnsi="Times New Roman"/>
          <w:sz w:val="24"/>
          <w:szCs w:val="24"/>
        </w:rPr>
        <w:t>MRM</w:t>
      </w:r>
      <w:r w:rsidRPr="00F52C3C">
        <w:rPr>
          <w:rFonts w:ascii="Times New Roman" w:eastAsia="宋体" w:hAnsi="Times New Roman"/>
          <w:sz w:val="24"/>
          <w:szCs w:val="24"/>
        </w:rPr>
        <w:t>）</w:t>
      </w:r>
      <w:r w:rsidRPr="00F52C3C">
        <w:rPr>
          <w:rFonts w:ascii="Times New Roman" w:eastAsia="宋体" w:hAnsi="Times New Roman"/>
          <w:sz w:val="24"/>
          <w:szCs w:val="21"/>
        </w:rPr>
        <w:t>，选择</w:t>
      </w:r>
      <w:r w:rsidRPr="00F52C3C">
        <w:rPr>
          <w:rFonts w:ascii="Times New Roman" w:eastAsia="宋体" w:hAnsi="Times New Roman"/>
          <w:sz w:val="24"/>
          <w:szCs w:val="21"/>
        </w:rPr>
        <w:t>m/z723.50→251.20</w:t>
      </w:r>
      <w:r w:rsidRPr="00F52C3C">
        <w:rPr>
          <w:rFonts w:ascii="Times New Roman" w:eastAsia="宋体" w:hAnsi="Times New Roman"/>
          <w:sz w:val="24"/>
          <w:szCs w:val="21"/>
        </w:rPr>
        <w:t>和</w:t>
      </w:r>
      <w:r w:rsidRPr="00F52C3C">
        <w:rPr>
          <w:rFonts w:ascii="Times New Roman" w:eastAsia="宋体" w:hAnsi="Times New Roman"/>
          <w:sz w:val="24"/>
          <w:szCs w:val="21"/>
        </w:rPr>
        <w:t>m/z723.50→269.20</w:t>
      </w:r>
      <w:r w:rsidRPr="00F52C3C">
        <w:rPr>
          <w:rFonts w:ascii="Times New Roman" w:eastAsia="宋体" w:hAnsi="Times New Roman"/>
          <w:sz w:val="24"/>
          <w:szCs w:val="21"/>
        </w:rPr>
        <w:t>（山麦冬皂苷</w:t>
      </w:r>
      <w:r w:rsidRPr="00F52C3C">
        <w:rPr>
          <w:rFonts w:ascii="Times New Roman" w:eastAsia="宋体" w:hAnsi="Times New Roman"/>
          <w:sz w:val="24"/>
          <w:szCs w:val="21"/>
        </w:rPr>
        <w:t>B</w:t>
      </w:r>
      <w:r w:rsidRPr="00F52C3C">
        <w:rPr>
          <w:rFonts w:ascii="Times New Roman" w:eastAsia="宋体" w:hAnsi="Times New Roman"/>
          <w:sz w:val="24"/>
          <w:szCs w:val="21"/>
        </w:rPr>
        <w:t>）、</w:t>
      </w:r>
      <w:r w:rsidRPr="00F52C3C">
        <w:rPr>
          <w:rFonts w:ascii="Times New Roman" w:eastAsia="宋体" w:hAnsi="Times New Roman"/>
          <w:sz w:val="24"/>
          <w:szCs w:val="21"/>
        </w:rPr>
        <w:t>m/z893.60→463.10</w:t>
      </w:r>
      <w:r w:rsidRPr="00F52C3C">
        <w:rPr>
          <w:rFonts w:ascii="Times New Roman" w:eastAsia="宋体" w:hAnsi="Times New Roman"/>
          <w:sz w:val="24"/>
          <w:szCs w:val="21"/>
        </w:rPr>
        <w:t>和</w:t>
      </w:r>
      <w:r w:rsidRPr="00F52C3C">
        <w:rPr>
          <w:rFonts w:ascii="Times New Roman" w:eastAsia="宋体" w:hAnsi="Times New Roman"/>
          <w:sz w:val="24"/>
          <w:szCs w:val="21"/>
        </w:rPr>
        <w:t>m/z893.60→481.20</w:t>
      </w:r>
      <w:r w:rsidRPr="00F52C3C">
        <w:rPr>
          <w:rFonts w:ascii="Times New Roman" w:eastAsia="宋体" w:hAnsi="Times New Roman"/>
          <w:sz w:val="24"/>
          <w:szCs w:val="21"/>
        </w:rPr>
        <w:t>（短</w:t>
      </w:r>
      <w:proofErr w:type="gramStart"/>
      <w:r w:rsidRPr="00F52C3C">
        <w:rPr>
          <w:rFonts w:ascii="Times New Roman" w:eastAsia="宋体" w:hAnsi="Times New Roman"/>
          <w:sz w:val="24"/>
          <w:szCs w:val="21"/>
        </w:rPr>
        <w:t>葶</w:t>
      </w:r>
      <w:proofErr w:type="gramEnd"/>
      <w:r w:rsidRPr="00F52C3C">
        <w:rPr>
          <w:rFonts w:ascii="Times New Roman" w:eastAsia="宋体" w:hAnsi="Times New Roman"/>
          <w:sz w:val="24"/>
          <w:szCs w:val="21"/>
        </w:rPr>
        <w:t>山麦冬皂苷</w:t>
      </w:r>
      <w:r w:rsidRPr="00F52C3C">
        <w:rPr>
          <w:rFonts w:ascii="Times New Roman" w:eastAsia="宋体" w:hAnsi="Times New Roman"/>
          <w:sz w:val="24"/>
          <w:szCs w:val="21"/>
        </w:rPr>
        <w:t>C</w:t>
      </w:r>
      <w:r w:rsidRPr="00F52C3C">
        <w:rPr>
          <w:rFonts w:ascii="Times New Roman" w:eastAsia="宋体" w:hAnsi="Times New Roman"/>
          <w:sz w:val="24"/>
          <w:szCs w:val="21"/>
        </w:rPr>
        <w:t>）作为检测离子对进行检测。理论塔板数按山麦冬皂苷</w:t>
      </w:r>
      <w:r w:rsidRPr="00F52C3C">
        <w:rPr>
          <w:rFonts w:ascii="Times New Roman" w:eastAsia="宋体" w:hAnsi="Times New Roman"/>
          <w:sz w:val="24"/>
          <w:szCs w:val="21"/>
        </w:rPr>
        <w:t>B</w:t>
      </w:r>
      <w:r w:rsidRPr="00F52C3C">
        <w:rPr>
          <w:rFonts w:ascii="Times New Roman" w:eastAsia="宋体" w:hAnsi="Times New Roman"/>
          <w:sz w:val="24"/>
          <w:szCs w:val="21"/>
        </w:rPr>
        <w:t>和短</w:t>
      </w:r>
      <w:proofErr w:type="gramStart"/>
      <w:r w:rsidRPr="00F52C3C">
        <w:rPr>
          <w:rFonts w:ascii="Times New Roman" w:eastAsia="宋体" w:hAnsi="Times New Roman"/>
          <w:sz w:val="24"/>
          <w:szCs w:val="21"/>
        </w:rPr>
        <w:t>葶</w:t>
      </w:r>
      <w:proofErr w:type="gramEnd"/>
      <w:r w:rsidRPr="00F52C3C">
        <w:rPr>
          <w:rFonts w:ascii="Times New Roman" w:eastAsia="宋体" w:hAnsi="Times New Roman"/>
          <w:sz w:val="24"/>
          <w:szCs w:val="21"/>
        </w:rPr>
        <w:t>山麦冬皂苷</w:t>
      </w:r>
      <w:r w:rsidRPr="00F52C3C">
        <w:rPr>
          <w:rFonts w:ascii="Times New Roman" w:eastAsia="宋体" w:hAnsi="Times New Roman"/>
          <w:sz w:val="24"/>
          <w:szCs w:val="21"/>
        </w:rPr>
        <w:t>C</w:t>
      </w:r>
      <w:proofErr w:type="gramStart"/>
      <w:r w:rsidRPr="00F52C3C">
        <w:rPr>
          <w:rFonts w:ascii="Times New Roman" w:eastAsia="宋体" w:hAnsi="Times New Roman"/>
          <w:sz w:val="24"/>
          <w:szCs w:val="21"/>
        </w:rPr>
        <w:t>计应不</w:t>
      </w:r>
      <w:proofErr w:type="gramEnd"/>
      <w:r w:rsidRPr="00F52C3C">
        <w:rPr>
          <w:rFonts w:ascii="Times New Roman" w:eastAsia="宋体" w:hAnsi="Times New Roman"/>
          <w:sz w:val="24"/>
          <w:szCs w:val="21"/>
        </w:rPr>
        <w:t>低于</w:t>
      </w:r>
      <w:r w:rsidRPr="00F52C3C">
        <w:rPr>
          <w:rFonts w:ascii="Times New Roman" w:eastAsia="宋体" w:hAnsi="Times New Roman"/>
          <w:sz w:val="24"/>
          <w:szCs w:val="21"/>
        </w:rPr>
        <w:t>8000</w:t>
      </w:r>
      <w:r w:rsidRPr="00F52C3C">
        <w:rPr>
          <w:rFonts w:ascii="Times New Roman" w:eastAsia="宋体" w:hAnsi="Times New Roman"/>
          <w:sz w:val="24"/>
          <w:szCs w:val="21"/>
        </w:rPr>
        <w:t>。</w:t>
      </w:r>
    </w:p>
    <w:p w:rsidR="00CD2B0B" w:rsidRPr="00F52C3C" w:rsidRDefault="00CD2B0B" w:rsidP="00CD2B0B">
      <w:pPr>
        <w:adjustRightInd w:val="0"/>
        <w:snapToGrid w:val="0"/>
        <w:spacing w:line="360" w:lineRule="auto"/>
        <w:ind w:firstLineChars="200" w:firstLine="480"/>
        <w:jc w:val="center"/>
        <w:rPr>
          <w:rFonts w:ascii="Times New Roman" w:eastAsia="宋体" w:hAnsi="Times New Roman"/>
          <w:sz w:val="24"/>
          <w:szCs w:val="21"/>
        </w:rPr>
      </w:pPr>
      <w:r w:rsidRPr="00F52C3C">
        <w:rPr>
          <w:rFonts w:ascii="Times New Roman" w:eastAsia="宋体" w:hAnsi="Times New Roman"/>
          <w:sz w:val="24"/>
          <w:szCs w:val="21"/>
        </w:rPr>
        <w:t>表</w:t>
      </w:r>
      <w:r w:rsidRPr="00F52C3C">
        <w:rPr>
          <w:rFonts w:ascii="Times New Roman" w:eastAsia="宋体" w:hAnsi="Times New Roman"/>
          <w:sz w:val="24"/>
          <w:szCs w:val="21"/>
        </w:rPr>
        <w:t xml:space="preserve">18-1 </w:t>
      </w:r>
      <w:r w:rsidRPr="00F52C3C">
        <w:rPr>
          <w:rFonts w:ascii="Times New Roman" w:eastAsia="宋体" w:hAnsi="Times New Roman"/>
          <w:sz w:val="24"/>
          <w:szCs w:val="21"/>
        </w:rPr>
        <w:t>梯度洗脱程序</w:t>
      </w:r>
    </w:p>
    <w:tbl>
      <w:tblPr>
        <w:tblW w:w="0" w:type="auto"/>
        <w:jc w:val="center"/>
        <w:tblBorders>
          <w:top w:val="single" w:sz="4" w:space="0" w:color="auto"/>
          <w:bottom w:val="single" w:sz="4" w:space="0" w:color="auto"/>
        </w:tblBorders>
        <w:tblLook w:val="04A0" w:firstRow="1" w:lastRow="0" w:firstColumn="1" w:lastColumn="0" w:noHBand="0" w:noVBand="1"/>
      </w:tblPr>
      <w:tblGrid>
        <w:gridCol w:w="1843"/>
        <w:gridCol w:w="1985"/>
        <w:gridCol w:w="2126"/>
      </w:tblGrid>
      <w:tr w:rsidR="00CD2B0B" w:rsidRPr="00D652BF" w:rsidTr="0058785E">
        <w:trPr>
          <w:jc w:val="center"/>
        </w:trPr>
        <w:tc>
          <w:tcPr>
            <w:tcW w:w="1843" w:type="dxa"/>
            <w:tcBorders>
              <w:top w:val="single" w:sz="4" w:space="0" w:color="auto"/>
              <w:bottom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时间（分钟）</w:t>
            </w:r>
          </w:p>
        </w:tc>
        <w:tc>
          <w:tcPr>
            <w:tcW w:w="1985" w:type="dxa"/>
            <w:tcBorders>
              <w:top w:val="single" w:sz="4" w:space="0" w:color="auto"/>
              <w:bottom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流动相</w:t>
            </w:r>
            <w:r w:rsidRPr="00D652BF">
              <w:rPr>
                <w:rFonts w:ascii="Times New Roman" w:eastAsia="宋体" w:hAnsi="Times New Roman"/>
                <w:kern w:val="0"/>
                <w:szCs w:val="21"/>
              </w:rPr>
              <w:t>A</w:t>
            </w:r>
            <w:r w:rsidRPr="00D652BF">
              <w:rPr>
                <w:rFonts w:ascii="Times New Roman" w:eastAsia="宋体" w:hAnsi="Times New Roman"/>
                <w:kern w:val="0"/>
                <w:szCs w:val="21"/>
              </w:rPr>
              <w:t>（</w:t>
            </w:r>
            <w:r w:rsidRPr="00D652BF">
              <w:rPr>
                <w:rFonts w:ascii="Times New Roman" w:eastAsia="宋体" w:hAnsi="Times New Roman"/>
                <w:kern w:val="0"/>
                <w:szCs w:val="21"/>
              </w:rPr>
              <w:t>%</w:t>
            </w:r>
            <w:r w:rsidRPr="00D652BF">
              <w:rPr>
                <w:rFonts w:ascii="Times New Roman" w:eastAsia="宋体" w:hAnsi="Times New Roman"/>
                <w:kern w:val="0"/>
                <w:szCs w:val="21"/>
              </w:rPr>
              <w:t>）</w:t>
            </w:r>
          </w:p>
        </w:tc>
        <w:tc>
          <w:tcPr>
            <w:tcW w:w="2126" w:type="dxa"/>
            <w:tcBorders>
              <w:top w:val="single" w:sz="4" w:space="0" w:color="auto"/>
              <w:bottom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流动相</w:t>
            </w:r>
            <w:r w:rsidRPr="00D652BF">
              <w:rPr>
                <w:rFonts w:ascii="Times New Roman" w:eastAsia="宋体" w:hAnsi="Times New Roman"/>
                <w:kern w:val="0"/>
                <w:szCs w:val="21"/>
              </w:rPr>
              <w:t>B</w:t>
            </w:r>
            <w:r w:rsidRPr="00D652BF">
              <w:rPr>
                <w:rFonts w:ascii="Times New Roman" w:eastAsia="宋体" w:hAnsi="Times New Roman"/>
                <w:kern w:val="0"/>
                <w:szCs w:val="21"/>
              </w:rPr>
              <w:t>（</w:t>
            </w:r>
            <w:r w:rsidRPr="00D652BF">
              <w:rPr>
                <w:rFonts w:ascii="Times New Roman" w:eastAsia="宋体" w:hAnsi="Times New Roman"/>
                <w:kern w:val="0"/>
                <w:szCs w:val="21"/>
              </w:rPr>
              <w:t>%</w:t>
            </w:r>
            <w:r w:rsidRPr="00D652BF">
              <w:rPr>
                <w:rFonts w:ascii="Times New Roman" w:eastAsia="宋体" w:hAnsi="Times New Roman"/>
                <w:kern w:val="0"/>
                <w:szCs w:val="21"/>
              </w:rPr>
              <w:t>）</w:t>
            </w:r>
          </w:p>
        </w:tc>
      </w:tr>
      <w:tr w:rsidR="00CD2B0B" w:rsidRPr="00D652BF" w:rsidTr="0058785E">
        <w:trPr>
          <w:jc w:val="center"/>
        </w:trPr>
        <w:tc>
          <w:tcPr>
            <w:tcW w:w="1843" w:type="dxa"/>
            <w:tcBorders>
              <w:top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0</w:t>
            </w:r>
            <w:r w:rsidRPr="00D652BF">
              <w:rPr>
                <w:rFonts w:ascii="Times New Roman" w:eastAsia="宋体" w:hAnsi="Times New Roman"/>
                <w:kern w:val="0"/>
                <w:szCs w:val="21"/>
              </w:rPr>
              <w:t>～</w:t>
            </w:r>
            <w:r w:rsidRPr="00D652BF">
              <w:rPr>
                <w:rFonts w:ascii="Times New Roman" w:eastAsia="宋体" w:hAnsi="Times New Roman"/>
                <w:kern w:val="0"/>
                <w:szCs w:val="21"/>
              </w:rPr>
              <w:t>3</w:t>
            </w:r>
          </w:p>
        </w:tc>
        <w:tc>
          <w:tcPr>
            <w:tcW w:w="1985" w:type="dxa"/>
            <w:tcBorders>
              <w:top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20→50</w:t>
            </w:r>
          </w:p>
        </w:tc>
        <w:tc>
          <w:tcPr>
            <w:tcW w:w="2126" w:type="dxa"/>
            <w:tcBorders>
              <w:top w:val="single" w:sz="4" w:space="0" w:color="auto"/>
            </w:tcBorders>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80→50</w:t>
            </w:r>
          </w:p>
        </w:tc>
      </w:tr>
      <w:tr w:rsidR="00CD2B0B" w:rsidRPr="00D652BF" w:rsidTr="0058785E">
        <w:trPr>
          <w:jc w:val="center"/>
        </w:trPr>
        <w:tc>
          <w:tcPr>
            <w:tcW w:w="1843"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3</w:t>
            </w:r>
            <w:r w:rsidRPr="00D652BF">
              <w:rPr>
                <w:rFonts w:ascii="Times New Roman" w:eastAsia="宋体" w:hAnsi="Times New Roman"/>
                <w:kern w:val="0"/>
                <w:szCs w:val="21"/>
              </w:rPr>
              <w:t>～</w:t>
            </w:r>
            <w:r w:rsidRPr="00D652BF">
              <w:rPr>
                <w:rFonts w:ascii="Times New Roman" w:eastAsia="宋体" w:hAnsi="Times New Roman"/>
                <w:kern w:val="0"/>
                <w:szCs w:val="21"/>
              </w:rPr>
              <w:t>6</w:t>
            </w:r>
          </w:p>
        </w:tc>
        <w:tc>
          <w:tcPr>
            <w:tcW w:w="1985"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50→95</w:t>
            </w:r>
          </w:p>
        </w:tc>
        <w:tc>
          <w:tcPr>
            <w:tcW w:w="2126"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50→5</w:t>
            </w:r>
          </w:p>
        </w:tc>
      </w:tr>
      <w:tr w:rsidR="00CD2B0B" w:rsidRPr="00D652BF" w:rsidTr="0058785E">
        <w:trPr>
          <w:jc w:val="center"/>
        </w:trPr>
        <w:tc>
          <w:tcPr>
            <w:tcW w:w="1843"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6</w:t>
            </w:r>
            <w:r w:rsidRPr="00D652BF">
              <w:rPr>
                <w:rFonts w:ascii="Times New Roman" w:eastAsia="宋体" w:hAnsi="Times New Roman"/>
                <w:kern w:val="0"/>
                <w:szCs w:val="21"/>
              </w:rPr>
              <w:t>～</w:t>
            </w:r>
            <w:r w:rsidRPr="00D652BF">
              <w:rPr>
                <w:rFonts w:ascii="Times New Roman" w:eastAsia="宋体" w:hAnsi="Times New Roman"/>
                <w:kern w:val="0"/>
                <w:szCs w:val="21"/>
              </w:rPr>
              <w:t>7</w:t>
            </w:r>
          </w:p>
        </w:tc>
        <w:tc>
          <w:tcPr>
            <w:tcW w:w="1985"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95</w:t>
            </w:r>
          </w:p>
        </w:tc>
        <w:tc>
          <w:tcPr>
            <w:tcW w:w="2126" w:type="dxa"/>
            <w:shd w:val="clear" w:color="auto" w:fill="auto"/>
            <w:vAlign w:val="center"/>
          </w:tcPr>
          <w:p w:rsidR="00CD2B0B" w:rsidRPr="00D652BF" w:rsidRDefault="00CD2B0B" w:rsidP="0058785E">
            <w:pPr>
              <w:adjustRightInd w:val="0"/>
              <w:snapToGrid w:val="0"/>
              <w:jc w:val="center"/>
              <w:rPr>
                <w:rFonts w:ascii="Times New Roman" w:eastAsia="宋体" w:hAnsi="Times New Roman"/>
                <w:kern w:val="0"/>
                <w:szCs w:val="21"/>
              </w:rPr>
            </w:pPr>
            <w:r w:rsidRPr="00D652BF">
              <w:rPr>
                <w:rFonts w:ascii="Times New Roman" w:eastAsia="宋体" w:hAnsi="Times New Roman"/>
                <w:kern w:val="0"/>
                <w:szCs w:val="21"/>
              </w:rPr>
              <w:t>5</w:t>
            </w:r>
          </w:p>
        </w:tc>
      </w:tr>
    </w:tbl>
    <w:p w:rsidR="00CD2B0B" w:rsidRPr="00F52C3C" w:rsidRDefault="00CD2B0B" w:rsidP="00CD2B0B">
      <w:pPr>
        <w:adjustRightInd w:val="0"/>
        <w:snapToGrid w:val="0"/>
        <w:spacing w:line="360" w:lineRule="auto"/>
        <w:ind w:firstLineChars="200" w:firstLine="482"/>
        <w:rPr>
          <w:rFonts w:ascii="Times New Roman" w:eastAsia="宋体" w:hAnsi="Times New Roman"/>
          <w:sz w:val="24"/>
          <w:szCs w:val="21"/>
        </w:rPr>
      </w:pPr>
      <w:r w:rsidRPr="00F52C3C">
        <w:rPr>
          <w:rFonts w:ascii="Times New Roman" w:eastAsia="宋体" w:hAnsi="Times New Roman"/>
          <w:b/>
          <w:sz w:val="24"/>
          <w:szCs w:val="21"/>
        </w:rPr>
        <w:t>对照品溶液的制备</w:t>
      </w:r>
      <w:r w:rsidRPr="00F52C3C">
        <w:rPr>
          <w:rFonts w:ascii="Times New Roman" w:eastAsia="宋体" w:hAnsi="Times New Roman"/>
          <w:sz w:val="24"/>
          <w:szCs w:val="21"/>
        </w:rPr>
        <w:t xml:space="preserve">  </w:t>
      </w:r>
      <w:r w:rsidRPr="00F52C3C">
        <w:rPr>
          <w:rFonts w:ascii="Times New Roman" w:eastAsia="宋体" w:hAnsi="Times New Roman"/>
          <w:sz w:val="24"/>
          <w:szCs w:val="21"/>
        </w:rPr>
        <w:t>取山麦冬皂苷</w:t>
      </w:r>
      <w:r w:rsidRPr="00F52C3C">
        <w:rPr>
          <w:rFonts w:ascii="Times New Roman" w:eastAsia="宋体" w:hAnsi="Times New Roman"/>
          <w:sz w:val="24"/>
          <w:szCs w:val="21"/>
        </w:rPr>
        <w:t>B</w:t>
      </w:r>
      <w:r w:rsidRPr="00F52C3C">
        <w:rPr>
          <w:rFonts w:ascii="Times New Roman" w:eastAsia="宋体" w:hAnsi="Times New Roman"/>
          <w:sz w:val="24"/>
          <w:szCs w:val="21"/>
        </w:rPr>
        <w:t>和短</w:t>
      </w:r>
      <w:proofErr w:type="gramStart"/>
      <w:r w:rsidRPr="00F52C3C">
        <w:rPr>
          <w:rFonts w:ascii="Times New Roman" w:eastAsia="宋体" w:hAnsi="Times New Roman"/>
          <w:sz w:val="24"/>
          <w:szCs w:val="21"/>
        </w:rPr>
        <w:t>葶</w:t>
      </w:r>
      <w:proofErr w:type="gramEnd"/>
      <w:r w:rsidRPr="00F52C3C">
        <w:rPr>
          <w:rFonts w:ascii="Times New Roman" w:eastAsia="宋体" w:hAnsi="Times New Roman"/>
          <w:sz w:val="24"/>
          <w:szCs w:val="21"/>
        </w:rPr>
        <w:t>山麦冬皂苷</w:t>
      </w:r>
      <w:r w:rsidRPr="00F52C3C">
        <w:rPr>
          <w:rFonts w:ascii="Times New Roman" w:eastAsia="宋体" w:hAnsi="Times New Roman"/>
          <w:sz w:val="24"/>
          <w:szCs w:val="21"/>
        </w:rPr>
        <w:t>C</w:t>
      </w:r>
      <w:r w:rsidRPr="00F52C3C">
        <w:rPr>
          <w:rFonts w:ascii="Times New Roman" w:eastAsia="宋体" w:hAnsi="Times New Roman"/>
          <w:sz w:val="24"/>
          <w:szCs w:val="21"/>
        </w:rPr>
        <w:t>对照品适量，精密称定，加</w:t>
      </w:r>
      <w:r w:rsidRPr="00F52C3C">
        <w:rPr>
          <w:rFonts w:ascii="Times New Roman" w:eastAsia="宋体" w:hAnsi="Times New Roman"/>
          <w:sz w:val="24"/>
          <w:szCs w:val="21"/>
        </w:rPr>
        <w:t>50%</w:t>
      </w:r>
      <w:r w:rsidRPr="00F52C3C">
        <w:rPr>
          <w:rFonts w:ascii="Times New Roman" w:eastAsia="宋体" w:hAnsi="Times New Roman"/>
          <w:sz w:val="24"/>
          <w:szCs w:val="21"/>
        </w:rPr>
        <w:t>甲醇制成每</w:t>
      </w:r>
      <w:r w:rsidRPr="00F52C3C">
        <w:rPr>
          <w:rFonts w:ascii="Times New Roman" w:eastAsia="宋体" w:hAnsi="Times New Roman"/>
          <w:sz w:val="24"/>
          <w:szCs w:val="21"/>
        </w:rPr>
        <w:t>1ml</w:t>
      </w:r>
      <w:r w:rsidRPr="00F52C3C">
        <w:rPr>
          <w:rFonts w:ascii="Times New Roman" w:eastAsia="宋体" w:hAnsi="Times New Roman"/>
          <w:sz w:val="24"/>
          <w:szCs w:val="21"/>
        </w:rPr>
        <w:t>含</w:t>
      </w:r>
      <w:r w:rsidRPr="00F52C3C">
        <w:rPr>
          <w:rFonts w:ascii="Times New Roman" w:eastAsia="宋体" w:hAnsi="Times New Roman"/>
          <w:sz w:val="24"/>
          <w:szCs w:val="21"/>
        </w:rPr>
        <w:t>0.2μg</w:t>
      </w:r>
      <w:r w:rsidRPr="00F52C3C">
        <w:rPr>
          <w:rFonts w:ascii="Times New Roman" w:eastAsia="宋体" w:hAnsi="Times New Roman"/>
          <w:sz w:val="24"/>
          <w:szCs w:val="21"/>
        </w:rPr>
        <w:t>的对照品溶液，即得。</w:t>
      </w:r>
    </w:p>
    <w:p w:rsidR="00CD2B0B" w:rsidRPr="00F52C3C" w:rsidRDefault="00CD2B0B" w:rsidP="00CD2B0B">
      <w:pPr>
        <w:adjustRightInd w:val="0"/>
        <w:snapToGrid w:val="0"/>
        <w:spacing w:line="360" w:lineRule="auto"/>
        <w:ind w:firstLineChars="200" w:firstLine="482"/>
        <w:rPr>
          <w:rFonts w:ascii="Times New Roman" w:eastAsia="宋体" w:hAnsi="Times New Roman"/>
          <w:sz w:val="24"/>
          <w:szCs w:val="21"/>
        </w:rPr>
      </w:pPr>
      <w:proofErr w:type="gramStart"/>
      <w:r w:rsidRPr="00F52C3C">
        <w:rPr>
          <w:rFonts w:ascii="Times New Roman" w:eastAsia="宋体" w:hAnsi="Times New Roman"/>
          <w:b/>
          <w:sz w:val="24"/>
          <w:szCs w:val="21"/>
        </w:rPr>
        <w:t>供试品溶液</w:t>
      </w:r>
      <w:proofErr w:type="gramEnd"/>
      <w:r w:rsidRPr="00F52C3C">
        <w:rPr>
          <w:rFonts w:ascii="Times New Roman" w:eastAsia="宋体" w:hAnsi="Times New Roman"/>
          <w:b/>
          <w:sz w:val="24"/>
          <w:szCs w:val="21"/>
        </w:rPr>
        <w:t>的制备</w:t>
      </w:r>
      <w:r w:rsidRPr="00F52C3C">
        <w:rPr>
          <w:rFonts w:ascii="Times New Roman" w:eastAsia="宋体" w:hAnsi="Times New Roman"/>
          <w:sz w:val="24"/>
          <w:szCs w:val="21"/>
        </w:rPr>
        <w:t xml:space="preserve">  </w:t>
      </w:r>
      <w:r w:rsidRPr="00F52C3C">
        <w:rPr>
          <w:rFonts w:ascii="Times New Roman" w:eastAsia="宋体" w:hAnsi="Times New Roman"/>
          <w:sz w:val="24"/>
          <w:szCs w:val="21"/>
        </w:rPr>
        <w:t>口服液：精密量取取本品</w:t>
      </w:r>
      <w:r w:rsidRPr="00F52C3C">
        <w:rPr>
          <w:rFonts w:ascii="Times New Roman" w:eastAsia="宋体" w:hAnsi="Times New Roman"/>
          <w:sz w:val="24"/>
          <w:szCs w:val="21"/>
        </w:rPr>
        <w:t>5ml</w:t>
      </w:r>
      <w:r w:rsidRPr="00F52C3C">
        <w:rPr>
          <w:rFonts w:ascii="Times New Roman" w:eastAsia="宋体" w:hAnsi="Times New Roman"/>
          <w:sz w:val="24"/>
          <w:szCs w:val="21"/>
        </w:rPr>
        <w:t>，置</w:t>
      </w:r>
      <w:r w:rsidRPr="00F52C3C">
        <w:rPr>
          <w:rFonts w:ascii="Times New Roman" w:eastAsia="宋体" w:hAnsi="Times New Roman"/>
          <w:sz w:val="24"/>
          <w:szCs w:val="21"/>
        </w:rPr>
        <w:t>50ml</w:t>
      </w:r>
      <w:r w:rsidRPr="00F52C3C">
        <w:rPr>
          <w:rFonts w:ascii="Times New Roman" w:eastAsia="宋体" w:hAnsi="Times New Roman"/>
          <w:sz w:val="24"/>
          <w:szCs w:val="21"/>
        </w:rPr>
        <w:t>量瓶中，加</w:t>
      </w:r>
      <w:r w:rsidRPr="00F52C3C">
        <w:rPr>
          <w:rFonts w:ascii="Times New Roman" w:eastAsia="宋体" w:hAnsi="Times New Roman"/>
          <w:sz w:val="24"/>
          <w:szCs w:val="21"/>
        </w:rPr>
        <w:t xml:space="preserve">50% </w:t>
      </w:r>
      <w:r w:rsidRPr="00F52C3C">
        <w:rPr>
          <w:rFonts w:ascii="Times New Roman" w:eastAsia="宋体" w:hAnsi="Times New Roman"/>
          <w:sz w:val="24"/>
          <w:szCs w:val="21"/>
        </w:rPr>
        <w:t>甲醇适量，振摇，用</w:t>
      </w:r>
      <w:r w:rsidRPr="00F52C3C">
        <w:rPr>
          <w:rFonts w:ascii="Times New Roman" w:eastAsia="宋体" w:hAnsi="Times New Roman"/>
          <w:sz w:val="24"/>
          <w:szCs w:val="21"/>
        </w:rPr>
        <w:t>50%</w:t>
      </w:r>
      <w:r w:rsidRPr="00F52C3C">
        <w:rPr>
          <w:rFonts w:ascii="Times New Roman" w:eastAsia="宋体" w:hAnsi="Times New Roman"/>
          <w:sz w:val="24"/>
          <w:szCs w:val="21"/>
        </w:rPr>
        <w:t>甲醇稀释至刻度，摇匀，放置，滤过，</w:t>
      </w:r>
      <w:proofErr w:type="gramStart"/>
      <w:r w:rsidRPr="00F52C3C">
        <w:rPr>
          <w:rFonts w:ascii="Times New Roman" w:eastAsia="宋体" w:hAnsi="Times New Roman"/>
          <w:sz w:val="24"/>
          <w:szCs w:val="21"/>
        </w:rPr>
        <w:t>取续滤液</w:t>
      </w:r>
      <w:proofErr w:type="gramEnd"/>
      <w:r w:rsidRPr="00F52C3C">
        <w:rPr>
          <w:rFonts w:ascii="Times New Roman" w:eastAsia="宋体" w:hAnsi="Times New Roman"/>
          <w:sz w:val="24"/>
          <w:szCs w:val="21"/>
        </w:rPr>
        <w:t>，即得。</w:t>
      </w:r>
    </w:p>
    <w:p w:rsidR="00CD2B0B" w:rsidRPr="00F52C3C" w:rsidRDefault="00CD2B0B" w:rsidP="00CD2B0B">
      <w:pPr>
        <w:adjustRightInd w:val="0"/>
        <w:snapToGrid w:val="0"/>
        <w:spacing w:line="360" w:lineRule="auto"/>
        <w:ind w:firstLineChars="200" w:firstLine="480"/>
        <w:rPr>
          <w:rFonts w:ascii="Times New Roman" w:eastAsia="宋体" w:hAnsi="Times New Roman"/>
          <w:sz w:val="24"/>
          <w:szCs w:val="21"/>
        </w:rPr>
      </w:pPr>
      <w:r w:rsidRPr="00F52C3C">
        <w:rPr>
          <w:rFonts w:ascii="Times New Roman" w:eastAsia="宋体" w:hAnsi="Times New Roman"/>
          <w:sz w:val="24"/>
          <w:szCs w:val="21"/>
        </w:rPr>
        <w:t>片剂：取本品</w:t>
      </w:r>
      <w:r w:rsidRPr="00F52C3C">
        <w:rPr>
          <w:rFonts w:ascii="Times New Roman" w:eastAsia="宋体" w:hAnsi="Times New Roman"/>
          <w:sz w:val="24"/>
          <w:szCs w:val="21"/>
        </w:rPr>
        <w:t>20</w:t>
      </w:r>
      <w:r w:rsidRPr="00F52C3C">
        <w:rPr>
          <w:rFonts w:ascii="Times New Roman" w:eastAsia="宋体" w:hAnsi="Times New Roman"/>
          <w:sz w:val="24"/>
          <w:szCs w:val="21"/>
        </w:rPr>
        <w:t>片，除去包衣，精密称定，研细，取</w:t>
      </w:r>
      <w:r w:rsidRPr="00F52C3C">
        <w:rPr>
          <w:rFonts w:ascii="Times New Roman" w:eastAsia="宋体" w:hAnsi="Times New Roman"/>
          <w:sz w:val="24"/>
          <w:szCs w:val="21"/>
        </w:rPr>
        <w:t>0.3g</w:t>
      </w:r>
      <w:r w:rsidRPr="00F52C3C">
        <w:rPr>
          <w:rFonts w:ascii="Times New Roman" w:eastAsia="宋体" w:hAnsi="Times New Roman"/>
          <w:sz w:val="24"/>
          <w:szCs w:val="21"/>
        </w:rPr>
        <w:t>，精密称定，置</w:t>
      </w:r>
      <w:r w:rsidRPr="00F52C3C">
        <w:rPr>
          <w:rFonts w:ascii="Times New Roman" w:eastAsia="宋体" w:hAnsi="Times New Roman"/>
          <w:sz w:val="24"/>
          <w:szCs w:val="21"/>
        </w:rPr>
        <w:t>50ml</w:t>
      </w:r>
      <w:r w:rsidRPr="00F52C3C">
        <w:rPr>
          <w:rFonts w:ascii="Times New Roman" w:eastAsia="宋体" w:hAnsi="Times New Roman"/>
          <w:sz w:val="24"/>
          <w:szCs w:val="21"/>
        </w:rPr>
        <w:t>量瓶中，加</w:t>
      </w:r>
      <w:r w:rsidRPr="00F52C3C">
        <w:rPr>
          <w:rFonts w:ascii="Times New Roman" w:eastAsia="宋体" w:hAnsi="Times New Roman"/>
          <w:sz w:val="24"/>
          <w:szCs w:val="21"/>
        </w:rPr>
        <w:t>50%</w:t>
      </w:r>
      <w:r w:rsidRPr="00F52C3C">
        <w:rPr>
          <w:rFonts w:ascii="Times New Roman" w:eastAsia="宋体" w:hAnsi="Times New Roman"/>
          <w:sz w:val="24"/>
          <w:szCs w:val="21"/>
        </w:rPr>
        <w:t>甲醇适量，超声处理（功率</w:t>
      </w:r>
      <w:r w:rsidRPr="00F52C3C">
        <w:rPr>
          <w:rFonts w:ascii="Times New Roman" w:eastAsia="宋体" w:hAnsi="Times New Roman"/>
          <w:sz w:val="24"/>
          <w:szCs w:val="21"/>
        </w:rPr>
        <w:t>200W</w:t>
      </w:r>
      <w:r w:rsidRPr="00F52C3C">
        <w:rPr>
          <w:rFonts w:ascii="Times New Roman" w:eastAsia="宋体" w:hAnsi="Times New Roman"/>
          <w:sz w:val="24"/>
          <w:szCs w:val="21"/>
        </w:rPr>
        <w:t>，频率</w:t>
      </w:r>
      <w:r w:rsidRPr="00F52C3C">
        <w:rPr>
          <w:rFonts w:ascii="Times New Roman" w:eastAsia="宋体" w:hAnsi="Times New Roman"/>
          <w:sz w:val="24"/>
          <w:szCs w:val="21"/>
        </w:rPr>
        <w:t>53kHz</w:t>
      </w:r>
      <w:r w:rsidRPr="00F52C3C">
        <w:rPr>
          <w:rFonts w:ascii="Times New Roman" w:eastAsia="宋体" w:hAnsi="Times New Roman"/>
          <w:sz w:val="24"/>
          <w:szCs w:val="21"/>
        </w:rPr>
        <w:t>）</w:t>
      </w:r>
      <w:r w:rsidRPr="00F52C3C">
        <w:rPr>
          <w:rFonts w:ascii="Times New Roman" w:eastAsia="宋体" w:hAnsi="Times New Roman"/>
          <w:sz w:val="24"/>
          <w:szCs w:val="21"/>
        </w:rPr>
        <w:t>30</w:t>
      </w:r>
      <w:r w:rsidRPr="00F52C3C">
        <w:rPr>
          <w:rFonts w:ascii="Times New Roman" w:eastAsia="宋体" w:hAnsi="Times New Roman"/>
          <w:sz w:val="24"/>
          <w:szCs w:val="21"/>
        </w:rPr>
        <w:t>分钟，放冷，用</w:t>
      </w:r>
      <w:r w:rsidRPr="00F52C3C">
        <w:rPr>
          <w:rFonts w:ascii="Times New Roman" w:eastAsia="宋体" w:hAnsi="Times New Roman"/>
          <w:sz w:val="24"/>
          <w:szCs w:val="21"/>
        </w:rPr>
        <w:t>50%</w:t>
      </w:r>
      <w:r w:rsidRPr="00F52C3C">
        <w:rPr>
          <w:rFonts w:ascii="Times New Roman" w:eastAsia="宋体" w:hAnsi="Times New Roman"/>
          <w:sz w:val="24"/>
          <w:szCs w:val="21"/>
        </w:rPr>
        <w:t>甲醇</w:t>
      </w:r>
      <w:proofErr w:type="gramStart"/>
      <w:r w:rsidRPr="00F52C3C">
        <w:rPr>
          <w:rFonts w:ascii="Times New Roman" w:eastAsia="宋体" w:hAnsi="Times New Roman"/>
          <w:sz w:val="24"/>
          <w:szCs w:val="21"/>
        </w:rPr>
        <w:t>定容至刻度</w:t>
      </w:r>
      <w:proofErr w:type="gramEnd"/>
      <w:r w:rsidRPr="00F52C3C">
        <w:rPr>
          <w:rFonts w:ascii="Times New Roman" w:eastAsia="宋体" w:hAnsi="Times New Roman"/>
          <w:sz w:val="24"/>
          <w:szCs w:val="21"/>
        </w:rPr>
        <w:t>，摇匀，滤过，</w:t>
      </w:r>
      <w:proofErr w:type="gramStart"/>
      <w:r w:rsidRPr="00F52C3C">
        <w:rPr>
          <w:rFonts w:ascii="Times New Roman" w:eastAsia="宋体" w:hAnsi="Times New Roman"/>
          <w:sz w:val="24"/>
          <w:szCs w:val="21"/>
        </w:rPr>
        <w:t>取续滤液</w:t>
      </w:r>
      <w:proofErr w:type="gramEnd"/>
      <w:r w:rsidRPr="00F52C3C">
        <w:rPr>
          <w:rFonts w:ascii="Times New Roman" w:eastAsia="宋体" w:hAnsi="Times New Roman"/>
          <w:sz w:val="24"/>
          <w:szCs w:val="21"/>
        </w:rPr>
        <w:t>，即得。</w:t>
      </w:r>
    </w:p>
    <w:p w:rsidR="00CD2B0B" w:rsidRPr="00F52C3C" w:rsidRDefault="00CD2B0B" w:rsidP="00CD2B0B">
      <w:pPr>
        <w:adjustRightInd w:val="0"/>
        <w:snapToGrid w:val="0"/>
        <w:spacing w:line="360" w:lineRule="auto"/>
        <w:ind w:firstLineChars="200" w:firstLine="482"/>
        <w:rPr>
          <w:rFonts w:ascii="Times New Roman" w:eastAsia="宋体" w:hAnsi="Times New Roman"/>
          <w:sz w:val="24"/>
          <w:szCs w:val="21"/>
        </w:rPr>
      </w:pPr>
      <w:r w:rsidRPr="00F52C3C">
        <w:rPr>
          <w:rFonts w:ascii="Times New Roman" w:eastAsia="宋体" w:hAnsi="Times New Roman"/>
          <w:b/>
          <w:sz w:val="24"/>
          <w:szCs w:val="21"/>
        </w:rPr>
        <w:t>测定法</w:t>
      </w:r>
      <w:r w:rsidRPr="00F52C3C">
        <w:rPr>
          <w:rFonts w:ascii="Times New Roman" w:eastAsia="宋体" w:hAnsi="Times New Roman"/>
          <w:sz w:val="24"/>
          <w:szCs w:val="21"/>
        </w:rPr>
        <w:t xml:space="preserve">  </w:t>
      </w:r>
      <w:r w:rsidRPr="00F52C3C">
        <w:rPr>
          <w:rFonts w:ascii="Times New Roman" w:eastAsia="宋体" w:hAnsi="Times New Roman"/>
          <w:sz w:val="24"/>
          <w:szCs w:val="21"/>
        </w:rPr>
        <w:t>分别精密吸取对照品溶液与</w:t>
      </w:r>
      <w:proofErr w:type="gramStart"/>
      <w:r w:rsidRPr="00F52C3C">
        <w:rPr>
          <w:rFonts w:ascii="Times New Roman" w:eastAsia="宋体" w:hAnsi="Times New Roman"/>
          <w:sz w:val="24"/>
          <w:szCs w:val="21"/>
        </w:rPr>
        <w:t>供试品溶液</w:t>
      </w:r>
      <w:proofErr w:type="gramEnd"/>
      <w:r w:rsidRPr="00F52C3C">
        <w:rPr>
          <w:rFonts w:ascii="Times New Roman" w:eastAsia="宋体" w:hAnsi="Times New Roman"/>
          <w:sz w:val="24"/>
          <w:szCs w:val="21"/>
        </w:rPr>
        <w:t>各</w:t>
      </w:r>
      <w:r w:rsidRPr="00F52C3C">
        <w:rPr>
          <w:rFonts w:ascii="Times New Roman" w:eastAsia="宋体" w:hAnsi="Times New Roman"/>
          <w:sz w:val="24"/>
          <w:szCs w:val="21"/>
        </w:rPr>
        <w:t>1μl</w:t>
      </w:r>
      <w:r w:rsidRPr="00F52C3C">
        <w:rPr>
          <w:rFonts w:ascii="Times New Roman" w:eastAsia="宋体" w:hAnsi="Times New Roman"/>
          <w:sz w:val="24"/>
          <w:szCs w:val="21"/>
        </w:rPr>
        <w:t>，注入液相色谱</w:t>
      </w:r>
      <w:r w:rsidRPr="00F52C3C">
        <w:rPr>
          <w:rFonts w:ascii="Times New Roman" w:eastAsia="宋体" w:hAnsi="Times New Roman"/>
          <w:sz w:val="24"/>
          <w:szCs w:val="21"/>
        </w:rPr>
        <w:t>-</w:t>
      </w:r>
      <w:r w:rsidRPr="00F52C3C">
        <w:rPr>
          <w:rFonts w:ascii="Times New Roman" w:eastAsia="宋体" w:hAnsi="Times New Roman"/>
          <w:sz w:val="24"/>
          <w:szCs w:val="21"/>
        </w:rPr>
        <w:t>质谱联用仪，测定，即得。</w:t>
      </w:r>
    </w:p>
    <w:p w:rsidR="00CD2B0B" w:rsidRPr="00AF4692" w:rsidRDefault="00CD2B0B" w:rsidP="00CD2B0B">
      <w:pPr>
        <w:adjustRightInd w:val="0"/>
        <w:snapToGrid w:val="0"/>
        <w:spacing w:line="360" w:lineRule="auto"/>
        <w:ind w:firstLineChars="200" w:firstLine="480"/>
      </w:pPr>
      <w:r w:rsidRPr="00F52C3C">
        <w:rPr>
          <w:rFonts w:ascii="Times New Roman" w:eastAsia="宋体" w:hAnsi="Times New Roman"/>
          <w:sz w:val="24"/>
          <w:szCs w:val="21"/>
        </w:rPr>
        <w:t>供试品色谱中不得呈现与对照品色谱峰保留时间相对应的色谱峰；若检出色谱峰的保留时间与对照品一致，且所选的两个离子对均出现，而且所选的检测离子对峰面积比与对照品的检测离子峰面积比一致（相对比例＞</w:t>
      </w:r>
      <w:r w:rsidRPr="00F52C3C">
        <w:rPr>
          <w:rFonts w:ascii="Times New Roman" w:eastAsia="宋体" w:hAnsi="Times New Roman"/>
          <w:sz w:val="24"/>
          <w:szCs w:val="21"/>
        </w:rPr>
        <w:t>50%</w:t>
      </w:r>
      <w:r w:rsidRPr="00F52C3C">
        <w:rPr>
          <w:rFonts w:ascii="Times New Roman" w:eastAsia="宋体" w:hAnsi="Times New Roman"/>
          <w:sz w:val="24"/>
          <w:szCs w:val="21"/>
        </w:rPr>
        <w:t>，允许</w:t>
      </w:r>
      <w:r w:rsidRPr="00F52C3C">
        <w:rPr>
          <w:rFonts w:ascii="Times New Roman" w:eastAsia="宋体" w:hAnsi="Times New Roman"/>
          <w:sz w:val="24"/>
          <w:szCs w:val="21"/>
        </w:rPr>
        <w:t>±25%</w:t>
      </w:r>
      <w:r w:rsidRPr="00F52C3C">
        <w:rPr>
          <w:rFonts w:ascii="Times New Roman" w:eastAsia="宋体" w:hAnsi="Times New Roman"/>
          <w:sz w:val="24"/>
          <w:szCs w:val="21"/>
        </w:rPr>
        <w:t>偏差：相对比例＞</w:t>
      </w:r>
      <w:r w:rsidRPr="00F52C3C">
        <w:rPr>
          <w:rFonts w:ascii="Times New Roman" w:eastAsia="宋体" w:hAnsi="Times New Roman"/>
          <w:sz w:val="24"/>
          <w:szCs w:val="21"/>
        </w:rPr>
        <w:t>10%~20%</w:t>
      </w:r>
      <w:r w:rsidRPr="00F52C3C">
        <w:rPr>
          <w:rFonts w:ascii="Times New Roman" w:eastAsia="宋体" w:hAnsi="Times New Roman"/>
          <w:sz w:val="24"/>
          <w:szCs w:val="21"/>
        </w:rPr>
        <w:t>，允许</w:t>
      </w:r>
      <w:r w:rsidRPr="00F52C3C">
        <w:rPr>
          <w:rFonts w:ascii="Times New Roman" w:eastAsia="宋体" w:hAnsi="Times New Roman"/>
          <w:sz w:val="24"/>
          <w:szCs w:val="21"/>
        </w:rPr>
        <w:t>±30%</w:t>
      </w:r>
      <w:r w:rsidRPr="00F52C3C">
        <w:rPr>
          <w:rFonts w:ascii="Times New Roman" w:eastAsia="宋体" w:hAnsi="Times New Roman"/>
          <w:sz w:val="24"/>
          <w:szCs w:val="21"/>
        </w:rPr>
        <w:t>偏差；相对比例</w:t>
      </w:r>
      <w:r w:rsidRPr="00F52C3C">
        <w:rPr>
          <w:rFonts w:ascii="Times New Roman" w:eastAsia="宋体" w:hAnsi="Times New Roman"/>
          <w:sz w:val="24"/>
          <w:szCs w:val="21"/>
        </w:rPr>
        <w:t>≤10%</w:t>
      </w:r>
      <w:r w:rsidRPr="00F52C3C">
        <w:rPr>
          <w:rFonts w:ascii="Times New Roman" w:eastAsia="宋体" w:hAnsi="Times New Roman"/>
          <w:sz w:val="24"/>
          <w:szCs w:val="21"/>
        </w:rPr>
        <w:t>，允许</w:t>
      </w:r>
      <w:r w:rsidRPr="00F52C3C">
        <w:rPr>
          <w:rFonts w:ascii="Times New Roman" w:eastAsia="宋体" w:hAnsi="Times New Roman"/>
          <w:sz w:val="24"/>
          <w:szCs w:val="21"/>
        </w:rPr>
        <w:t>±50%</w:t>
      </w:r>
      <w:r w:rsidRPr="00F52C3C">
        <w:rPr>
          <w:rFonts w:ascii="Times New Roman" w:eastAsia="宋体" w:hAnsi="Times New Roman"/>
          <w:sz w:val="24"/>
          <w:szCs w:val="21"/>
        </w:rPr>
        <w:t>偏差</w:t>
      </w:r>
      <w:r w:rsidRPr="00F52C3C">
        <w:rPr>
          <w:rFonts w:ascii="Times New Roman" w:eastAsia="宋体" w:hAnsi="Times New Roman"/>
          <w:sz w:val="24"/>
          <w:szCs w:val="21"/>
        </w:rPr>
        <w:t>)</w:t>
      </w:r>
      <w:r w:rsidRPr="00F52C3C">
        <w:rPr>
          <w:rFonts w:ascii="Times New Roman" w:eastAsia="宋体" w:hAnsi="Times New Roman"/>
          <w:sz w:val="24"/>
          <w:szCs w:val="21"/>
        </w:rPr>
        <w:t>，则可判断样品中存在该物质。如果不能确证，选用其他监测离子对重新进样确证或选用其他检测方式的分析仪器来确证，如选用高分辨率质谱等确证手段。</w:t>
      </w:r>
      <w:bookmarkStart w:id="0" w:name="_GoBack"/>
      <w:bookmarkEnd w:id="0"/>
    </w:p>
    <w:p w:rsidR="000215F8" w:rsidRPr="00CD2B0B" w:rsidRDefault="000215F8"/>
    <w:sectPr w:rsidR="000215F8" w:rsidRPr="00CD2B0B" w:rsidSect="008A6D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B0B" w:rsidRDefault="00CD2B0B" w:rsidP="00CD2B0B">
      <w:r>
        <w:separator/>
      </w:r>
    </w:p>
  </w:endnote>
  <w:endnote w:type="continuationSeparator" w:id="0">
    <w:p w:rsidR="00CD2B0B" w:rsidRDefault="00CD2B0B" w:rsidP="00CD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B0B" w:rsidRDefault="00CD2B0B" w:rsidP="00CD2B0B">
      <w:r>
        <w:separator/>
      </w:r>
    </w:p>
  </w:footnote>
  <w:footnote w:type="continuationSeparator" w:id="0">
    <w:p w:rsidR="00CD2B0B" w:rsidRDefault="00CD2B0B" w:rsidP="00CD2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C4"/>
    <w:rsid w:val="000215F8"/>
    <w:rsid w:val="00105599"/>
    <w:rsid w:val="004700C4"/>
    <w:rsid w:val="00CD2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B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2B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2B0B"/>
    <w:rPr>
      <w:sz w:val="18"/>
      <w:szCs w:val="18"/>
    </w:rPr>
  </w:style>
  <w:style w:type="paragraph" w:styleId="a4">
    <w:name w:val="footer"/>
    <w:basedOn w:val="a"/>
    <w:link w:val="Char0"/>
    <w:uiPriority w:val="99"/>
    <w:unhideWhenUsed/>
    <w:rsid w:val="00CD2B0B"/>
    <w:pPr>
      <w:tabs>
        <w:tab w:val="center" w:pos="4153"/>
        <w:tab w:val="right" w:pos="8306"/>
      </w:tabs>
      <w:snapToGrid w:val="0"/>
      <w:jc w:val="left"/>
    </w:pPr>
    <w:rPr>
      <w:sz w:val="18"/>
      <w:szCs w:val="18"/>
    </w:rPr>
  </w:style>
  <w:style w:type="character" w:customStyle="1" w:styleId="Char0">
    <w:name w:val="页脚 Char"/>
    <w:basedOn w:val="a0"/>
    <w:link w:val="a4"/>
    <w:uiPriority w:val="99"/>
    <w:rsid w:val="00CD2B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B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2B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2B0B"/>
    <w:rPr>
      <w:sz w:val="18"/>
      <w:szCs w:val="18"/>
    </w:rPr>
  </w:style>
  <w:style w:type="paragraph" w:styleId="a4">
    <w:name w:val="footer"/>
    <w:basedOn w:val="a"/>
    <w:link w:val="Char0"/>
    <w:uiPriority w:val="99"/>
    <w:unhideWhenUsed/>
    <w:rsid w:val="00CD2B0B"/>
    <w:pPr>
      <w:tabs>
        <w:tab w:val="center" w:pos="4153"/>
        <w:tab w:val="right" w:pos="8306"/>
      </w:tabs>
      <w:snapToGrid w:val="0"/>
      <w:jc w:val="left"/>
    </w:pPr>
    <w:rPr>
      <w:sz w:val="18"/>
      <w:szCs w:val="18"/>
    </w:rPr>
  </w:style>
  <w:style w:type="character" w:customStyle="1" w:styleId="Char0">
    <w:name w:val="页脚 Char"/>
    <w:basedOn w:val="a0"/>
    <w:link w:val="a4"/>
    <w:uiPriority w:val="99"/>
    <w:rsid w:val="00CD2B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809</Characters>
  <Application>Microsoft Office Word</Application>
  <DocSecurity>0</DocSecurity>
  <Lines>6</Lines>
  <Paragraphs>1</Paragraphs>
  <ScaleCrop>false</ScaleCrop>
  <Company>P R C</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2022-03-01T01:58:00Z</dcterms:created>
  <dcterms:modified xsi:type="dcterms:W3CDTF">2022-03-01T01:58:00Z</dcterms:modified>
</cp:coreProperties>
</file>