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FDD" w:rsidRPr="00BC0FDD" w:rsidRDefault="00BC0FDD" w:rsidP="00BC0FDD">
      <w:pPr>
        <w:spacing w:before="0" w:beforeAutospacing="0" w:after="0" w:afterAutospacing="0"/>
        <w:jc w:val="center"/>
        <w:rPr>
          <w:b/>
          <w:sz w:val="28"/>
          <w:szCs w:val="21"/>
        </w:rPr>
      </w:pPr>
      <w:bookmarkStart w:id="0" w:name="_GoBack"/>
      <w:proofErr w:type="gramStart"/>
      <w:r w:rsidRPr="00BC0FDD">
        <w:rPr>
          <w:rFonts w:hAnsi="宋体" w:cs="Times New Roman" w:hint="eastAsia"/>
          <w:b/>
          <w:color w:val="000000"/>
          <w:kern w:val="0"/>
          <w:sz w:val="28"/>
          <w:szCs w:val="21"/>
        </w:rPr>
        <w:t>脑安片</w:t>
      </w:r>
      <w:proofErr w:type="gramEnd"/>
      <w:r w:rsidRPr="00BC0FDD">
        <w:rPr>
          <w:rFonts w:hAnsi="宋体" w:cs="Times New Roman"/>
          <w:b/>
          <w:color w:val="000000"/>
          <w:kern w:val="0"/>
          <w:sz w:val="28"/>
          <w:szCs w:val="21"/>
        </w:rPr>
        <w:t>中</w:t>
      </w:r>
      <w:r w:rsidRPr="00BC0FDD">
        <w:rPr>
          <w:rFonts w:hAnsi="宋体" w:cs="Times New Roman" w:hint="eastAsia"/>
          <w:b/>
          <w:color w:val="000000"/>
          <w:kern w:val="0"/>
          <w:sz w:val="28"/>
          <w:szCs w:val="21"/>
        </w:rPr>
        <w:t>川芎当归</w:t>
      </w:r>
      <w:r w:rsidRPr="00BC0FDD">
        <w:rPr>
          <w:rFonts w:hAnsi="宋体" w:cs="Times New Roman"/>
          <w:b/>
          <w:color w:val="000000"/>
          <w:kern w:val="0"/>
          <w:sz w:val="28"/>
          <w:szCs w:val="21"/>
        </w:rPr>
        <w:t>的</w:t>
      </w:r>
      <w:r w:rsidRPr="00BC0FDD">
        <w:rPr>
          <w:rFonts w:hAnsi="宋体" w:cs="Times New Roman" w:hint="eastAsia"/>
          <w:b/>
          <w:color w:val="000000"/>
          <w:kern w:val="0"/>
          <w:sz w:val="28"/>
          <w:szCs w:val="21"/>
        </w:rPr>
        <w:t>薄层鉴别</w:t>
      </w:r>
      <w:r w:rsidRPr="00BC0FDD">
        <w:rPr>
          <w:rFonts w:hAnsi="宋体" w:cs="Times New Roman"/>
          <w:b/>
          <w:color w:val="000000"/>
          <w:kern w:val="0"/>
          <w:sz w:val="28"/>
          <w:szCs w:val="21"/>
        </w:rPr>
        <w:t>方法</w:t>
      </w:r>
    </w:p>
    <w:bookmarkEnd w:id="0"/>
    <w:p w:rsidR="005643BC" w:rsidRPr="00BC0FDD" w:rsidRDefault="00BC0FDD" w:rsidP="00BC0FDD">
      <w:pPr>
        <w:widowControl/>
        <w:spacing w:before="0" w:beforeAutospacing="0" w:after="0" w:afterAutospacing="0"/>
        <w:ind w:firstLineChars="196" w:firstLine="470"/>
        <w:rPr>
          <w:sz w:val="24"/>
        </w:rPr>
      </w:pPr>
      <w:r w:rsidRPr="00BC0FDD">
        <w:rPr>
          <w:rFonts w:cs="Times New Roman"/>
          <w:sz w:val="24"/>
          <w:szCs w:val="21"/>
        </w:rPr>
        <w:t>取本品</w:t>
      </w:r>
      <w:r w:rsidRPr="00BC0FDD">
        <w:rPr>
          <w:rFonts w:cs="Times New Roman"/>
          <w:sz w:val="24"/>
          <w:szCs w:val="21"/>
        </w:rPr>
        <w:t>2</w:t>
      </w:r>
      <w:r w:rsidRPr="00BC0FDD">
        <w:rPr>
          <w:rFonts w:cs="Times New Roman"/>
          <w:sz w:val="24"/>
          <w:szCs w:val="21"/>
        </w:rPr>
        <w:t>片，除去包衣，研细，加乙酸乙酯</w:t>
      </w:r>
      <w:r w:rsidRPr="00BC0FDD">
        <w:rPr>
          <w:rFonts w:cs="Times New Roman"/>
          <w:sz w:val="24"/>
          <w:szCs w:val="21"/>
        </w:rPr>
        <w:t>-</w:t>
      </w:r>
      <w:r w:rsidRPr="00BC0FDD">
        <w:rPr>
          <w:rFonts w:cs="Times New Roman"/>
          <w:sz w:val="24"/>
          <w:szCs w:val="21"/>
        </w:rPr>
        <w:t>甲酸（</w:t>
      </w:r>
      <w:r w:rsidRPr="00BC0FDD">
        <w:rPr>
          <w:rFonts w:cs="Times New Roman"/>
          <w:sz w:val="24"/>
          <w:szCs w:val="21"/>
        </w:rPr>
        <w:t>95: 5</w:t>
      </w:r>
      <w:r w:rsidRPr="00BC0FDD">
        <w:rPr>
          <w:rFonts w:cs="Times New Roman"/>
          <w:sz w:val="24"/>
          <w:szCs w:val="21"/>
        </w:rPr>
        <w:t>）</w:t>
      </w:r>
      <w:r w:rsidRPr="00BC0FDD">
        <w:rPr>
          <w:rFonts w:cs="Times New Roman"/>
          <w:sz w:val="24"/>
          <w:szCs w:val="21"/>
        </w:rPr>
        <w:t>10ml</w:t>
      </w:r>
      <w:r w:rsidRPr="00BC0FDD">
        <w:rPr>
          <w:rFonts w:cs="Times New Roman"/>
          <w:sz w:val="24"/>
          <w:szCs w:val="21"/>
        </w:rPr>
        <w:t>，超声处理</w:t>
      </w:r>
      <w:r w:rsidRPr="00BC0FDD">
        <w:rPr>
          <w:rFonts w:cs="Times New Roman"/>
          <w:sz w:val="24"/>
          <w:szCs w:val="21"/>
        </w:rPr>
        <w:t>10</w:t>
      </w:r>
      <w:r w:rsidRPr="00BC0FDD">
        <w:rPr>
          <w:rFonts w:cs="Times New Roman"/>
          <w:sz w:val="24"/>
          <w:szCs w:val="21"/>
        </w:rPr>
        <w:t>分钟，滤过，滤液蒸干，残渣加甲醇</w:t>
      </w:r>
      <w:r w:rsidRPr="00BC0FDD">
        <w:rPr>
          <w:rFonts w:cs="Times New Roman"/>
          <w:sz w:val="24"/>
          <w:szCs w:val="21"/>
        </w:rPr>
        <w:t>1ml</w:t>
      </w:r>
      <w:r w:rsidRPr="00BC0FDD">
        <w:rPr>
          <w:rFonts w:cs="Times New Roman"/>
          <w:sz w:val="24"/>
          <w:szCs w:val="21"/>
        </w:rPr>
        <w:t>使溶解，作为</w:t>
      </w:r>
      <w:proofErr w:type="gramStart"/>
      <w:r w:rsidRPr="00BC0FDD">
        <w:rPr>
          <w:rFonts w:cs="Times New Roman"/>
          <w:sz w:val="24"/>
          <w:szCs w:val="21"/>
        </w:rPr>
        <w:t>供试品溶液</w:t>
      </w:r>
      <w:proofErr w:type="gramEnd"/>
      <w:r w:rsidRPr="00BC0FDD">
        <w:rPr>
          <w:rFonts w:cs="Times New Roman"/>
          <w:sz w:val="24"/>
          <w:szCs w:val="21"/>
        </w:rPr>
        <w:t>。另取川芎对照药材、当归对照药材各</w:t>
      </w:r>
      <w:r w:rsidRPr="00BC0FDD">
        <w:rPr>
          <w:rFonts w:cs="Times New Roman"/>
          <w:sz w:val="24"/>
          <w:szCs w:val="21"/>
        </w:rPr>
        <w:t>2g</w:t>
      </w:r>
      <w:r w:rsidRPr="00BC0FDD">
        <w:rPr>
          <w:rFonts w:cs="Times New Roman"/>
          <w:sz w:val="24"/>
          <w:szCs w:val="21"/>
        </w:rPr>
        <w:t>，分别同法制成对照药材溶液。照薄层色谱法（通则</w:t>
      </w:r>
      <w:r w:rsidRPr="00BC0FDD">
        <w:rPr>
          <w:rFonts w:cs="Times New Roman"/>
          <w:sz w:val="24"/>
          <w:szCs w:val="21"/>
        </w:rPr>
        <w:t>0502</w:t>
      </w:r>
      <w:r w:rsidRPr="00BC0FDD">
        <w:rPr>
          <w:rFonts w:cs="Times New Roman"/>
          <w:sz w:val="24"/>
          <w:szCs w:val="21"/>
        </w:rPr>
        <w:t>）试验，吸取上述三种溶液各</w:t>
      </w:r>
      <w:r w:rsidRPr="00BC0FDD">
        <w:rPr>
          <w:rFonts w:cs="Times New Roman"/>
          <w:sz w:val="24"/>
          <w:szCs w:val="21"/>
        </w:rPr>
        <w:t xml:space="preserve">2μl, </w:t>
      </w:r>
      <w:r w:rsidRPr="00BC0FDD">
        <w:rPr>
          <w:rFonts w:cs="Times New Roman"/>
          <w:sz w:val="24"/>
          <w:szCs w:val="21"/>
        </w:rPr>
        <w:t>分别点于同一硅胶</w:t>
      </w:r>
      <w:r w:rsidRPr="00BC0FDD">
        <w:rPr>
          <w:rFonts w:cs="Times New Roman"/>
          <w:sz w:val="24"/>
          <w:szCs w:val="21"/>
        </w:rPr>
        <w:t>G</w:t>
      </w:r>
      <w:r w:rsidRPr="00BC0FDD">
        <w:rPr>
          <w:rFonts w:cs="Times New Roman"/>
          <w:sz w:val="24"/>
          <w:szCs w:val="21"/>
        </w:rPr>
        <w:t>薄层板上，以甲苯</w:t>
      </w:r>
      <w:r w:rsidRPr="00BC0FDD">
        <w:rPr>
          <w:rFonts w:cs="Times New Roman"/>
          <w:sz w:val="24"/>
          <w:szCs w:val="21"/>
        </w:rPr>
        <w:t>-</w:t>
      </w:r>
      <w:r w:rsidRPr="00BC0FDD">
        <w:rPr>
          <w:rFonts w:cs="Times New Roman"/>
          <w:kern w:val="0"/>
          <w:sz w:val="24"/>
          <w:szCs w:val="21"/>
        </w:rPr>
        <w:t>乙酸乙酯</w:t>
      </w:r>
      <w:r w:rsidRPr="00BC0FDD">
        <w:rPr>
          <w:rFonts w:cs="Times New Roman"/>
          <w:kern w:val="0"/>
          <w:sz w:val="24"/>
          <w:szCs w:val="21"/>
        </w:rPr>
        <w:t>-</w:t>
      </w:r>
      <w:r w:rsidRPr="00BC0FDD">
        <w:rPr>
          <w:rFonts w:cs="Times New Roman"/>
          <w:kern w:val="0"/>
          <w:sz w:val="24"/>
          <w:szCs w:val="21"/>
        </w:rPr>
        <w:t>甲酸（</w:t>
      </w:r>
      <w:r w:rsidRPr="00BC0FDD">
        <w:rPr>
          <w:rFonts w:cs="Times New Roman"/>
          <w:kern w:val="0"/>
          <w:sz w:val="24"/>
          <w:szCs w:val="21"/>
        </w:rPr>
        <w:t>4</w:t>
      </w:r>
      <w:r w:rsidRPr="00BC0FDD">
        <w:rPr>
          <w:rFonts w:cs="Times New Roman" w:hint="eastAsia"/>
          <w:kern w:val="0"/>
          <w:sz w:val="24"/>
          <w:szCs w:val="21"/>
        </w:rPr>
        <w:t>:</w:t>
      </w:r>
      <w:r w:rsidRPr="00BC0FDD">
        <w:rPr>
          <w:rFonts w:cs="Times New Roman"/>
          <w:kern w:val="0"/>
          <w:sz w:val="24"/>
          <w:szCs w:val="21"/>
        </w:rPr>
        <w:t>1</w:t>
      </w:r>
      <w:r w:rsidRPr="00BC0FDD">
        <w:rPr>
          <w:rFonts w:cs="Times New Roman" w:hint="eastAsia"/>
          <w:kern w:val="0"/>
          <w:sz w:val="24"/>
          <w:szCs w:val="21"/>
        </w:rPr>
        <w:t>:</w:t>
      </w:r>
      <w:r w:rsidRPr="00BC0FDD">
        <w:rPr>
          <w:rFonts w:cs="Times New Roman"/>
          <w:kern w:val="0"/>
          <w:sz w:val="24"/>
          <w:szCs w:val="21"/>
        </w:rPr>
        <w:t>0.1</w:t>
      </w:r>
      <w:r w:rsidRPr="00BC0FDD">
        <w:rPr>
          <w:rFonts w:cs="Times New Roman"/>
          <w:kern w:val="0"/>
          <w:sz w:val="24"/>
          <w:szCs w:val="21"/>
        </w:rPr>
        <w:t>）</w:t>
      </w:r>
      <w:r w:rsidRPr="00BC0FDD">
        <w:rPr>
          <w:rFonts w:cs="Times New Roman"/>
          <w:sz w:val="24"/>
          <w:szCs w:val="21"/>
        </w:rPr>
        <w:t>为展开剂，展开，取出，晾干，置紫外光灯</w:t>
      </w:r>
      <w:r w:rsidRPr="00BC0FDD">
        <w:rPr>
          <w:rFonts w:cs="Times New Roman"/>
          <w:sz w:val="24"/>
          <w:szCs w:val="21"/>
        </w:rPr>
        <w:t>(365nm)</w:t>
      </w:r>
      <w:r w:rsidRPr="00BC0FDD">
        <w:rPr>
          <w:rFonts w:cs="Times New Roman"/>
          <w:sz w:val="24"/>
          <w:szCs w:val="21"/>
        </w:rPr>
        <w:t>下检视。供试品色谱中在与对照药材色谱相应的位置上，</w:t>
      </w:r>
      <w:proofErr w:type="gramStart"/>
      <w:r w:rsidRPr="00BC0FDD">
        <w:rPr>
          <w:rFonts w:cs="Times New Roman"/>
          <w:sz w:val="24"/>
          <w:szCs w:val="21"/>
        </w:rPr>
        <w:t>显相同</w:t>
      </w:r>
      <w:proofErr w:type="gramEnd"/>
      <w:r w:rsidRPr="00BC0FDD">
        <w:rPr>
          <w:rFonts w:cs="Times New Roman"/>
          <w:sz w:val="24"/>
          <w:szCs w:val="21"/>
        </w:rPr>
        <w:t>颜色的荧光斑点。</w:t>
      </w:r>
    </w:p>
    <w:sectPr w:rsidR="005643BC" w:rsidRPr="00BC0F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FDD" w:rsidRDefault="00BC0FDD" w:rsidP="00BC0FDD">
      <w:pPr>
        <w:spacing w:before="0" w:after="0" w:line="240" w:lineRule="auto"/>
      </w:pPr>
      <w:r>
        <w:separator/>
      </w:r>
    </w:p>
  </w:endnote>
  <w:endnote w:type="continuationSeparator" w:id="0">
    <w:p w:rsidR="00BC0FDD" w:rsidRDefault="00BC0FDD" w:rsidP="00BC0FD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FDD" w:rsidRDefault="00BC0FDD" w:rsidP="00BC0FDD">
      <w:pPr>
        <w:spacing w:before="0" w:after="0" w:line="240" w:lineRule="auto"/>
      </w:pPr>
      <w:r>
        <w:separator/>
      </w:r>
    </w:p>
  </w:footnote>
  <w:footnote w:type="continuationSeparator" w:id="0">
    <w:p w:rsidR="00BC0FDD" w:rsidRDefault="00BC0FDD" w:rsidP="00BC0FDD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770"/>
    <w:rsid w:val="0021195F"/>
    <w:rsid w:val="005643BC"/>
    <w:rsid w:val="00BC0FDD"/>
    <w:rsid w:val="00F1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FDD"/>
    <w:pPr>
      <w:widowControl w:val="0"/>
      <w:spacing w:before="100" w:beforeAutospacing="1" w:after="100" w:afterAutospacing="1" w:line="360" w:lineRule="auto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0F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0" w:beforeAutospacing="0" w:after="0" w:afterAutospacing="0" w:line="240" w:lineRule="auto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0F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0FDD"/>
    <w:pPr>
      <w:tabs>
        <w:tab w:val="center" w:pos="4153"/>
        <w:tab w:val="right" w:pos="8306"/>
      </w:tabs>
      <w:snapToGrid w:val="0"/>
      <w:spacing w:before="0" w:beforeAutospacing="0" w:after="0" w:afterAutospacing="0" w:line="240" w:lineRule="auto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0F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FDD"/>
    <w:pPr>
      <w:widowControl w:val="0"/>
      <w:spacing w:before="100" w:beforeAutospacing="1" w:after="100" w:afterAutospacing="1" w:line="360" w:lineRule="auto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0F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0" w:beforeAutospacing="0" w:after="0" w:afterAutospacing="0" w:line="240" w:lineRule="auto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0F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0FDD"/>
    <w:pPr>
      <w:tabs>
        <w:tab w:val="center" w:pos="4153"/>
        <w:tab w:val="right" w:pos="8306"/>
      </w:tabs>
      <w:snapToGrid w:val="0"/>
      <w:spacing w:before="0" w:beforeAutospacing="0" w:after="0" w:afterAutospacing="0" w:line="240" w:lineRule="auto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0F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>P R C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2022-02-25T07:12:00Z</dcterms:created>
  <dcterms:modified xsi:type="dcterms:W3CDTF">2022-02-25T07:12:00Z</dcterms:modified>
</cp:coreProperties>
</file>