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E5" w:rsidRPr="00BF1FE5" w:rsidRDefault="00BF1FE5" w:rsidP="00BF1FE5">
      <w:pPr>
        <w:spacing w:line="360" w:lineRule="auto"/>
        <w:ind w:firstLineChars="200" w:firstLine="562"/>
        <w:jc w:val="center"/>
        <w:rPr>
          <w:rFonts w:asciiTheme="minorEastAsia" w:hAnsiTheme="minorEastAsia" w:hint="eastAsia"/>
          <w:b/>
          <w:bCs/>
          <w:sz w:val="28"/>
          <w:szCs w:val="28"/>
        </w:rPr>
      </w:pPr>
      <w:r w:rsidRPr="00BF1FE5">
        <w:rPr>
          <w:rFonts w:asciiTheme="minorEastAsia" w:hAnsiTheme="minorEastAsia" w:hint="eastAsia"/>
          <w:b/>
          <w:bCs/>
          <w:sz w:val="28"/>
          <w:szCs w:val="28"/>
        </w:rPr>
        <w:t>感冒清热颗粒中留兰香检查及薄荷脑和</w:t>
      </w:r>
      <w:proofErr w:type="gramStart"/>
      <w:r w:rsidRPr="00BF1FE5">
        <w:rPr>
          <w:rFonts w:asciiTheme="minorEastAsia" w:hAnsiTheme="minorEastAsia" w:hint="eastAsia"/>
          <w:b/>
          <w:bCs/>
          <w:sz w:val="28"/>
          <w:szCs w:val="28"/>
        </w:rPr>
        <w:t>胡薄荷</w:t>
      </w:r>
      <w:proofErr w:type="gramEnd"/>
      <w:r w:rsidRPr="00BF1FE5">
        <w:rPr>
          <w:rFonts w:asciiTheme="minorEastAsia" w:hAnsiTheme="minorEastAsia" w:hint="eastAsia"/>
          <w:b/>
          <w:bCs/>
          <w:sz w:val="28"/>
          <w:szCs w:val="28"/>
        </w:rPr>
        <w:t>酮的含量方法</w:t>
      </w:r>
    </w:p>
    <w:p w:rsidR="002B5DD6" w:rsidRDefault="002B5DD6" w:rsidP="00097681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r>
        <w:rPr>
          <w:rFonts w:ascii="黑体" w:eastAsia="黑体" w:hAnsi="黑体" w:hint="eastAsia"/>
          <w:bCs/>
          <w:sz w:val="24"/>
          <w:szCs w:val="28"/>
        </w:rPr>
        <w:t xml:space="preserve">【检查】留兰香  </w:t>
      </w:r>
      <w:r>
        <w:rPr>
          <w:rFonts w:ascii="宋体" w:hAnsi="宋体" w:cs="宋体" w:hint="eastAsia"/>
          <w:sz w:val="24"/>
          <w:szCs w:val="24"/>
        </w:rPr>
        <w:t>照气相色谱法（中国药典</w:t>
      </w:r>
      <w:r>
        <w:rPr>
          <w:rFonts w:ascii="宋体" w:hAnsi="宋体" w:cs="宋体"/>
          <w:sz w:val="24"/>
          <w:szCs w:val="24"/>
        </w:rPr>
        <w:t>2020</w:t>
      </w:r>
      <w:r>
        <w:rPr>
          <w:rFonts w:ascii="宋体" w:hAnsi="宋体" w:cs="宋体" w:hint="eastAsia"/>
          <w:sz w:val="24"/>
          <w:szCs w:val="24"/>
        </w:rPr>
        <w:t>年版通则</w:t>
      </w:r>
      <w:r>
        <w:rPr>
          <w:rFonts w:ascii="宋体" w:hAnsi="宋体" w:cs="宋体"/>
          <w:sz w:val="24"/>
          <w:szCs w:val="24"/>
        </w:rPr>
        <w:t>05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）测定。</w:t>
      </w:r>
    </w:p>
    <w:p w:rsidR="002B5DD6" w:rsidRDefault="002B5DD6" w:rsidP="00097681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色谱条件及溶液制备同含量测定项下。</w:t>
      </w:r>
    </w:p>
    <w:p w:rsidR="002B5DD6" w:rsidRDefault="002B5DD6" w:rsidP="00097681">
      <w:pPr>
        <w:spacing w:line="360" w:lineRule="auto"/>
        <w:ind w:firstLineChars="200" w:firstLine="480"/>
        <w:rPr>
          <w:rFonts w:ascii="黑体" w:eastAsia="黑体" w:hAnsi="黑体"/>
          <w:bCs/>
          <w:sz w:val="24"/>
          <w:szCs w:val="28"/>
        </w:rPr>
      </w:pPr>
      <w:r w:rsidRPr="002B5DD6">
        <w:rPr>
          <w:rFonts w:ascii="黑体" w:eastAsia="黑体" w:hAnsi="黑体" w:hint="eastAsia"/>
          <w:sz w:val="24"/>
        </w:rPr>
        <w:t>判定依据</w:t>
      </w:r>
      <w:r>
        <w:rPr>
          <w:rFonts w:hint="eastAsia"/>
          <w:sz w:val="24"/>
        </w:rPr>
        <w:t xml:space="preserve">  </w:t>
      </w:r>
      <w:proofErr w:type="gramStart"/>
      <w:r>
        <w:rPr>
          <w:rFonts w:hint="eastAsia"/>
          <w:sz w:val="24"/>
        </w:rPr>
        <w:t>供试品溶液</w:t>
      </w:r>
      <w:proofErr w:type="gramEnd"/>
      <w:r>
        <w:rPr>
          <w:rFonts w:hint="eastAsia"/>
          <w:sz w:val="24"/>
        </w:rPr>
        <w:t>中</w:t>
      </w:r>
      <w:r w:rsidRPr="00174D1C">
        <w:rPr>
          <w:rFonts w:hint="eastAsia"/>
          <w:sz w:val="24"/>
        </w:rPr>
        <w:t>香芹酮的色谱峰面积</w:t>
      </w:r>
      <w:proofErr w:type="gramStart"/>
      <w:r w:rsidRPr="00174D1C">
        <w:rPr>
          <w:rFonts w:hint="eastAsia"/>
          <w:sz w:val="24"/>
        </w:rPr>
        <w:t>应不得</w:t>
      </w:r>
      <w:proofErr w:type="gramEnd"/>
      <w:r w:rsidRPr="00174D1C">
        <w:rPr>
          <w:rFonts w:hint="eastAsia"/>
          <w:sz w:val="24"/>
        </w:rPr>
        <w:t>高于香芹酮对照品的峰面积。</w:t>
      </w:r>
    </w:p>
    <w:p w:rsidR="00577FED" w:rsidRDefault="00DD4AF8" w:rsidP="00097681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DD4AF8">
        <w:rPr>
          <w:rFonts w:ascii="黑体" w:eastAsia="黑体" w:hAnsi="黑体" w:hint="eastAsia"/>
          <w:bCs/>
          <w:sz w:val="24"/>
          <w:szCs w:val="28"/>
        </w:rPr>
        <w:t>【含量测定】</w:t>
      </w:r>
      <w:r w:rsidR="00097681">
        <w:rPr>
          <w:rFonts w:ascii="黑体" w:eastAsia="黑体" w:hAnsi="黑体" w:hint="eastAsia"/>
          <w:bCs/>
          <w:sz w:val="24"/>
          <w:szCs w:val="28"/>
        </w:rPr>
        <w:t xml:space="preserve">荆芥穗、薄荷  </w:t>
      </w:r>
      <w:r w:rsidR="00577FED">
        <w:rPr>
          <w:rFonts w:ascii="宋体" w:hAnsi="宋体" w:cs="宋体" w:hint="eastAsia"/>
          <w:sz w:val="24"/>
          <w:szCs w:val="24"/>
        </w:rPr>
        <w:t>照气相色谱法（中国药典</w:t>
      </w:r>
      <w:r w:rsidR="00577FED">
        <w:rPr>
          <w:rFonts w:ascii="宋体" w:hAnsi="宋体" w:cs="宋体"/>
          <w:sz w:val="24"/>
          <w:szCs w:val="24"/>
        </w:rPr>
        <w:t>2020</w:t>
      </w:r>
      <w:r w:rsidR="00577FED">
        <w:rPr>
          <w:rFonts w:ascii="宋体" w:hAnsi="宋体" w:cs="宋体" w:hint="eastAsia"/>
          <w:sz w:val="24"/>
          <w:szCs w:val="24"/>
        </w:rPr>
        <w:t>年版通则</w:t>
      </w:r>
      <w:r w:rsidR="00577FED">
        <w:rPr>
          <w:rFonts w:ascii="宋体" w:hAnsi="宋体" w:cs="宋体"/>
          <w:sz w:val="24"/>
          <w:szCs w:val="24"/>
        </w:rPr>
        <w:t>05</w:t>
      </w:r>
      <w:r w:rsidR="00577FED">
        <w:rPr>
          <w:rFonts w:ascii="宋体" w:hAnsi="宋体" w:cs="宋体" w:hint="eastAsia"/>
          <w:sz w:val="24"/>
          <w:szCs w:val="24"/>
        </w:rPr>
        <w:t>2</w:t>
      </w:r>
      <w:r w:rsidR="00577FED">
        <w:rPr>
          <w:rFonts w:ascii="宋体" w:hAnsi="宋体" w:cs="宋体"/>
          <w:sz w:val="24"/>
          <w:szCs w:val="24"/>
        </w:rPr>
        <w:t>1</w:t>
      </w:r>
      <w:r w:rsidR="00577FED">
        <w:rPr>
          <w:rFonts w:ascii="宋体" w:hAnsi="宋体" w:cs="宋体" w:hint="eastAsia"/>
          <w:sz w:val="24"/>
          <w:szCs w:val="24"/>
        </w:rPr>
        <w:t>）测定。</w:t>
      </w:r>
    </w:p>
    <w:p w:rsidR="00DD4AF8" w:rsidRPr="00E04D6E" w:rsidRDefault="00DD4AF8" w:rsidP="00097681">
      <w:pPr>
        <w:pStyle w:val="a5"/>
        <w:spacing w:line="360" w:lineRule="auto"/>
        <w:ind w:leftChars="-1" w:left="-2" w:firstLineChars="176" w:firstLine="422"/>
        <w:rPr>
          <w:bCs/>
          <w:sz w:val="24"/>
          <w:szCs w:val="28"/>
        </w:rPr>
      </w:pPr>
      <w:r w:rsidRPr="00DD4AF8">
        <w:rPr>
          <w:rFonts w:ascii="黑体" w:eastAsia="黑体" w:hAnsi="黑体"/>
          <w:bCs/>
          <w:sz w:val="24"/>
          <w:szCs w:val="24"/>
        </w:rPr>
        <w:t>色谱条件与系统适用性试验</w:t>
      </w:r>
      <w:r w:rsidRPr="00E04D6E">
        <w:rPr>
          <w:bCs/>
          <w:sz w:val="24"/>
        </w:rPr>
        <w:t xml:space="preserve">  </w:t>
      </w:r>
      <w:r w:rsidRPr="00E04D6E">
        <w:rPr>
          <w:bCs/>
          <w:sz w:val="24"/>
          <w:szCs w:val="28"/>
        </w:rPr>
        <w:t>以交联</w:t>
      </w:r>
      <w:r w:rsidRPr="00E04D6E">
        <w:rPr>
          <w:bCs/>
          <w:sz w:val="24"/>
          <w:szCs w:val="28"/>
        </w:rPr>
        <w:t>5%</w:t>
      </w:r>
      <w:r w:rsidRPr="00E04D6E">
        <w:rPr>
          <w:bCs/>
          <w:sz w:val="24"/>
          <w:szCs w:val="28"/>
        </w:rPr>
        <w:t>苯基甲基聚硅氧烷为固定相的</w:t>
      </w:r>
      <w:r w:rsidR="007F354E">
        <w:rPr>
          <w:bCs/>
          <w:sz w:val="24"/>
          <w:szCs w:val="28"/>
        </w:rPr>
        <w:t>气相</w:t>
      </w:r>
      <w:r w:rsidRPr="00E04D6E">
        <w:rPr>
          <w:bCs/>
          <w:sz w:val="24"/>
          <w:szCs w:val="28"/>
        </w:rPr>
        <w:t>毛细管柱</w:t>
      </w:r>
      <w:r w:rsidRPr="00E04D6E">
        <w:rPr>
          <w:bCs/>
          <w:sz w:val="24"/>
          <w:szCs w:val="28"/>
        </w:rPr>
        <w:t>(30m×0.32mm×0.5μm)</w:t>
      </w:r>
      <w:r w:rsidRPr="00E04D6E">
        <w:rPr>
          <w:bCs/>
          <w:sz w:val="24"/>
          <w:szCs w:val="28"/>
        </w:rPr>
        <w:t>；程序升温；初始温度</w:t>
      </w:r>
      <w:r w:rsidRPr="00E04D6E">
        <w:rPr>
          <w:bCs/>
          <w:sz w:val="24"/>
          <w:szCs w:val="28"/>
        </w:rPr>
        <w:t>60</w:t>
      </w:r>
      <w:r w:rsidRPr="00E04D6E">
        <w:rPr>
          <w:rFonts w:ascii="宋体" w:hAnsi="宋体" w:cs="宋体" w:hint="eastAsia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，以每分钟</w:t>
      </w:r>
      <w:r w:rsidRPr="00E04D6E">
        <w:rPr>
          <w:bCs/>
          <w:sz w:val="24"/>
          <w:szCs w:val="28"/>
        </w:rPr>
        <w:t>2</w:t>
      </w:r>
      <w:r w:rsidRPr="00E04D6E">
        <w:rPr>
          <w:rFonts w:ascii="宋体" w:hAnsi="宋体" w:cs="宋体" w:hint="eastAsia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的速率升温至</w:t>
      </w:r>
      <w:r w:rsidRPr="00E04D6E">
        <w:rPr>
          <w:bCs/>
          <w:sz w:val="24"/>
          <w:szCs w:val="28"/>
        </w:rPr>
        <w:t>120</w:t>
      </w:r>
      <w:r w:rsidRPr="00E04D6E">
        <w:rPr>
          <w:rFonts w:ascii="宋体" w:hAnsi="宋体" w:cs="宋体" w:hint="eastAsia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，然后以每分钟</w:t>
      </w:r>
      <w:r w:rsidRPr="00E04D6E">
        <w:rPr>
          <w:bCs/>
          <w:sz w:val="24"/>
          <w:szCs w:val="28"/>
        </w:rPr>
        <w:t>5</w:t>
      </w:r>
      <w:r w:rsidRPr="00E04D6E">
        <w:rPr>
          <w:rFonts w:hAnsi="宋体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的速率升温至</w:t>
      </w:r>
      <w:r w:rsidRPr="00E04D6E">
        <w:rPr>
          <w:bCs/>
          <w:sz w:val="24"/>
          <w:szCs w:val="28"/>
        </w:rPr>
        <w:t>246</w:t>
      </w:r>
      <w:r w:rsidRPr="00E04D6E">
        <w:rPr>
          <w:rFonts w:hAnsi="宋体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；进样口温度为</w:t>
      </w:r>
      <w:r w:rsidRPr="00E04D6E">
        <w:rPr>
          <w:bCs/>
          <w:sz w:val="24"/>
          <w:szCs w:val="28"/>
        </w:rPr>
        <w:t>200</w:t>
      </w:r>
      <w:r w:rsidRPr="00E04D6E">
        <w:rPr>
          <w:rFonts w:hAnsi="宋体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；检测器温度为</w:t>
      </w:r>
      <w:r w:rsidRPr="00E04D6E">
        <w:rPr>
          <w:bCs/>
          <w:sz w:val="24"/>
          <w:szCs w:val="28"/>
        </w:rPr>
        <w:t>280</w:t>
      </w:r>
      <w:r w:rsidRPr="00E04D6E">
        <w:rPr>
          <w:rFonts w:hAnsi="宋体"/>
          <w:bCs/>
          <w:sz w:val="24"/>
          <w:szCs w:val="28"/>
        </w:rPr>
        <w:t>℃</w:t>
      </w:r>
      <w:r w:rsidRPr="00E04D6E">
        <w:rPr>
          <w:bCs/>
          <w:sz w:val="24"/>
          <w:szCs w:val="28"/>
        </w:rPr>
        <w:t>；不分流。理论板数按薄荷脑</w:t>
      </w:r>
      <w:proofErr w:type="gramStart"/>
      <w:r w:rsidRPr="00E04D6E">
        <w:rPr>
          <w:bCs/>
          <w:sz w:val="24"/>
          <w:szCs w:val="28"/>
        </w:rPr>
        <w:t>峰计算</w:t>
      </w:r>
      <w:proofErr w:type="gramEnd"/>
      <w:r w:rsidRPr="00E04D6E">
        <w:rPr>
          <w:bCs/>
          <w:sz w:val="24"/>
          <w:szCs w:val="28"/>
        </w:rPr>
        <w:t>应不低于</w:t>
      </w:r>
      <w:r w:rsidRPr="00E04D6E">
        <w:rPr>
          <w:bCs/>
          <w:sz w:val="24"/>
          <w:szCs w:val="28"/>
        </w:rPr>
        <w:t>50000</w:t>
      </w:r>
      <w:r w:rsidRPr="00E04D6E">
        <w:rPr>
          <w:bCs/>
          <w:sz w:val="24"/>
          <w:szCs w:val="28"/>
        </w:rPr>
        <w:t>。</w:t>
      </w:r>
    </w:p>
    <w:p w:rsidR="00DD4AF8" w:rsidRPr="00E04D6E" w:rsidRDefault="00DD4AF8" w:rsidP="00097681">
      <w:pPr>
        <w:pStyle w:val="a5"/>
        <w:spacing w:line="360" w:lineRule="auto"/>
        <w:ind w:leftChars="-70" w:left="-147" w:firstLineChars="250" w:firstLine="600"/>
        <w:rPr>
          <w:bCs/>
          <w:sz w:val="24"/>
          <w:szCs w:val="28"/>
        </w:rPr>
      </w:pPr>
      <w:r w:rsidRPr="00DD4AF8">
        <w:rPr>
          <w:rFonts w:ascii="黑体" w:eastAsia="黑体" w:hAnsi="黑体"/>
          <w:bCs/>
          <w:sz w:val="24"/>
          <w:szCs w:val="24"/>
        </w:rPr>
        <w:t>对照品溶液的制备</w:t>
      </w:r>
      <w:r w:rsidRPr="00E04D6E">
        <w:rPr>
          <w:b/>
          <w:bCs/>
          <w:sz w:val="24"/>
          <w:szCs w:val="28"/>
        </w:rPr>
        <w:t xml:space="preserve">  </w:t>
      </w:r>
      <w:proofErr w:type="gramStart"/>
      <w:r w:rsidR="002B5DD6" w:rsidRPr="00E04D6E">
        <w:rPr>
          <w:bCs/>
          <w:sz w:val="24"/>
          <w:szCs w:val="28"/>
        </w:rPr>
        <w:t>取胡薄荷</w:t>
      </w:r>
      <w:proofErr w:type="gramEnd"/>
      <w:r w:rsidR="002B5DD6" w:rsidRPr="00E04D6E">
        <w:rPr>
          <w:bCs/>
          <w:sz w:val="24"/>
          <w:szCs w:val="28"/>
        </w:rPr>
        <w:t>酮、薄荷脑、香芹酮对照品适量，精密称定，加乙酸乙酯制成每</w:t>
      </w:r>
      <w:r w:rsidR="002B5DD6" w:rsidRPr="00E04D6E">
        <w:rPr>
          <w:bCs/>
          <w:sz w:val="24"/>
          <w:szCs w:val="28"/>
        </w:rPr>
        <w:t>1ml</w:t>
      </w:r>
      <w:r w:rsidR="002B5DD6" w:rsidRPr="00E04D6E">
        <w:rPr>
          <w:bCs/>
          <w:sz w:val="24"/>
          <w:szCs w:val="28"/>
        </w:rPr>
        <w:t>各含</w:t>
      </w:r>
      <w:r w:rsidR="002B5DD6" w:rsidRPr="00E04D6E">
        <w:rPr>
          <w:bCs/>
          <w:sz w:val="24"/>
          <w:szCs w:val="28"/>
        </w:rPr>
        <w:t>200μg</w:t>
      </w:r>
      <w:r w:rsidR="002B5DD6">
        <w:rPr>
          <w:rFonts w:hint="eastAsia"/>
          <w:bCs/>
          <w:sz w:val="24"/>
          <w:szCs w:val="28"/>
        </w:rPr>
        <w:t>、</w:t>
      </w:r>
      <w:r w:rsidR="002B5DD6" w:rsidRPr="00E04D6E">
        <w:rPr>
          <w:bCs/>
          <w:sz w:val="24"/>
          <w:szCs w:val="28"/>
        </w:rPr>
        <w:t>200μg</w:t>
      </w:r>
      <w:r w:rsidR="002B5DD6">
        <w:rPr>
          <w:rFonts w:hint="eastAsia"/>
          <w:bCs/>
          <w:sz w:val="24"/>
          <w:szCs w:val="28"/>
        </w:rPr>
        <w:t>、</w:t>
      </w:r>
      <w:r w:rsidR="002B5DD6">
        <w:rPr>
          <w:rFonts w:hint="eastAsia"/>
          <w:bCs/>
          <w:sz w:val="24"/>
          <w:szCs w:val="28"/>
        </w:rPr>
        <w:t>120</w:t>
      </w:r>
      <w:r w:rsidR="002B5DD6" w:rsidRPr="00E04D6E">
        <w:rPr>
          <w:bCs/>
          <w:sz w:val="24"/>
          <w:szCs w:val="28"/>
        </w:rPr>
        <w:t>μg</w:t>
      </w:r>
      <w:r w:rsidR="002B5DD6" w:rsidRPr="00E04D6E">
        <w:rPr>
          <w:bCs/>
          <w:sz w:val="24"/>
          <w:szCs w:val="28"/>
        </w:rPr>
        <w:t>的溶液，即得。</w:t>
      </w:r>
    </w:p>
    <w:p w:rsidR="00DD4AF8" w:rsidRPr="00E04D6E" w:rsidRDefault="00DD4AF8" w:rsidP="00097681">
      <w:pPr>
        <w:spacing w:line="360" w:lineRule="auto"/>
        <w:ind w:leftChars="-1" w:left="-2" w:firstLineChars="177" w:firstLine="425"/>
        <w:rPr>
          <w:bCs/>
          <w:sz w:val="24"/>
          <w:szCs w:val="28"/>
        </w:rPr>
      </w:pPr>
      <w:proofErr w:type="gramStart"/>
      <w:r w:rsidRPr="00DD4AF8">
        <w:rPr>
          <w:rFonts w:ascii="黑体" w:eastAsia="黑体" w:hAnsi="黑体" w:cs="黑体"/>
          <w:bCs/>
          <w:sz w:val="24"/>
          <w:szCs w:val="24"/>
        </w:rPr>
        <w:t>供试品溶液</w:t>
      </w:r>
      <w:proofErr w:type="gramEnd"/>
      <w:r w:rsidRPr="00DD4AF8">
        <w:rPr>
          <w:rFonts w:ascii="黑体" w:eastAsia="黑体" w:hAnsi="黑体" w:cs="黑体"/>
          <w:bCs/>
          <w:sz w:val="24"/>
          <w:szCs w:val="24"/>
        </w:rPr>
        <w:t>的制备</w:t>
      </w:r>
      <w:r w:rsidRPr="00E04D6E">
        <w:rPr>
          <w:b/>
          <w:bCs/>
          <w:sz w:val="24"/>
          <w:szCs w:val="28"/>
        </w:rPr>
        <w:t xml:space="preserve"> </w:t>
      </w:r>
      <w:r w:rsidRPr="00E04D6E">
        <w:rPr>
          <w:bCs/>
          <w:sz w:val="24"/>
          <w:szCs w:val="28"/>
        </w:rPr>
        <w:t xml:space="preserve"> </w:t>
      </w:r>
      <w:r w:rsidRPr="00E04D6E">
        <w:rPr>
          <w:rFonts w:hAnsi="宋体"/>
          <w:color w:val="000000"/>
          <w:sz w:val="24"/>
          <w:szCs w:val="24"/>
        </w:rPr>
        <w:t>取本品</w:t>
      </w:r>
      <w:r w:rsidRPr="00E04D6E">
        <w:rPr>
          <w:color w:val="000000"/>
          <w:sz w:val="24"/>
          <w:szCs w:val="24"/>
        </w:rPr>
        <w:t>4</w:t>
      </w:r>
      <w:r w:rsidRPr="00E04D6E">
        <w:rPr>
          <w:rFonts w:hAnsi="宋体"/>
          <w:color w:val="000000"/>
          <w:sz w:val="24"/>
          <w:szCs w:val="24"/>
        </w:rPr>
        <w:t>袋，精密称定，加水</w:t>
      </w:r>
      <w:r w:rsidRPr="00E04D6E">
        <w:rPr>
          <w:color w:val="000000"/>
          <w:sz w:val="24"/>
          <w:szCs w:val="24"/>
        </w:rPr>
        <w:t>250ml</w:t>
      </w:r>
      <w:r w:rsidRPr="00E04D6E">
        <w:rPr>
          <w:rFonts w:hAnsi="宋体"/>
          <w:color w:val="000000"/>
          <w:sz w:val="24"/>
          <w:szCs w:val="24"/>
        </w:rPr>
        <w:t>，采用挥发油</w:t>
      </w:r>
      <w:proofErr w:type="gramStart"/>
      <w:r w:rsidRPr="00E04D6E">
        <w:rPr>
          <w:rFonts w:hAnsi="宋体"/>
          <w:color w:val="000000"/>
          <w:sz w:val="24"/>
          <w:szCs w:val="24"/>
        </w:rPr>
        <w:t>提取器</w:t>
      </w:r>
      <w:proofErr w:type="gramEnd"/>
      <w:r w:rsidRPr="00E04D6E">
        <w:rPr>
          <w:rFonts w:hAnsi="宋体"/>
          <w:color w:val="000000"/>
          <w:sz w:val="24"/>
          <w:szCs w:val="24"/>
        </w:rPr>
        <w:t>提取，加接收液乙酸乙酯</w:t>
      </w:r>
      <w:r w:rsidRPr="00E04D6E">
        <w:rPr>
          <w:color w:val="000000"/>
          <w:sz w:val="24"/>
          <w:szCs w:val="24"/>
        </w:rPr>
        <w:t>2ml</w:t>
      </w:r>
      <w:r w:rsidRPr="00E04D6E">
        <w:rPr>
          <w:rFonts w:hAnsi="宋体"/>
          <w:color w:val="000000"/>
          <w:sz w:val="24"/>
          <w:szCs w:val="24"/>
        </w:rPr>
        <w:t>，保持微沸</w:t>
      </w:r>
      <w:r w:rsidRPr="00E04D6E">
        <w:rPr>
          <w:color w:val="000000"/>
          <w:sz w:val="24"/>
          <w:szCs w:val="24"/>
        </w:rPr>
        <w:t>4</w:t>
      </w:r>
      <w:r w:rsidRPr="00E04D6E">
        <w:rPr>
          <w:rFonts w:hAnsi="宋体"/>
          <w:color w:val="000000"/>
          <w:sz w:val="24"/>
          <w:szCs w:val="24"/>
        </w:rPr>
        <w:t>小时，分取乙酸乙酯层，加乙酸乙酯</w:t>
      </w:r>
      <w:proofErr w:type="gramStart"/>
      <w:r w:rsidRPr="00E04D6E">
        <w:rPr>
          <w:rFonts w:hAnsi="宋体"/>
          <w:color w:val="000000"/>
          <w:sz w:val="24"/>
          <w:szCs w:val="24"/>
        </w:rPr>
        <w:t>定容至</w:t>
      </w:r>
      <w:proofErr w:type="gramEnd"/>
      <w:r w:rsidRPr="00E04D6E">
        <w:rPr>
          <w:color w:val="000000"/>
          <w:sz w:val="24"/>
          <w:szCs w:val="24"/>
        </w:rPr>
        <w:t>2ml</w:t>
      </w:r>
      <w:r w:rsidRPr="00E04D6E">
        <w:rPr>
          <w:rFonts w:hAnsi="宋体"/>
          <w:color w:val="000000"/>
          <w:sz w:val="24"/>
          <w:szCs w:val="24"/>
        </w:rPr>
        <w:t>，摇匀，过</w:t>
      </w:r>
      <w:r w:rsidRPr="00E04D6E">
        <w:rPr>
          <w:color w:val="000000"/>
          <w:sz w:val="24"/>
          <w:szCs w:val="24"/>
        </w:rPr>
        <w:t>0.22μm</w:t>
      </w:r>
      <w:r w:rsidRPr="00E04D6E">
        <w:rPr>
          <w:rFonts w:hAnsi="宋体"/>
          <w:color w:val="000000"/>
          <w:sz w:val="24"/>
          <w:szCs w:val="24"/>
        </w:rPr>
        <w:t>微孔滤膜，即得。</w:t>
      </w:r>
    </w:p>
    <w:p w:rsidR="00DD4AF8" w:rsidRDefault="00DD4AF8" w:rsidP="0009768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D4AF8">
        <w:rPr>
          <w:rFonts w:ascii="黑体" w:eastAsia="黑体" w:hAnsi="黑体" w:cs="黑体" w:hint="eastAsia"/>
          <w:bCs/>
          <w:sz w:val="24"/>
          <w:szCs w:val="24"/>
        </w:rPr>
        <w:t>测定法</w:t>
      </w:r>
      <w:r w:rsidRPr="00E04D6E">
        <w:rPr>
          <w:b/>
          <w:bCs/>
          <w:sz w:val="24"/>
          <w:szCs w:val="28"/>
        </w:rPr>
        <w:t xml:space="preserve">  </w:t>
      </w:r>
      <w:r w:rsidRPr="00360139">
        <w:rPr>
          <w:rFonts w:ascii="Times New Roman" w:hAnsi="Times New Roman" w:hint="eastAsia"/>
          <w:sz w:val="24"/>
          <w:szCs w:val="24"/>
        </w:rPr>
        <w:t>取混合对照品溶液和</w:t>
      </w:r>
      <w:proofErr w:type="gramStart"/>
      <w:r w:rsidRPr="00360139">
        <w:rPr>
          <w:rFonts w:ascii="Times New Roman" w:hAnsi="Times New Roman" w:hint="eastAsia"/>
          <w:sz w:val="24"/>
          <w:szCs w:val="24"/>
        </w:rPr>
        <w:t>供试品溶液</w:t>
      </w:r>
      <w:proofErr w:type="gramEnd"/>
      <w:r w:rsidRPr="00360139">
        <w:rPr>
          <w:rFonts w:ascii="Times New Roman" w:hAnsi="Times New Roman" w:hint="eastAsia"/>
          <w:sz w:val="24"/>
          <w:szCs w:val="24"/>
        </w:rPr>
        <w:t>各</w:t>
      </w:r>
      <w:r w:rsidRPr="00D217AB">
        <w:rPr>
          <w:rFonts w:ascii="Times New Roman" w:hAnsi="Times New Roman"/>
          <w:sz w:val="24"/>
          <w:szCs w:val="24"/>
        </w:rPr>
        <w:t>1μl</w:t>
      </w:r>
      <w:r w:rsidRPr="00D217AB">
        <w:rPr>
          <w:rFonts w:ascii="Times New Roman" w:hAnsi="Times New Roman"/>
          <w:sz w:val="24"/>
          <w:szCs w:val="24"/>
        </w:rPr>
        <w:t>，注</w:t>
      </w:r>
      <w:r>
        <w:rPr>
          <w:rFonts w:ascii="Times New Roman" w:hAnsi="Times New Roman" w:hint="eastAsia"/>
          <w:sz w:val="24"/>
          <w:szCs w:val="24"/>
        </w:rPr>
        <w:t>入气</w:t>
      </w:r>
      <w:r w:rsidRPr="00360139">
        <w:rPr>
          <w:rFonts w:ascii="Times New Roman" w:hAnsi="Times New Roman" w:hint="eastAsia"/>
          <w:sz w:val="24"/>
          <w:szCs w:val="24"/>
        </w:rPr>
        <w:t>相色谱仪，测定，即得。</w:t>
      </w:r>
    </w:p>
    <w:p w:rsidR="00DD4AF8" w:rsidRPr="00D13ABA" w:rsidRDefault="00577FED" w:rsidP="0009768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13ABA">
        <w:rPr>
          <w:rStyle w:val="fontstyle01"/>
          <w:rFonts w:asciiTheme="minorEastAsia" w:hAnsiTheme="minorEastAsia"/>
          <w:sz w:val="24"/>
          <w:szCs w:val="24"/>
        </w:rPr>
        <w:t>本品每袋</w:t>
      </w:r>
      <w:r w:rsidR="00097681" w:rsidRPr="00D13ABA">
        <w:rPr>
          <w:rStyle w:val="fontstyle01"/>
          <w:rFonts w:asciiTheme="minorEastAsia" w:hAnsiTheme="minorEastAsia"/>
          <w:sz w:val="24"/>
          <w:szCs w:val="24"/>
        </w:rPr>
        <w:t>含荆芥穗</w:t>
      </w:r>
      <w:r w:rsidR="00097681" w:rsidRPr="00D13ABA">
        <w:rPr>
          <w:rStyle w:val="fontstyle01"/>
          <w:rFonts w:asciiTheme="minorEastAsia" w:hAnsiTheme="minorEastAsia" w:hint="eastAsia"/>
          <w:sz w:val="24"/>
          <w:szCs w:val="24"/>
        </w:rPr>
        <w:t>、</w:t>
      </w:r>
      <w:r w:rsidR="00097681" w:rsidRPr="00D13ABA">
        <w:rPr>
          <w:rStyle w:val="fontstyle01"/>
          <w:rFonts w:asciiTheme="minorEastAsia" w:hAnsiTheme="minorEastAsia"/>
          <w:sz w:val="24"/>
          <w:szCs w:val="24"/>
        </w:rPr>
        <w:t>薄荷以</w:t>
      </w:r>
      <w:r w:rsidR="00097681" w:rsidRPr="00D13ABA">
        <w:rPr>
          <w:rStyle w:val="fontstyle01"/>
          <w:rFonts w:asciiTheme="minorEastAsia" w:hAnsiTheme="minorEastAsia" w:hint="eastAsia"/>
          <w:sz w:val="24"/>
          <w:szCs w:val="24"/>
        </w:rPr>
        <w:t>胡薄荷酮</w:t>
      </w:r>
      <w:r w:rsidR="00097681" w:rsidRPr="00D13ABA">
        <w:rPr>
          <w:rStyle w:val="fontstyle01"/>
          <w:rFonts w:ascii="Times New Roman" w:hAnsi="Times New Roman" w:cs="Times New Roman"/>
          <w:sz w:val="24"/>
          <w:szCs w:val="24"/>
        </w:rPr>
        <w:t>（</w:t>
      </w:r>
      <w:r w:rsidR="00097681" w:rsidRPr="00D13ABA">
        <w:rPr>
          <w:rFonts w:ascii="Times New Roman" w:hAnsi="Times New Roman" w:cs="Times New Roman"/>
          <w:color w:val="3E3E3E"/>
          <w:sz w:val="24"/>
          <w:szCs w:val="24"/>
        </w:rPr>
        <w:t>C</w:t>
      </w:r>
      <w:r w:rsidR="00097681" w:rsidRPr="00D13ABA">
        <w:rPr>
          <w:rFonts w:ascii="Times New Roman" w:hAnsi="Times New Roman" w:cs="Times New Roman"/>
          <w:color w:val="3E3E3E"/>
          <w:sz w:val="24"/>
          <w:szCs w:val="24"/>
          <w:vertAlign w:val="subscript"/>
        </w:rPr>
        <w:t>10</w:t>
      </w:r>
      <w:r w:rsidR="00097681" w:rsidRPr="00D13ABA">
        <w:rPr>
          <w:rFonts w:ascii="Times New Roman" w:hAnsi="Times New Roman" w:cs="Times New Roman"/>
          <w:color w:val="3E3E3E"/>
          <w:sz w:val="24"/>
          <w:szCs w:val="24"/>
        </w:rPr>
        <w:t>H</w:t>
      </w:r>
      <w:r w:rsidR="00097681" w:rsidRPr="00D13ABA">
        <w:rPr>
          <w:rFonts w:ascii="Times New Roman" w:hAnsi="Times New Roman" w:cs="Times New Roman"/>
          <w:color w:val="3E3E3E"/>
          <w:sz w:val="24"/>
          <w:szCs w:val="24"/>
          <w:vertAlign w:val="subscript"/>
        </w:rPr>
        <w:t>16</w:t>
      </w:r>
      <w:r w:rsidR="00097681" w:rsidRPr="00D13ABA">
        <w:rPr>
          <w:rFonts w:ascii="Times New Roman" w:hAnsi="Times New Roman" w:cs="Times New Roman"/>
          <w:color w:val="3E3E3E"/>
          <w:sz w:val="24"/>
          <w:szCs w:val="24"/>
        </w:rPr>
        <w:t>O</w:t>
      </w:r>
      <w:r w:rsidR="00097681" w:rsidRPr="00D13ABA">
        <w:rPr>
          <w:rStyle w:val="fontstyle01"/>
          <w:rFonts w:ascii="Times New Roman" w:hAnsi="Times New Roman" w:cs="Times New Roman"/>
          <w:sz w:val="24"/>
          <w:szCs w:val="24"/>
        </w:rPr>
        <w:t>）</w:t>
      </w:r>
      <w:r w:rsidR="00097681" w:rsidRPr="00D13ABA">
        <w:rPr>
          <w:rStyle w:val="fontstyle01"/>
          <w:rFonts w:asciiTheme="minorEastAsia" w:hAnsiTheme="minorEastAsia"/>
          <w:sz w:val="24"/>
          <w:szCs w:val="24"/>
        </w:rPr>
        <w:t>计，不得少于</w:t>
      </w:r>
      <w:r w:rsidR="00097681" w:rsidRPr="00D13ABA">
        <w:rPr>
          <w:rStyle w:val="fontstyle21"/>
          <w:rFonts w:ascii="Times New Roman" w:hAnsi="Times New Roman" w:cs="Times New Roman"/>
          <w:sz w:val="24"/>
          <w:szCs w:val="24"/>
        </w:rPr>
        <w:t>32μ</w:t>
      </w:r>
      <w:r w:rsidR="00097681" w:rsidRPr="00D13ABA">
        <w:rPr>
          <w:rStyle w:val="fontstyle01"/>
          <w:rFonts w:ascii="Times New Roman" w:hAnsi="Times New Roman" w:cs="Times New Roman"/>
          <w:sz w:val="24"/>
          <w:szCs w:val="24"/>
        </w:rPr>
        <w:t>g</w:t>
      </w:r>
      <w:r w:rsidR="00097681" w:rsidRPr="00D13ABA">
        <w:rPr>
          <w:rStyle w:val="fontstyle01"/>
          <w:rFonts w:asciiTheme="minorEastAsia" w:hAnsiTheme="minorEastAsia" w:hint="eastAsia"/>
          <w:sz w:val="24"/>
          <w:szCs w:val="24"/>
        </w:rPr>
        <w:t>；</w:t>
      </w:r>
      <w:r w:rsidRPr="00D13ABA">
        <w:rPr>
          <w:rStyle w:val="fontstyle01"/>
          <w:rFonts w:asciiTheme="minorEastAsia" w:hAnsiTheme="minorEastAsia"/>
          <w:sz w:val="24"/>
          <w:szCs w:val="24"/>
        </w:rPr>
        <w:t>含</w:t>
      </w:r>
      <w:r w:rsidRPr="00D13ABA">
        <w:rPr>
          <w:rStyle w:val="fontstyle01"/>
          <w:rFonts w:asciiTheme="minorEastAsia" w:hAnsiTheme="minorEastAsia" w:hint="eastAsia"/>
          <w:sz w:val="24"/>
          <w:szCs w:val="24"/>
        </w:rPr>
        <w:t>薄荷</w:t>
      </w:r>
      <w:r w:rsidRPr="00D13ABA">
        <w:rPr>
          <w:rStyle w:val="fontstyle01"/>
          <w:rFonts w:asciiTheme="minorEastAsia" w:hAnsiTheme="minorEastAsia"/>
          <w:sz w:val="24"/>
          <w:szCs w:val="24"/>
        </w:rPr>
        <w:t>以薄荷脑</w:t>
      </w:r>
      <w:r w:rsidRPr="00D13ABA">
        <w:rPr>
          <w:rStyle w:val="fontstyle01"/>
          <w:rFonts w:ascii="Times New Roman" w:hAnsi="Times New Roman" w:cs="Times New Roman"/>
          <w:sz w:val="24"/>
          <w:szCs w:val="24"/>
        </w:rPr>
        <w:t>（</w:t>
      </w:r>
      <w:r w:rsidR="00D81488" w:rsidRPr="00D13ABA">
        <w:rPr>
          <w:rFonts w:ascii="Times New Roman" w:hAnsi="Times New Roman" w:cs="Times New Roman"/>
          <w:color w:val="3E3E3E"/>
          <w:sz w:val="24"/>
          <w:szCs w:val="24"/>
        </w:rPr>
        <w:t>C</w:t>
      </w:r>
      <w:r w:rsidR="00D81488" w:rsidRPr="00D13ABA">
        <w:rPr>
          <w:rFonts w:ascii="Times New Roman" w:hAnsi="Times New Roman" w:cs="Times New Roman"/>
          <w:color w:val="3E3E3E"/>
          <w:sz w:val="24"/>
          <w:szCs w:val="24"/>
          <w:vertAlign w:val="subscript"/>
        </w:rPr>
        <w:t>10</w:t>
      </w:r>
      <w:r w:rsidR="00D81488" w:rsidRPr="00D13ABA">
        <w:rPr>
          <w:rFonts w:ascii="Times New Roman" w:hAnsi="Times New Roman" w:cs="Times New Roman"/>
          <w:color w:val="3E3E3E"/>
          <w:sz w:val="24"/>
          <w:szCs w:val="24"/>
        </w:rPr>
        <w:t>H</w:t>
      </w:r>
      <w:r w:rsidR="00D81488" w:rsidRPr="00D13ABA">
        <w:rPr>
          <w:rFonts w:ascii="Times New Roman" w:hAnsi="Times New Roman" w:cs="Times New Roman"/>
          <w:color w:val="3E3E3E"/>
          <w:sz w:val="24"/>
          <w:szCs w:val="24"/>
          <w:vertAlign w:val="subscript"/>
        </w:rPr>
        <w:t>20</w:t>
      </w:r>
      <w:r w:rsidR="00D81488" w:rsidRPr="00D13ABA">
        <w:rPr>
          <w:rFonts w:ascii="Times New Roman" w:hAnsi="Times New Roman" w:cs="Times New Roman"/>
          <w:color w:val="3E3E3E"/>
          <w:sz w:val="24"/>
          <w:szCs w:val="24"/>
        </w:rPr>
        <w:t>O</w:t>
      </w:r>
      <w:r w:rsidRPr="00D13ABA">
        <w:rPr>
          <w:rStyle w:val="fontstyle01"/>
          <w:rFonts w:ascii="Times New Roman" w:hAnsi="Times New Roman" w:cs="Times New Roman"/>
          <w:sz w:val="24"/>
          <w:szCs w:val="24"/>
        </w:rPr>
        <w:t>）</w:t>
      </w:r>
      <w:r w:rsidRPr="00D13ABA">
        <w:rPr>
          <w:rStyle w:val="fontstyle01"/>
          <w:rFonts w:asciiTheme="minorEastAsia" w:hAnsiTheme="minorEastAsia"/>
          <w:sz w:val="24"/>
          <w:szCs w:val="24"/>
        </w:rPr>
        <w:t>计，不得少于</w:t>
      </w:r>
      <w:r w:rsidRPr="00D13ABA">
        <w:rPr>
          <w:rStyle w:val="fontstyle21"/>
          <w:rFonts w:ascii="Times New Roman" w:hAnsi="Times New Roman" w:cs="Times New Roman"/>
          <w:sz w:val="24"/>
          <w:szCs w:val="24"/>
        </w:rPr>
        <w:t>20μ</w:t>
      </w:r>
      <w:r w:rsidRPr="00D13ABA">
        <w:rPr>
          <w:rStyle w:val="fontstyle01"/>
          <w:rFonts w:ascii="Times New Roman" w:hAnsi="Times New Roman" w:cs="Times New Roman"/>
          <w:sz w:val="24"/>
          <w:szCs w:val="24"/>
        </w:rPr>
        <w:t>g</w:t>
      </w:r>
      <w:r w:rsidR="00097681" w:rsidRPr="00D13ABA">
        <w:rPr>
          <w:rStyle w:val="fontstyle01"/>
          <w:rFonts w:asciiTheme="minorEastAsia" w:hAnsiTheme="minorEastAsia" w:hint="eastAsia"/>
          <w:sz w:val="24"/>
          <w:szCs w:val="24"/>
        </w:rPr>
        <w:t>。</w:t>
      </w:r>
      <w:bookmarkEnd w:id="0"/>
    </w:p>
    <w:sectPr w:rsidR="00DD4AF8" w:rsidRPr="00D13A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E6" w:rsidRDefault="002A43E6" w:rsidP="00DD4AF8">
      <w:r>
        <w:separator/>
      </w:r>
    </w:p>
  </w:endnote>
  <w:endnote w:type="continuationSeparator" w:id="0">
    <w:p w:rsidR="002A43E6" w:rsidRDefault="002A43E6" w:rsidP="00DD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E6" w:rsidRDefault="002A43E6" w:rsidP="00DD4AF8">
      <w:r>
        <w:separator/>
      </w:r>
    </w:p>
  </w:footnote>
  <w:footnote w:type="continuationSeparator" w:id="0">
    <w:p w:rsidR="002A43E6" w:rsidRDefault="002A43E6" w:rsidP="00DD4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E17"/>
    <w:rsid w:val="00097681"/>
    <w:rsid w:val="002A43E6"/>
    <w:rsid w:val="002B5DD6"/>
    <w:rsid w:val="002F19DF"/>
    <w:rsid w:val="00577FED"/>
    <w:rsid w:val="00780E17"/>
    <w:rsid w:val="007F354E"/>
    <w:rsid w:val="00AA1D94"/>
    <w:rsid w:val="00BF1FE5"/>
    <w:rsid w:val="00D13ABA"/>
    <w:rsid w:val="00D81488"/>
    <w:rsid w:val="00DD4AF8"/>
    <w:rsid w:val="00E5056B"/>
    <w:rsid w:val="00F1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A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A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AF8"/>
    <w:rPr>
      <w:sz w:val="18"/>
      <w:szCs w:val="18"/>
    </w:rPr>
  </w:style>
  <w:style w:type="paragraph" w:styleId="a5">
    <w:name w:val="List Paragraph"/>
    <w:basedOn w:val="a"/>
    <w:uiPriority w:val="34"/>
    <w:qFormat/>
    <w:rsid w:val="00DD4AF8"/>
    <w:pPr>
      <w:ind w:firstLineChars="200"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rsid w:val="00577FED"/>
    <w:rPr>
      <w:rFonts w:ascii="HiddenHorzOCR-Identity-H" w:hAnsi="HiddenHorzOCR-Identity-H" w:hint="default"/>
      <w:b w:val="0"/>
      <w:bCs w:val="0"/>
      <w:i w:val="0"/>
      <w:iCs w:val="0"/>
      <w:color w:val="2B2B2B"/>
      <w:sz w:val="14"/>
      <w:szCs w:val="14"/>
    </w:rPr>
  </w:style>
  <w:style w:type="character" w:customStyle="1" w:styleId="fontstyle21">
    <w:name w:val="fontstyle21"/>
    <w:basedOn w:val="a0"/>
    <w:rsid w:val="00577FED"/>
    <w:rPr>
      <w:rFonts w:ascii="Times-Roman" w:hAnsi="Times-Roman" w:hint="default"/>
      <w:b w:val="0"/>
      <w:bCs w:val="0"/>
      <w:i w:val="0"/>
      <w:iCs w:val="0"/>
      <w:color w:val="2B2B2B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A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A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AF8"/>
    <w:rPr>
      <w:sz w:val="18"/>
      <w:szCs w:val="18"/>
    </w:rPr>
  </w:style>
  <w:style w:type="paragraph" w:styleId="a5">
    <w:name w:val="List Paragraph"/>
    <w:basedOn w:val="a"/>
    <w:uiPriority w:val="34"/>
    <w:qFormat/>
    <w:rsid w:val="00DD4AF8"/>
    <w:pPr>
      <w:ind w:firstLineChars="200"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rsid w:val="00577FED"/>
    <w:rPr>
      <w:rFonts w:ascii="HiddenHorzOCR-Identity-H" w:hAnsi="HiddenHorzOCR-Identity-H" w:hint="default"/>
      <w:b w:val="0"/>
      <w:bCs w:val="0"/>
      <w:i w:val="0"/>
      <w:iCs w:val="0"/>
      <w:color w:val="2B2B2B"/>
      <w:sz w:val="14"/>
      <w:szCs w:val="14"/>
    </w:rPr>
  </w:style>
  <w:style w:type="character" w:customStyle="1" w:styleId="fontstyle21">
    <w:name w:val="fontstyle21"/>
    <w:basedOn w:val="a0"/>
    <w:rsid w:val="00577FED"/>
    <w:rPr>
      <w:rFonts w:ascii="Times-Roman" w:hAnsi="Times-Roman" w:hint="default"/>
      <w:b w:val="0"/>
      <w:bCs w:val="0"/>
      <w:i w:val="0"/>
      <w:iCs w:val="0"/>
      <w:color w:val="2B2B2B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P R C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2022-02-24T07:42:00Z</dcterms:created>
  <dcterms:modified xsi:type="dcterms:W3CDTF">2022-02-24T07:42:00Z</dcterms:modified>
</cp:coreProperties>
</file>