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AC5" w:rsidRPr="00540608" w:rsidRDefault="00540608" w:rsidP="00540608">
      <w:pPr>
        <w:spacing w:line="360" w:lineRule="auto"/>
        <w:ind w:firstLineChars="200" w:firstLine="562"/>
        <w:jc w:val="center"/>
        <w:rPr>
          <w:b/>
          <w:sz w:val="28"/>
          <w:szCs w:val="28"/>
        </w:rPr>
      </w:pPr>
      <w:r w:rsidRPr="00540608">
        <w:rPr>
          <w:rFonts w:hint="eastAsia"/>
          <w:b/>
          <w:sz w:val="28"/>
          <w:szCs w:val="28"/>
        </w:rPr>
        <w:t>龙胆泻肝丸中藏柴胡检查方法</w:t>
      </w:r>
    </w:p>
    <w:p w:rsidR="001C4AC5" w:rsidRDefault="00540608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rFonts w:ascii="黑体" w:eastAsia="黑体" w:hAnsi="宋体" w:hint="eastAsia"/>
          <w:bCs/>
          <w:sz w:val="24"/>
          <w:szCs w:val="24"/>
        </w:rPr>
        <w:t>【检查】</w:t>
      </w:r>
      <w:r>
        <w:rPr>
          <w:rFonts w:ascii="黑体" w:eastAsia="黑体" w:hAnsi="宋体" w:hint="eastAsia"/>
          <w:bCs/>
          <w:sz w:val="24"/>
          <w:szCs w:val="24"/>
        </w:rPr>
        <w:t xml:space="preserve"> </w:t>
      </w:r>
      <w:r>
        <w:rPr>
          <w:rFonts w:ascii="黑体" w:eastAsia="黑体" w:hAnsi="宋体" w:hint="eastAsia"/>
          <w:bCs/>
          <w:sz w:val="24"/>
          <w:szCs w:val="24"/>
        </w:rPr>
        <w:t>藏柴胡成分</w:t>
      </w:r>
      <w:r>
        <w:rPr>
          <w:rFonts w:ascii="黑体" w:eastAsia="黑体" w:hAnsi="宋体" w:hint="eastAsia"/>
          <w:bCs/>
          <w:sz w:val="24"/>
          <w:szCs w:val="24"/>
        </w:rPr>
        <w:t xml:space="preserve">  </w:t>
      </w:r>
      <w:r>
        <w:rPr>
          <w:sz w:val="24"/>
          <w:szCs w:val="24"/>
        </w:rPr>
        <w:t>照高效液相色谱法（中国药典</w:t>
      </w:r>
      <w:r>
        <w:rPr>
          <w:sz w:val="24"/>
          <w:szCs w:val="24"/>
        </w:rPr>
        <w:t>2020</w:t>
      </w:r>
      <w:r>
        <w:rPr>
          <w:sz w:val="24"/>
          <w:szCs w:val="24"/>
        </w:rPr>
        <w:t>年版通则</w:t>
      </w:r>
      <w:r>
        <w:rPr>
          <w:sz w:val="24"/>
          <w:szCs w:val="24"/>
        </w:rPr>
        <w:t>0512</w:t>
      </w:r>
      <w:r>
        <w:rPr>
          <w:sz w:val="24"/>
          <w:szCs w:val="24"/>
        </w:rPr>
        <w:t>）和质谱法（中国药典</w:t>
      </w:r>
      <w:r>
        <w:rPr>
          <w:sz w:val="24"/>
          <w:szCs w:val="24"/>
        </w:rPr>
        <w:t>2020</w:t>
      </w:r>
      <w:r>
        <w:rPr>
          <w:sz w:val="24"/>
          <w:szCs w:val="24"/>
        </w:rPr>
        <w:t>年版通则</w:t>
      </w:r>
      <w:r>
        <w:rPr>
          <w:sz w:val="24"/>
          <w:szCs w:val="24"/>
        </w:rPr>
        <w:t>0431</w:t>
      </w:r>
      <w:r>
        <w:rPr>
          <w:sz w:val="24"/>
          <w:szCs w:val="24"/>
        </w:rPr>
        <w:t>）测定。</w:t>
      </w:r>
    </w:p>
    <w:p w:rsidR="001C4AC5" w:rsidRDefault="0054060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黑体" w:eastAsia="黑体" w:hint="eastAsia"/>
          <w:bCs/>
          <w:sz w:val="24"/>
          <w:szCs w:val="24"/>
        </w:rPr>
        <w:t>色谱条件</w:t>
      </w:r>
      <w:r>
        <w:rPr>
          <w:rFonts w:ascii="黑体" w:eastAsia="黑体" w:hint="eastAsia"/>
          <w:bCs/>
          <w:sz w:val="24"/>
          <w:szCs w:val="24"/>
        </w:rPr>
        <w:t xml:space="preserve">  </w:t>
      </w:r>
      <w:r>
        <w:rPr>
          <w:sz w:val="24"/>
          <w:szCs w:val="24"/>
        </w:rPr>
        <w:t>以十八烷基硅烷键合硅胶为填充剂（色谱柱粒径</w:t>
      </w:r>
      <w:r>
        <w:rPr>
          <w:sz w:val="24"/>
          <w:szCs w:val="24"/>
        </w:rPr>
        <w:t>1.8μm</w:t>
      </w:r>
      <w:r>
        <w:rPr>
          <w:sz w:val="24"/>
          <w:szCs w:val="24"/>
        </w:rPr>
        <w:t>）；以水为流动相</w:t>
      </w:r>
      <w:r>
        <w:rPr>
          <w:sz w:val="24"/>
          <w:szCs w:val="24"/>
        </w:rPr>
        <w:t>A</w:t>
      </w:r>
      <w:r>
        <w:rPr>
          <w:sz w:val="24"/>
          <w:szCs w:val="24"/>
        </w:rPr>
        <w:t>，乙腈为流动相</w:t>
      </w:r>
      <w:r>
        <w:rPr>
          <w:sz w:val="24"/>
          <w:szCs w:val="24"/>
        </w:rPr>
        <w:t>B</w:t>
      </w:r>
      <w:r>
        <w:rPr>
          <w:sz w:val="24"/>
          <w:szCs w:val="24"/>
        </w:rPr>
        <w:t>，按下表中的规定进行梯度洗脱；流速为</w:t>
      </w:r>
      <w:r>
        <w:rPr>
          <w:rFonts w:hint="eastAsia"/>
          <w:sz w:val="24"/>
          <w:szCs w:val="24"/>
        </w:rPr>
        <w:t>每</w:t>
      </w:r>
      <w:r>
        <w:rPr>
          <w:sz w:val="24"/>
          <w:szCs w:val="24"/>
        </w:rPr>
        <w:t>分钟</w:t>
      </w:r>
      <w:r>
        <w:rPr>
          <w:sz w:val="24"/>
          <w:szCs w:val="24"/>
        </w:rPr>
        <w:t>0.3ml</w:t>
      </w:r>
      <w:r>
        <w:rPr>
          <w:sz w:val="24"/>
          <w:szCs w:val="24"/>
        </w:rPr>
        <w:t>。</w:t>
      </w:r>
    </w:p>
    <w:tbl>
      <w:tblPr>
        <w:tblW w:w="8789" w:type="dxa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2930"/>
        <w:gridCol w:w="2930"/>
      </w:tblGrid>
      <w:tr w:rsidR="001C4AC5">
        <w:trPr>
          <w:trHeight w:val="283"/>
          <w:jc w:val="center"/>
        </w:trPr>
        <w:tc>
          <w:tcPr>
            <w:tcW w:w="292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bookmarkStart w:id="0" w:name="_GoBack" w:colFirst="0" w:colLast="0"/>
            <w:r>
              <w:rPr>
                <w:szCs w:val="21"/>
              </w:rPr>
              <w:t>时间（分钟）</w:t>
            </w:r>
          </w:p>
        </w:tc>
        <w:tc>
          <w:tcPr>
            <w:tcW w:w="293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流动相</w:t>
            </w:r>
            <w:r>
              <w:rPr>
                <w:szCs w:val="21"/>
              </w:rPr>
              <w:t>A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%</w:t>
            </w:r>
            <w:r>
              <w:rPr>
                <w:szCs w:val="21"/>
              </w:rPr>
              <w:t>）</w:t>
            </w:r>
          </w:p>
        </w:tc>
        <w:tc>
          <w:tcPr>
            <w:tcW w:w="293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流动相</w:t>
            </w:r>
            <w:r>
              <w:rPr>
                <w:szCs w:val="21"/>
              </w:rPr>
              <w:t>B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%</w:t>
            </w:r>
            <w:r>
              <w:rPr>
                <w:szCs w:val="21"/>
              </w:rPr>
              <w:t>）</w:t>
            </w:r>
          </w:p>
        </w:tc>
      </w:tr>
      <w:tr w:rsidR="001C4AC5">
        <w:trPr>
          <w:trHeight w:val="283"/>
          <w:jc w:val="center"/>
        </w:trPr>
        <w:tc>
          <w:tcPr>
            <w:tcW w:w="2929" w:type="dxa"/>
            <w:tcBorders>
              <w:top w:val="single" w:sz="4" w:space="0" w:color="000000"/>
            </w:tcBorders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0~3</w:t>
            </w:r>
          </w:p>
        </w:tc>
        <w:tc>
          <w:tcPr>
            <w:tcW w:w="2930" w:type="dxa"/>
            <w:tcBorders>
              <w:top w:val="single" w:sz="4" w:space="0" w:color="000000"/>
            </w:tcBorders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75→70</w:t>
            </w:r>
          </w:p>
        </w:tc>
        <w:tc>
          <w:tcPr>
            <w:tcW w:w="2930" w:type="dxa"/>
            <w:tcBorders>
              <w:top w:val="single" w:sz="4" w:space="0" w:color="000000"/>
            </w:tcBorders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25→30</w:t>
            </w:r>
          </w:p>
        </w:tc>
      </w:tr>
      <w:tr w:rsidR="001C4AC5">
        <w:trPr>
          <w:trHeight w:val="283"/>
          <w:jc w:val="center"/>
        </w:trPr>
        <w:tc>
          <w:tcPr>
            <w:tcW w:w="2929" w:type="dxa"/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3~12</w:t>
            </w:r>
          </w:p>
        </w:tc>
        <w:tc>
          <w:tcPr>
            <w:tcW w:w="2930" w:type="dxa"/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70→68</w:t>
            </w:r>
          </w:p>
        </w:tc>
        <w:tc>
          <w:tcPr>
            <w:tcW w:w="2930" w:type="dxa"/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30→32</w:t>
            </w:r>
          </w:p>
        </w:tc>
      </w:tr>
      <w:tr w:rsidR="001C4AC5">
        <w:trPr>
          <w:trHeight w:val="283"/>
          <w:jc w:val="center"/>
        </w:trPr>
        <w:tc>
          <w:tcPr>
            <w:tcW w:w="2929" w:type="dxa"/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12~12.5</w:t>
            </w:r>
          </w:p>
        </w:tc>
        <w:tc>
          <w:tcPr>
            <w:tcW w:w="2930" w:type="dxa"/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68→10</w:t>
            </w:r>
          </w:p>
        </w:tc>
        <w:tc>
          <w:tcPr>
            <w:tcW w:w="2930" w:type="dxa"/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32→90</w:t>
            </w:r>
          </w:p>
        </w:tc>
      </w:tr>
      <w:tr w:rsidR="001C4AC5">
        <w:trPr>
          <w:trHeight w:val="283"/>
          <w:jc w:val="center"/>
        </w:trPr>
        <w:tc>
          <w:tcPr>
            <w:tcW w:w="2929" w:type="dxa"/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12.5~15.5</w:t>
            </w:r>
          </w:p>
        </w:tc>
        <w:tc>
          <w:tcPr>
            <w:tcW w:w="2930" w:type="dxa"/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2930" w:type="dxa"/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90</w:t>
            </w:r>
          </w:p>
        </w:tc>
      </w:tr>
      <w:tr w:rsidR="001C4AC5">
        <w:trPr>
          <w:trHeight w:val="283"/>
          <w:jc w:val="center"/>
        </w:trPr>
        <w:tc>
          <w:tcPr>
            <w:tcW w:w="2929" w:type="dxa"/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15.5~16</w:t>
            </w:r>
          </w:p>
        </w:tc>
        <w:tc>
          <w:tcPr>
            <w:tcW w:w="2930" w:type="dxa"/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10→75</w:t>
            </w:r>
          </w:p>
        </w:tc>
        <w:tc>
          <w:tcPr>
            <w:tcW w:w="2930" w:type="dxa"/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90→25</w:t>
            </w:r>
          </w:p>
        </w:tc>
      </w:tr>
      <w:tr w:rsidR="001C4AC5">
        <w:trPr>
          <w:trHeight w:val="283"/>
          <w:jc w:val="center"/>
        </w:trPr>
        <w:tc>
          <w:tcPr>
            <w:tcW w:w="2929" w:type="dxa"/>
            <w:tcBorders>
              <w:bottom w:val="single" w:sz="12" w:space="0" w:color="000000"/>
            </w:tcBorders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16~22</w:t>
            </w:r>
          </w:p>
        </w:tc>
        <w:tc>
          <w:tcPr>
            <w:tcW w:w="2930" w:type="dxa"/>
            <w:tcBorders>
              <w:bottom w:val="single" w:sz="12" w:space="0" w:color="000000"/>
            </w:tcBorders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75</w:t>
            </w:r>
          </w:p>
        </w:tc>
        <w:tc>
          <w:tcPr>
            <w:tcW w:w="2930" w:type="dxa"/>
            <w:tcBorders>
              <w:bottom w:val="single" w:sz="12" w:space="0" w:color="000000"/>
            </w:tcBorders>
            <w:vAlign w:val="center"/>
          </w:tcPr>
          <w:p w:rsidR="001C4AC5" w:rsidRDefault="0054060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</w:tr>
    </w:tbl>
    <w:bookmarkEnd w:id="0"/>
    <w:p w:rsidR="001C4AC5" w:rsidRDefault="00540608">
      <w:pPr>
        <w:widowControl/>
        <w:spacing w:line="360" w:lineRule="auto"/>
        <w:ind w:firstLineChars="200" w:firstLine="480"/>
        <w:rPr>
          <w:rFonts w:hAnsi="宋体"/>
          <w:bCs/>
          <w:sz w:val="24"/>
          <w:szCs w:val="24"/>
        </w:rPr>
      </w:pPr>
      <w:r>
        <w:rPr>
          <w:rFonts w:ascii="黑体" w:eastAsia="黑体" w:hint="eastAsia"/>
          <w:bCs/>
          <w:sz w:val="24"/>
          <w:szCs w:val="24"/>
        </w:rPr>
        <w:t>质谱条件</w:t>
      </w:r>
      <w:r>
        <w:rPr>
          <w:rFonts w:ascii="黑体" w:eastAsia="黑体" w:hint="eastAsia"/>
          <w:bCs/>
          <w:sz w:val="24"/>
          <w:szCs w:val="24"/>
        </w:rPr>
        <w:t xml:space="preserve">  </w:t>
      </w:r>
      <w:r>
        <w:rPr>
          <w:rFonts w:hAnsi="宋体"/>
          <w:bCs/>
          <w:sz w:val="24"/>
          <w:szCs w:val="24"/>
        </w:rPr>
        <w:t>采用质谱检测器，电喷雾负离子模式（</w:t>
      </w:r>
      <w:r>
        <w:rPr>
          <w:bCs/>
          <w:sz w:val="24"/>
          <w:szCs w:val="24"/>
        </w:rPr>
        <w:t>ESI</w:t>
      </w:r>
      <w:r>
        <w:rPr>
          <w:bCs/>
          <w:sz w:val="24"/>
          <w:szCs w:val="24"/>
          <w:vertAlign w:val="superscript"/>
        </w:rPr>
        <w:t>-</w:t>
      </w:r>
      <w:r>
        <w:rPr>
          <w:rFonts w:hAnsi="宋体"/>
          <w:bCs/>
          <w:sz w:val="24"/>
          <w:szCs w:val="24"/>
        </w:rPr>
        <w:t>），进行多反应监测（</w:t>
      </w:r>
      <w:r>
        <w:rPr>
          <w:bCs/>
          <w:sz w:val="24"/>
          <w:szCs w:val="24"/>
        </w:rPr>
        <w:t>MRM</w:t>
      </w:r>
      <w:r>
        <w:rPr>
          <w:rFonts w:hAnsi="宋体"/>
          <w:bCs/>
          <w:sz w:val="24"/>
          <w:szCs w:val="24"/>
        </w:rPr>
        <w:t>），选择</w:t>
      </w:r>
      <w:r>
        <w:rPr>
          <w:bCs/>
          <w:sz w:val="24"/>
          <w:szCs w:val="24"/>
        </w:rPr>
        <w:t>m/z 943.5→797.5</w:t>
      </w:r>
      <w:r>
        <w:rPr>
          <w:rFonts w:hAnsi="宋体"/>
          <w:bCs/>
          <w:sz w:val="24"/>
          <w:szCs w:val="24"/>
        </w:rPr>
        <w:t>、</w:t>
      </w:r>
      <w:r>
        <w:rPr>
          <w:bCs/>
          <w:sz w:val="24"/>
          <w:szCs w:val="24"/>
        </w:rPr>
        <w:t>m/z 943.5→635.4</w:t>
      </w:r>
      <w:r>
        <w:rPr>
          <w:rFonts w:hAnsi="宋体"/>
          <w:bCs/>
          <w:sz w:val="24"/>
          <w:szCs w:val="24"/>
        </w:rPr>
        <w:t>和</w:t>
      </w:r>
      <w:r>
        <w:rPr>
          <w:bCs/>
          <w:sz w:val="24"/>
          <w:szCs w:val="24"/>
        </w:rPr>
        <w:t>m/z 943.5→781.5</w:t>
      </w:r>
      <w:r>
        <w:rPr>
          <w:rFonts w:hAnsi="宋体"/>
          <w:bCs/>
          <w:sz w:val="24"/>
          <w:szCs w:val="24"/>
        </w:rPr>
        <w:t>为检测离子对。对照品溶液（</w:t>
      </w:r>
      <w:proofErr w:type="gramStart"/>
      <w:r>
        <w:rPr>
          <w:rFonts w:hAnsi="宋体"/>
          <w:bCs/>
          <w:sz w:val="24"/>
          <w:szCs w:val="24"/>
        </w:rPr>
        <w:t>进样量为</w:t>
      </w:r>
      <w:proofErr w:type="gramEnd"/>
      <w:r>
        <w:rPr>
          <w:bCs/>
          <w:sz w:val="24"/>
          <w:szCs w:val="24"/>
        </w:rPr>
        <w:t>1μl</w:t>
      </w:r>
      <w:r>
        <w:rPr>
          <w:rFonts w:hAnsi="宋体"/>
          <w:bCs/>
          <w:sz w:val="24"/>
          <w:szCs w:val="24"/>
        </w:rPr>
        <w:t>）中柴胡皂苷</w:t>
      </w:r>
      <w:proofErr w:type="spellStart"/>
      <w:r>
        <w:rPr>
          <w:bCs/>
          <w:sz w:val="24"/>
          <w:szCs w:val="24"/>
        </w:rPr>
        <w:t>Nepasaikosaponin</w:t>
      </w:r>
      <w:proofErr w:type="spellEnd"/>
      <w:r>
        <w:rPr>
          <w:bCs/>
          <w:sz w:val="24"/>
          <w:szCs w:val="24"/>
        </w:rPr>
        <w:t xml:space="preserve"> k</w:t>
      </w:r>
      <w:r>
        <w:rPr>
          <w:rFonts w:hAnsi="宋体"/>
          <w:bCs/>
          <w:sz w:val="24"/>
          <w:szCs w:val="24"/>
        </w:rPr>
        <w:t>的色谱峰（</w:t>
      </w:r>
      <w:r>
        <w:rPr>
          <w:bCs/>
          <w:sz w:val="24"/>
          <w:szCs w:val="24"/>
        </w:rPr>
        <w:t>m/z 943.5→797.5</w:t>
      </w:r>
      <w:r>
        <w:rPr>
          <w:rFonts w:hAnsi="宋体"/>
          <w:bCs/>
          <w:sz w:val="24"/>
          <w:szCs w:val="24"/>
        </w:rPr>
        <w:t>）信噪比应大于</w:t>
      </w:r>
      <w:r>
        <w:rPr>
          <w:bCs/>
          <w:sz w:val="24"/>
          <w:szCs w:val="24"/>
        </w:rPr>
        <w:t>10</w:t>
      </w:r>
      <w:r>
        <w:rPr>
          <w:rFonts w:hAnsi="宋体"/>
          <w:bCs/>
          <w:sz w:val="24"/>
          <w:szCs w:val="24"/>
        </w:rPr>
        <w:t>︰</w:t>
      </w:r>
      <w:r>
        <w:rPr>
          <w:bCs/>
          <w:sz w:val="24"/>
          <w:szCs w:val="24"/>
        </w:rPr>
        <w:t>1</w:t>
      </w:r>
      <w:r>
        <w:rPr>
          <w:rFonts w:hAnsi="宋体"/>
          <w:bCs/>
          <w:sz w:val="24"/>
          <w:szCs w:val="24"/>
        </w:rPr>
        <w:t>。</w:t>
      </w:r>
    </w:p>
    <w:p w:rsidR="001C4AC5" w:rsidRDefault="00540608">
      <w:pPr>
        <w:widowControl/>
        <w:spacing w:line="360" w:lineRule="auto"/>
        <w:ind w:firstLineChars="200" w:firstLine="480"/>
        <w:rPr>
          <w:kern w:val="0"/>
          <w:sz w:val="24"/>
          <w:szCs w:val="24"/>
        </w:rPr>
      </w:pPr>
      <w:r>
        <w:rPr>
          <w:rFonts w:ascii="黑体" w:eastAsia="黑体" w:hAnsi="宋体" w:hint="eastAsia"/>
          <w:bCs/>
          <w:sz w:val="24"/>
          <w:szCs w:val="24"/>
        </w:rPr>
        <w:t>对照品溶液的制备</w:t>
      </w:r>
      <w:r>
        <w:rPr>
          <w:rFonts w:ascii="黑体" w:eastAsia="黑体" w:hAnsi="宋体" w:hint="eastAsia"/>
          <w:bCs/>
          <w:sz w:val="24"/>
          <w:szCs w:val="24"/>
        </w:rPr>
        <w:t xml:space="preserve">  </w:t>
      </w:r>
      <w:r>
        <w:rPr>
          <w:rFonts w:hAnsi="宋体"/>
          <w:sz w:val="24"/>
          <w:szCs w:val="24"/>
        </w:rPr>
        <w:t>取柴胡皂苷</w:t>
      </w:r>
      <w:proofErr w:type="spellStart"/>
      <w:r>
        <w:rPr>
          <w:sz w:val="24"/>
          <w:szCs w:val="24"/>
        </w:rPr>
        <w:t>Nepasaikosaponin</w:t>
      </w:r>
      <w:proofErr w:type="spellEnd"/>
      <w:r>
        <w:rPr>
          <w:sz w:val="24"/>
          <w:szCs w:val="24"/>
        </w:rPr>
        <w:t xml:space="preserve"> k</w:t>
      </w:r>
      <w:r>
        <w:rPr>
          <w:rFonts w:hAnsi="宋体"/>
          <w:sz w:val="24"/>
          <w:szCs w:val="24"/>
        </w:rPr>
        <w:t>对照品适量，精密称定，加甲醇制成每</w:t>
      </w:r>
      <w:r>
        <w:rPr>
          <w:sz w:val="24"/>
          <w:szCs w:val="24"/>
        </w:rPr>
        <w:t>1ml</w:t>
      </w:r>
      <w:r>
        <w:rPr>
          <w:rFonts w:hAnsi="宋体"/>
          <w:sz w:val="24"/>
          <w:szCs w:val="24"/>
        </w:rPr>
        <w:t>含</w:t>
      </w:r>
      <w:r>
        <w:rPr>
          <w:sz w:val="24"/>
          <w:szCs w:val="24"/>
        </w:rPr>
        <w:t>0.5μg</w:t>
      </w:r>
      <w:r>
        <w:rPr>
          <w:rFonts w:hAnsi="宋体"/>
          <w:sz w:val="24"/>
          <w:szCs w:val="24"/>
        </w:rPr>
        <w:t>的溶液，即得。</w:t>
      </w:r>
    </w:p>
    <w:p w:rsidR="001C4AC5" w:rsidRDefault="00540608">
      <w:pPr>
        <w:widowControl/>
        <w:spacing w:line="360" w:lineRule="auto"/>
        <w:ind w:firstLineChars="200" w:firstLine="480"/>
        <w:rPr>
          <w:kern w:val="0"/>
          <w:sz w:val="24"/>
          <w:szCs w:val="24"/>
        </w:rPr>
      </w:pPr>
      <w:proofErr w:type="gramStart"/>
      <w:r>
        <w:rPr>
          <w:rFonts w:ascii="黑体" w:eastAsia="黑体" w:hAnsi="宋体" w:hint="eastAsia"/>
          <w:bCs/>
          <w:sz w:val="24"/>
          <w:szCs w:val="24"/>
        </w:rPr>
        <w:t>供试品溶液</w:t>
      </w:r>
      <w:proofErr w:type="gramEnd"/>
      <w:r>
        <w:rPr>
          <w:rFonts w:ascii="黑体" w:eastAsia="黑体" w:hAnsi="宋体" w:hint="eastAsia"/>
          <w:bCs/>
          <w:sz w:val="24"/>
          <w:szCs w:val="24"/>
        </w:rPr>
        <w:t>的制备</w:t>
      </w:r>
      <w:bookmarkStart w:id="1" w:name="OLE_LINK1"/>
      <w:bookmarkStart w:id="2" w:name="OLE_LINK2"/>
      <w:r>
        <w:rPr>
          <w:rFonts w:ascii="黑体" w:eastAsia="黑体" w:hAnsi="宋体" w:hint="eastAsia"/>
          <w:bCs/>
          <w:sz w:val="24"/>
          <w:szCs w:val="24"/>
        </w:rPr>
        <w:t xml:space="preserve">  </w:t>
      </w:r>
      <w:bookmarkEnd w:id="1"/>
      <w:bookmarkEnd w:id="2"/>
      <w:r>
        <w:rPr>
          <w:sz w:val="24"/>
          <w:szCs w:val="24"/>
        </w:rPr>
        <w:t>取装量差异项下的水丸，研细，取约</w:t>
      </w:r>
      <w:r>
        <w:rPr>
          <w:rFonts w:hint="eastAsia"/>
          <w:sz w:val="24"/>
          <w:szCs w:val="24"/>
        </w:rPr>
        <w:t>0.7</w:t>
      </w:r>
      <w:r>
        <w:rPr>
          <w:sz w:val="24"/>
          <w:szCs w:val="24"/>
        </w:rPr>
        <w:t>g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>或取重量差异项下的浓缩丸，研细，取约</w:t>
      </w:r>
      <w:r>
        <w:rPr>
          <w:rFonts w:hint="eastAsia"/>
          <w:sz w:val="24"/>
          <w:szCs w:val="24"/>
        </w:rPr>
        <w:t>0.33</w:t>
      </w:r>
      <w:r>
        <w:rPr>
          <w:sz w:val="24"/>
          <w:szCs w:val="24"/>
        </w:rPr>
        <w:t>g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>或取重量差异项下的蜜丸，剪碎，取约</w:t>
      </w:r>
      <w:r>
        <w:rPr>
          <w:rFonts w:hint="eastAsia"/>
          <w:sz w:val="24"/>
          <w:szCs w:val="24"/>
        </w:rPr>
        <w:t>1.8</w:t>
      </w:r>
      <w:r>
        <w:rPr>
          <w:sz w:val="24"/>
          <w:szCs w:val="24"/>
        </w:rPr>
        <w:t>g</w:t>
      </w:r>
      <w:r>
        <w:rPr>
          <w:sz w:val="24"/>
          <w:szCs w:val="24"/>
        </w:rPr>
        <w:t>，精密称定，</w:t>
      </w:r>
      <w:proofErr w:type="gramStart"/>
      <w:r>
        <w:rPr>
          <w:sz w:val="24"/>
          <w:szCs w:val="24"/>
        </w:rPr>
        <w:t>置具塞</w:t>
      </w:r>
      <w:proofErr w:type="gramEnd"/>
      <w:r>
        <w:rPr>
          <w:sz w:val="24"/>
          <w:szCs w:val="24"/>
        </w:rPr>
        <w:t>锥形瓶中，精密加入含</w:t>
      </w:r>
      <w:r>
        <w:rPr>
          <w:sz w:val="24"/>
          <w:szCs w:val="24"/>
        </w:rPr>
        <w:t>5%</w:t>
      </w:r>
      <w:r>
        <w:rPr>
          <w:sz w:val="24"/>
          <w:szCs w:val="24"/>
        </w:rPr>
        <w:t>浓氨试液的甲醇溶液</w:t>
      </w:r>
      <w:r>
        <w:rPr>
          <w:sz w:val="24"/>
          <w:szCs w:val="24"/>
        </w:rPr>
        <w:t>25ml</w:t>
      </w:r>
      <w:r>
        <w:rPr>
          <w:sz w:val="24"/>
          <w:szCs w:val="24"/>
        </w:rPr>
        <w:t>，密塞，称定重量，超声处理（功率</w:t>
      </w:r>
      <w:r>
        <w:rPr>
          <w:sz w:val="24"/>
          <w:szCs w:val="24"/>
        </w:rPr>
        <w:t>350W</w:t>
      </w:r>
      <w:r>
        <w:rPr>
          <w:sz w:val="24"/>
          <w:szCs w:val="24"/>
        </w:rPr>
        <w:t>，频率</w:t>
      </w:r>
      <w:r>
        <w:rPr>
          <w:sz w:val="24"/>
          <w:szCs w:val="24"/>
        </w:rPr>
        <w:t>37kHz</w:t>
      </w:r>
      <w:r>
        <w:rPr>
          <w:sz w:val="24"/>
          <w:szCs w:val="24"/>
        </w:rPr>
        <w:t>）</w:t>
      </w:r>
      <w:r>
        <w:rPr>
          <w:sz w:val="24"/>
          <w:szCs w:val="24"/>
        </w:rPr>
        <w:t>30</w:t>
      </w:r>
      <w:r>
        <w:rPr>
          <w:sz w:val="24"/>
          <w:szCs w:val="24"/>
        </w:rPr>
        <w:t>分钟，取出，放冷，再称定重量，用含</w:t>
      </w:r>
      <w:r>
        <w:rPr>
          <w:sz w:val="24"/>
          <w:szCs w:val="24"/>
        </w:rPr>
        <w:t>5%</w:t>
      </w:r>
      <w:r>
        <w:rPr>
          <w:sz w:val="24"/>
          <w:szCs w:val="24"/>
        </w:rPr>
        <w:t>浓氨试液的甲醇溶液</w:t>
      </w:r>
      <w:proofErr w:type="gramStart"/>
      <w:r>
        <w:rPr>
          <w:sz w:val="24"/>
          <w:szCs w:val="24"/>
        </w:rPr>
        <w:t>补足减失的</w:t>
      </w:r>
      <w:proofErr w:type="gramEnd"/>
      <w:r>
        <w:rPr>
          <w:sz w:val="24"/>
          <w:szCs w:val="24"/>
        </w:rPr>
        <w:t>重量，摇匀，用</w:t>
      </w:r>
      <w:r>
        <w:rPr>
          <w:sz w:val="24"/>
          <w:szCs w:val="24"/>
        </w:rPr>
        <w:t>0.22μm</w:t>
      </w:r>
      <w:r>
        <w:rPr>
          <w:sz w:val="24"/>
          <w:szCs w:val="24"/>
        </w:rPr>
        <w:t>微孔滤膜滤过，即得。</w:t>
      </w:r>
    </w:p>
    <w:p w:rsidR="001C4AC5" w:rsidRDefault="0054060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黑体" w:eastAsia="黑体" w:hAnsi="宋体" w:hint="eastAsia"/>
          <w:bCs/>
          <w:sz w:val="24"/>
          <w:szCs w:val="24"/>
        </w:rPr>
        <w:t>测定法</w:t>
      </w:r>
      <w:r>
        <w:rPr>
          <w:rFonts w:ascii="黑体" w:eastAsia="黑体" w:hAnsi="宋体" w:hint="eastAsia"/>
          <w:bCs/>
          <w:sz w:val="24"/>
          <w:szCs w:val="24"/>
        </w:rPr>
        <w:t xml:space="preserve">  </w:t>
      </w:r>
      <w:r>
        <w:rPr>
          <w:rFonts w:hAnsi="宋体"/>
          <w:sz w:val="24"/>
          <w:szCs w:val="24"/>
        </w:rPr>
        <w:t>分别精密吸取对照品溶液与</w:t>
      </w:r>
      <w:proofErr w:type="gramStart"/>
      <w:r>
        <w:rPr>
          <w:rFonts w:hAnsi="宋体"/>
          <w:sz w:val="24"/>
          <w:szCs w:val="24"/>
        </w:rPr>
        <w:t>供试品溶液</w:t>
      </w:r>
      <w:proofErr w:type="gramEnd"/>
      <w:r>
        <w:rPr>
          <w:rFonts w:hAnsi="宋体"/>
          <w:sz w:val="24"/>
          <w:szCs w:val="24"/>
        </w:rPr>
        <w:t>各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μl</w:t>
      </w:r>
      <w:r>
        <w:rPr>
          <w:rFonts w:hAnsi="宋体"/>
          <w:sz w:val="24"/>
          <w:szCs w:val="24"/>
        </w:rPr>
        <w:t>，注入高效液相色谱</w:t>
      </w:r>
      <w:r>
        <w:rPr>
          <w:sz w:val="24"/>
          <w:szCs w:val="24"/>
        </w:rPr>
        <w:t>-</w:t>
      </w:r>
      <w:r>
        <w:rPr>
          <w:rFonts w:hAnsi="宋体"/>
          <w:sz w:val="24"/>
          <w:szCs w:val="24"/>
        </w:rPr>
        <w:t>质谱联用仪，测定，即得。</w:t>
      </w:r>
    </w:p>
    <w:p w:rsidR="001C4AC5" w:rsidRDefault="00540608">
      <w:pPr>
        <w:spacing w:line="360" w:lineRule="auto"/>
        <w:ind w:firstLineChars="200" w:firstLine="480"/>
      </w:pPr>
      <w:r>
        <w:rPr>
          <w:rFonts w:ascii="黑体" w:eastAsia="黑体" w:hAnsi="宋体" w:hint="eastAsia"/>
          <w:bCs/>
          <w:sz w:val="24"/>
          <w:szCs w:val="24"/>
        </w:rPr>
        <w:t>结果判断</w:t>
      </w:r>
      <w:r>
        <w:rPr>
          <w:rFonts w:hint="eastAsia"/>
          <w:bCs/>
          <w:sz w:val="24"/>
          <w:szCs w:val="24"/>
        </w:rPr>
        <w:t xml:space="preserve">  </w:t>
      </w:r>
      <w:proofErr w:type="gramStart"/>
      <w:r>
        <w:rPr>
          <w:rFonts w:hAnsi="宋体"/>
          <w:sz w:val="24"/>
          <w:szCs w:val="24"/>
        </w:rPr>
        <w:t>供试品的</w:t>
      </w:r>
      <w:proofErr w:type="gramEnd"/>
      <w:r>
        <w:rPr>
          <w:sz w:val="24"/>
          <w:szCs w:val="24"/>
        </w:rPr>
        <w:t>m/z 943.5→797.5</w:t>
      </w:r>
      <w:r>
        <w:rPr>
          <w:rFonts w:hAnsi="宋体"/>
          <w:sz w:val="24"/>
          <w:szCs w:val="24"/>
        </w:rPr>
        <w:t>、</w:t>
      </w:r>
      <w:r>
        <w:rPr>
          <w:sz w:val="24"/>
          <w:szCs w:val="24"/>
        </w:rPr>
        <w:t>m/z 943.5→635.4</w:t>
      </w:r>
      <w:r>
        <w:rPr>
          <w:rFonts w:hAnsi="宋体"/>
          <w:sz w:val="24"/>
          <w:szCs w:val="24"/>
        </w:rPr>
        <w:t>和</w:t>
      </w:r>
      <w:r>
        <w:rPr>
          <w:sz w:val="24"/>
          <w:szCs w:val="24"/>
        </w:rPr>
        <w:t>m/z 943.5→781.5</w:t>
      </w:r>
      <w:r>
        <w:rPr>
          <w:rFonts w:hAnsi="宋体"/>
          <w:sz w:val="24"/>
          <w:szCs w:val="24"/>
        </w:rPr>
        <w:t>提取离子流色谱图中，若同时出现与对照品色谱保留时间相同的色谱峰</w:t>
      </w:r>
      <w:r>
        <w:rPr>
          <w:rFonts w:hAnsi="宋体" w:hint="eastAsia"/>
          <w:sz w:val="24"/>
          <w:szCs w:val="24"/>
        </w:rPr>
        <w:t>，</w:t>
      </w:r>
      <w:r>
        <w:rPr>
          <w:rFonts w:hAnsi="宋体"/>
          <w:sz w:val="24"/>
          <w:szCs w:val="24"/>
        </w:rPr>
        <w:t>则要求样品中</w:t>
      </w:r>
      <w:r>
        <w:rPr>
          <w:sz w:val="24"/>
          <w:szCs w:val="24"/>
        </w:rPr>
        <w:t>m/z 943.5→797.5</w:t>
      </w:r>
      <w:r>
        <w:rPr>
          <w:rFonts w:hAnsi="宋体"/>
          <w:sz w:val="24"/>
          <w:szCs w:val="24"/>
        </w:rPr>
        <w:t>提取离子流图中色谱峰面积不得超过对照品</w:t>
      </w:r>
      <w:r>
        <w:rPr>
          <w:sz w:val="24"/>
          <w:szCs w:val="24"/>
        </w:rPr>
        <w:t>m/z 943.5→797.5</w:t>
      </w:r>
      <w:r>
        <w:rPr>
          <w:rFonts w:hAnsi="宋体"/>
          <w:sz w:val="24"/>
          <w:szCs w:val="24"/>
        </w:rPr>
        <w:t>提取离子流图中的色谱峰面积。</w:t>
      </w:r>
    </w:p>
    <w:sectPr w:rsidR="001C4A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608" w:rsidRDefault="00540608" w:rsidP="00540608">
      <w:r>
        <w:separator/>
      </w:r>
    </w:p>
  </w:endnote>
  <w:endnote w:type="continuationSeparator" w:id="0">
    <w:p w:rsidR="00540608" w:rsidRDefault="00540608" w:rsidP="00540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608" w:rsidRDefault="00540608" w:rsidP="00540608">
      <w:r>
        <w:separator/>
      </w:r>
    </w:p>
  </w:footnote>
  <w:footnote w:type="continuationSeparator" w:id="0">
    <w:p w:rsidR="00540608" w:rsidRDefault="00540608" w:rsidP="005406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20"/>
    <w:rsid w:val="00133F20"/>
    <w:rsid w:val="001C4AC5"/>
    <w:rsid w:val="00540608"/>
    <w:rsid w:val="34FE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2">
    <w:name w:val="heading 2"/>
    <w:next w:val="a"/>
    <w:link w:val="2Char"/>
    <w:qFormat/>
    <w:pPr>
      <w:keepNext/>
      <w:keepLines/>
      <w:spacing w:line="413" w:lineRule="auto"/>
      <w:outlineLvl w:val="1"/>
    </w:pPr>
    <w:rPr>
      <w:rFonts w:ascii="Cambria" w:eastAsia="宋体" w:hAnsi="Cambria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2Char">
    <w:name w:val="标题 2 Char"/>
    <w:basedOn w:val="a0"/>
    <w:link w:val="2"/>
    <w:qFormat/>
    <w:rPr>
      <w:rFonts w:ascii="Cambria" w:eastAsia="宋体" w:hAnsi="Cambria" w:cs="Times New Roman"/>
      <w:kern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2">
    <w:name w:val="heading 2"/>
    <w:next w:val="a"/>
    <w:link w:val="2Char"/>
    <w:qFormat/>
    <w:pPr>
      <w:keepNext/>
      <w:keepLines/>
      <w:spacing w:line="413" w:lineRule="auto"/>
      <w:outlineLvl w:val="1"/>
    </w:pPr>
    <w:rPr>
      <w:rFonts w:ascii="Cambria" w:eastAsia="宋体" w:hAnsi="Cambria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2Char">
    <w:name w:val="标题 2 Char"/>
    <w:basedOn w:val="a0"/>
    <w:link w:val="2"/>
    <w:qFormat/>
    <w:rPr>
      <w:rFonts w:ascii="Cambria" w:eastAsia="宋体" w:hAnsi="Cambria" w:cs="Times New Roman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Company>P R C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陈正东</dc:creator>
  <cp:lastModifiedBy>Windows User</cp:lastModifiedBy>
  <cp:revision>2</cp:revision>
  <dcterms:created xsi:type="dcterms:W3CDTF">2022-02-21T08:30:00Z</dcterms:created>
  <dcterms:modified xsi:type="dcterms:W3CDTF">2022-02-21T08:30:00Z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