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23" w:rsidRDefault="00773454">
      <w:pPr>
        <w:spacing w:line="56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</w:p>
    <w:p w:rsidR="00F64023" w:rsidRDefault="00F64023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64023" w:rsidRDefault="00773454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原位杂交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类体外诊断试剂产品</w:t>
      </w:r>
    </w:p>
    <w:p w:rsidR="00F64023" w:rsidRDefault="00773454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分类界定指导原则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（征求意见稿）</w:t>
      </w:r>
    </w:p>
    <w:p w:rsidR="00F64023" w:rsidRDefault="00773454">
      <w:pPr>
        <w:pStyle w:val="1"/>
        <w:spacing w:line="560" w:lineRule="exact"/>
        <w:ind w:firstLineChars="0" w:firstLine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  </w:t>
      </w:r>
    </w:p>
    <w:p w:rsidR="00F64023" w:rsidRDefault="00773454">
      <w:pPr>
        <w:pStyle w:val="1"/>
        <w:spacing w:line="560" w:lineRule="exact"/>
        <w:ind w:firstLineChars="0" w:firstLine="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目的</w:t>
      </w:r>
    </w:p>
    <w:p w:rsidR="00F64023" w:rsidRDefault="0077345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为指导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原位杂交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类体外诊断试剂产品管理属性和管理类别判定，根据《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体外诊断试剂注册管理办法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》《体外诊断试剂分类规则》等，制定本原则。</w:t>
      </w:r>
    </w:p>
    <w:p w:rsidR="00F64023" w:rsidRDefault="00773454">
      <w:pPr>
        <w:pStyle w:val="1"/>
        <w:spacing w:line="560" w:lineRule="exact"/>
        <w:ind w:firstLineChars="0" w:firstLine="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范围</w:t>
      </w:r>
    </w:p>
    <w:p w:rsidR="00F64023" w:rsidRDefault="0077345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本原则中的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原位杂交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是指根据碱基互补配对的原则，在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与目标核酸配对的核酸片段（探针）上标记染料，该探针与组织切片、细胞涂片、染色体铺片上的待检样本中相应的核酸片段在一定条件下特异结合（杂交）形成双链核酸，借助于显微镜观察并记录形成杂交双链的类型、数量，从而判断待检样本中目标核酸正常与否的检测方法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</w:p>
    <w:p w:rsidR="00F64023" w:rsidRDefault="00773454">
      <w:pPr>
        <w:pStyle w:val="1"/>
        <w:spacing w:line="560" w:lineRule="exact"/>
        <w:ind w:firstLineChars="0" w:firstLine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 w:hint="eastAsia"/>
          <w:color w:val="000000"/>
          <w:sz w:val="32"/>
          <w:szCs w:val="32"/>
        </w:rPr>
        <w:t>管理属性界定</w:t>
      </w:r>
    </w:p>
    <w:p w:rsidR="00F64023" w:rsidRDefault="0077345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该类产品的管理属性应基于其预期用途进行判定。如该类产品用于体外诊断，且符合医疗器械定义按照医疗器械管理。如果不用于体外诊断（如仅用于科研实验室、教学等），不符合医疗器械定义，不按照医疗器械管理。</w:t>
      </w:r>
    </w:p>
    <w:p w:rsidR="00F64023" w:rsidRDefault="0077345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四、管理类别判定</w:t>
      </w:r>
    </w:p>
    <w:p w:rsidR="00F64023" w:rsidRDefault="00773454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该类产品的管理类别界定应基于其预期用途，临床上结合其检测结果对疾病诊断的影响程度（唯一的决定因素或几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种因素之一），并结合临床专业指南或专家共识进行综合判定。</w:t>
      </w:r>
    </w:p>
    <w:p w:rsidR="00F64023" w:rsidRDefault="00773454">
      <w:pPr>
        <w:widowControl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具有临床专业指南或专家共识，临床可以直接参考该指标用于诊断或指导治疗的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类体外诊断试剂产品，认为具有明确诊断价值。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其中，</w:t>
      </w:r>
      <w:r>
        <w:rPr>
          <w:rFonts w:ascii="Times New Roman" w:eastAsia="仿宋_GB2312" w:hAnsi="Times New Roman" w:hint="eastAsia"/>
          <w:sz w:val="32"/>
          <w:szCs w:val="32"/>
        </w:rPr>
        <w:t>用于肿瘤诊断或辅助诊断、遗传性疾病检测、</w:t>
      </w:r>
      <w:r>
        <w:rPr>
          <w:rFonts w:eastAsia="仿宋_GB2312"/>
          <w:sz w:val="32"/>
          <w:szCs w:val="32"/>
        </w:rPr>
        <w:t>治疗药物作用靶点检测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伴随诊断</w:t>
      </w:r>
      <w:r>
        <w:rPr>
          <w:rFonts w:eastAsia="仿宋_GB2312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类体外诊断试剂按照第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三类医疗器械管理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F64023" w:rsidRDefault="00773454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依据《体外诊断试剂分类规则》第六条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款，</w:t>
      </w:r>
      <w:r>
        <w:rPr>
          <w:rFonts w:eastAsia="仿宋_GB2312"/>
          <w:color w:val="000000" w:themeColor="text1"/>
          <w:sz w:val="32"/>
          <w:szCs w:val="32"/>
        </w:rPr>
        <w:t>用于其他生理、生化或者免疫功能指标检测的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类体外诊断试剂按照第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类医疗器械管理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F64023" w:rsidRDefault="00773454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除按照第三类和第二类医疗器械管理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类体外诊断试剂产品，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其他的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按照第一类医疗器械管理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原位杂交实验用样本处理试剂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F64023" w:rsidRDefault="00773454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五、有关要求</w:t>
      </w:r>
    </w:p>
    <w:p w:rsidR="00F64023" w:rsidRDefault="0077345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（一）自本通告发布之日起，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类体外诊断试剂产品应当按照上述原则申请注册。</w:t>
      </w:r>
    </w:p>
    <w:p w:rsidR="00F64023" w:rsidRDefault="0077345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（二）已获准按照医疗器械注册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备案的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类体外诊断试剂产品，如与上述指导原则一致的其注册证在有效期内继续有效。如与上述指导原则不一致的可重新进行分类界定申请。</w:t>
      </w:r>
    </w:p>
    <w:p w:rsidR="00F64023" w:rsidRDefault="00F6402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64023" w:rsidRDefault="00F6402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64023" w:rsidRDefault="00F6402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64023" w:rsidRDefault="00F64023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64023" w:rsidRDefault="00F6402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64023" w:rsidRDefault="00773454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原位杂交类体外诊断试剂产品分类界定</w:t>
      </w:r>
    </w:p>
    <w:p w:rsidR="00F64023" w:rsidRDefault="00773454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指导原则（征求意见稿）编制说明</w:t>
      </w:r>
    </w:p>
    <w:p w:rsidR="00F64023" w:rsidRDefault="00F64023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64023" w:rsidRDefault="0077345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随着医疗科学技术的发展，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检测方法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作为一种分子细胞遗传学诊断技术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在临床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病理检测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广泛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应用，经过多年的发展和临床实践，结合分类工作实践，该指导原则对涉及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/>
          <w:color w:val="000000"/>
          <w:sz w:val="32"/>
          <w:szCs w:val="32"/>
        </w:rPr>
        <w:t>类体外诊断试剂产品分类的规则进行了梳理和细化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F64023" w:rsidRDefault="0077345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一、梳理近几年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原位杂交类体外诊断试剂分类界定产品和已</w:t>
      </w:r>
      <w:bookmarkStart w:id="0" w:name="_GoBack"/>
      <w:bookmarkEnd w:id="0"/>
      <w:r>
        <w:rPr>
          <w:rFonts w:ascii="Times New Roman" w:eastAsia="仿宋_GB2312" w:hAnsi="Times New Roman" w:hint="eastAsia"/>
          <w:color w:val="000000"/>
          <w:sz w:val="32"/>
          <w:szCs w:val="32"/>
        </w:rPr>
        <w:t>上市产品，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拟对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《食品药品监管总局关于过敏原类、流式细胞仪配套用、免疫组化和原位杂交类体外诊断试剂产品属性及类别调整的通告》（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国家食品药品监督管理总局通告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226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以下简称原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226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号通告）附件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《免疫组化和原位杂交类产品分类调整产品清单》中的产品列表结合体外诊断试剂子目录修订工作适时进行更新，以便于指导相关监管部门和企业进行日常分类界定工作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F64023" w:rsidRDefault="0077345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二、原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226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号通告中按</w:t>
      </w:r>
      <w:r>
        <w:rPr>
          <w:rFonts w:ascii="Times New Roman" w:eastAsia="仿宋_GB2312" w:hAnsi="Times New Roman"/>
          <w:color w:val="000000"/>
          <w:sz w:val="32"/>
          <w:szCs w:val="32"/>
        </w:rPr>
        <w:t>第三类体外诊断试剂管理的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类产品的表述进行细化和完善。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将“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指导临床用药的特异性抗体或探针试剂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”和“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具有明确诊断价值的抗体或探针试剂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”修改为“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具有临床专业指南或专家共识，临床可以直接参考该指标用于诊断或指导治疗的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类体外诊断试剂产品，认为具有明确诊断价值。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其中，</w:t>
      </w:r>
      <w:r>
        <w:rPr>
          <w:rFonts w:ascii="Times New Roman" w:eastAsia="仿宋_GB2312" w:hAnsi="Times New Roman" w:hint="eastAsia"/>
          <w:sz w:val="32"/>
          <w:szCs w:val="32"/>
        </w:rPr>
        <w:t>用于肿瘤诊断或辅助诊断、遗传性疾病检</w:t>
      </w:r>
      <w:r>
        <w:rPr>
          <w:rFonts w:ascii="Times New Roman" w:eastAsia="仿宋_GB2312" w:hAnsi="Times New Roman" w:hint="eastAsia"/>
          <w:sz w:val="32"/>
          <w:szCs w:val="32"/>
        </w:rPr>
        <w:t>测、</w:t>
      </w:r>
      <w:r>
        <w:rPr>
          <w:rFonts w:eastAsia="仿宋_GB2312"/>
          <w:sz w:val="32"/>
          <w:szCs w:val="32"/>
        </w:rPr>
        <w:t>治疗药物作用靶点检测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伴随</w:t>
      </w:r>
      <w:r>
        <w:rPr>
          <w:rFonts w:eastAsia="仿宋_GB2312" w:hint="eastAsia"/>
          <w:sz w:val="32"/>
          <w:szCs w:val="32"/>
        </w:rPr>
        <w:lastRenderedPageBreak/>
        <w:t>诊断</w:t>
      </w:r>
      <w:r>
        <w:rPr>
          <w:rFonts w:eastAsia="仿宋_GB2312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类体外诊断试剂按照第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三类医疗器械管理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”。</w:t>
      </w:r>
    </w:p>
    <w:p w:rsidR="00F64023" w:rsidRDefault="00773454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三、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226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号通告中按</w:t>
      </w:r>
      <w:r>
        <w:rPr>
          <w:rFonts w:ascii="Times New Roman" w:eastAsia="仿宋_GB2312" w:hAnsi="Times New Roman"/>
          <w:color w:val="00000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一</w:t>
      </w:r>
      <w:r>
        <w:rPr>
          <w:rFonts w:ascii="Times New Roman" w:eastAsia="仿宋_GB2312" w:hAnsi="Times New Roman"/>
          <w:color w:val="000000"/>
          <w:sz w:val="32"/>
          <w:szCs w:val="32"/>
        </w:rPr>
        <w:t>类体外诊断试剂管理的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类产品的表述进行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修改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和完善。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将“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具有辅助诊断价值的抗体或探针试剂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染色液；原位杂交实验用样本处理试剂、反应体系通用试剂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”修改为“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除按照第三类和第二类医疗器械管理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原位杂交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类体外诊断试剂产品，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其他的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按照第一类医疗器械管理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sz w:val="32"/>
          <w:szCs w:val="32"/>
        </w:rPr>
        <w:t>如</w:t>
      </w:r>
      <w:r>
        <w:rPr>
          <w:rFonts w:eastAsia="仿宋_GB2312" w:hint="eastAsia"/>
          <w:color w:val="000000" w:themeColor="text1"/>
          <w:sz w:val="32"/>
          <w:szCs w:val="32"/>
        </w:rPr>
        <w:t>原位杂交实验用样本处理试剂</w:t>
      </w:r>
      <w:r>
        <w:rPr>
          <w:rFonts w:eastAsia="仿宋_GB2312" w:hint="eastAsia"/>
          <w:color w:val="000000" w:themeColor="text1"/>
          <w:sz w:val="32"/>
          <w:szCs w:val="32"/>
        </w:rPr>
        <w:t>”。</w:t>
      </w:r>
    </w:p>
    <w:p w:rsidR="00F64023" w:rsidRDefault="00773454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四、新增按照</w:t>
      </w:r>
      <w:r>
        <w:rPr>
          <w:rFonts w:eastAsia="仿宋_GB2312"/>
          <w:color w:val="000000" w:themeColor="text1"/>
          <w:sz w:val="32"/>
          <w:szCs w:val="32"/>
        </w:rPr>
        <w:t>第</w:t>
      </w:r>
      <w:r>
        <w:rPr>
          <w:rFonts w:eastAsia="仿宋_GB2312" w:hint="eastAsia"/>
          <w:color w:val="000000" w:themeColor="text1"/>
          <w:sz w:val="32"/>
          <w:szCs w:val="32"/>
        </w:rPr>
        <w:t>二</w:t>
      </w:r>
      <w:r>
        <w:rPr>
          <w:rFonts w:eastAsia="仿宋_GB2312"/>
          <w:color w:val="000000" w:themeColor="text1"/>
          <w:sz w:val="32"/>
          <w:szCs w:val="32"/>
        </w:rPr>
        <w:t>类体外诊断试剂管理的</w:t>
      </w:r>
      <w:r>
        <w:rPr>
          <w:rFonts w:eastAsia="仿宋_GB2312" w:hint="eastAsia"/>
          <w:color w:val="000000" w:themeColor="text1"/>
          <w:sz w:val="32"/>
          <w:szCs w:val="32"/>
        </w:rPr>
        <w:t>原位杂交</w:t>
      </w:r>
      <w:r>
        <w:rPr>
          <w:rFonts w:eastAsia="仿宋_GB2312" w:hint="eastAsia"/>
          <w:color w:val="000000" w:themeColor="text1"/>
          <w:sz w:val="32"/>
          <w:szCs w:val="32"/>
        </w:rPr>
        <w:t>类产品的</w:t>
      </w:r>
      <w:r>
        <w:rPr>
          <w:rFonts w:eastAsia="仿宋_GB2312" w:hint="eastAsia"/>
          <w:color w:val="000000" w:themeColor="text1"/>
          <w:sz w:val="32"/>
          <w:szCs w:val="32"/>
        </w:rPr>
        <w:t>有关要求</w:t>
      </w:r>
      <w:r>
        <w:rPr>
          <w:rFonts w:eastAsia="仿宋_GB2312" w:hint="eastAsia"/>
          <w:color w:val="000000" w:themeColor="text1"/>
          <w:sz w:val="32"/>
          <w:szCs w:val="32"/>
        </w:rPr>
        <w:t>。依据《体外诊断试剂分类规则》第六条</w:t>
      </w:r>
      <w:r>
        <w:rPr>
          <w:rFonts w:eastAsia="仿宋_GB2312" w:hint="eastAsia"/>
          <w:color w:val="000000" w:themeColor="text1"/>
          <w:sz w:val="32"/>
          <w:szCs w:val="32"/>
        </w:rPr>
        <w:t>第</w:t>
      </w:r>
      <w:r>
        <w:rPr>
          <w:rFonts w:eastAsia="仿宋_GB2312" w:hint="eastAsia"/>
          <w:color w:val="000000" w:themeColor="text1"/>
          <w:sz w:val="32"/>
          <w:szCs w:val="32"/>
        </w:rPr>
        <w:t>（二）</w:t>
      </w:r>
      <w:r>
        <w:rPr>
          <w:rFonts w:eastAsia="仿宋_GB2312" w:hint="eastAsia"/>
          <w:color w:val="000000" w:themeColor="text1"/>
          <w:sz w:val="32"/>
          <w:szCs w:val="32"/>
        </w:rPr>
        <w:t>款，</w:t>
      </w:r>
      <w:r>
        <w:rPr>
          <w:rFonts w:eastAsia="仿宋_GB2312" w:hint="eastAsia"/>
          <w:color w:val="000000" w:themeColor="text1"/>
          <w:sz w:val="32"/>
          <w:szCs w:val="32"/>
        </w:rPr>
        <w:t>用于其他生理、生化或者免疫功能指标检测的</w:t>
      </w:r>
      <w:r>
        <w:rPr>
          <w:rFonts w:eastAsia="仿宋_GB2312" w:hint="eastAsia"/>
          <w:color w:val="000000" w:themeColor="text1"/>
          <w:sz w:val="32"/>
          <w:szCs w:val="32"/>
        </w:rPr>
        <w:t>原位杂交</w:t>
      </w:r>
      <w:r>
        <w:rPr>
          <w:rFonts w:eastAsia="仿宋_GB2312" w:hint="eastAsia"/>
          <w:color w:val="000000" w:themeColor="text1"/>
          <w:sz w:val="32"/>
          <w:szCs w:val="32"/>
        </w:rPr>
        <w:t>类体外诊断试剂按照第</w:t>
      </w:r>
      <w:r>
        <w:rPr>
          <w:rFonts w:eastAsia="仿宋_GB2312" w:hint="eastAsia"/>
          <w:color w:val="000000" w:themeColor="text1"/>
          <w:sz w:val="32"/>
          <w:szCs w:val="32"/>
        </w:rPr>
        <w:t>二</w:t>
      </w:r>
      <w:r>
        <w:rPr>
          <w:rFonts w:eastAsia="仿宋_GB2312" w:hint="eastAsia"/>
          <w:color w:val="000000" w:themeColor="text1"/>
          <w:sz w:val="32"/>
          <w:szCs w:val="32"/>
        </w:rPr>
        <w:t>类医疗器械管理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F64023" w:rsidRDefault="00F64023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sectPr w:rsidR="00F6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F4469"/>
    <w:rsid w:val="00096C76"/>
    <w:rsid w:val="00773454"/>
    <w:rsid w:val="00F64023"/>
    <w:rsid w:val="02016451"/>
    <w:rsid w:val="07682266"/>
    <w:rsid w:val="095F2921"/>
    <w:rsid w:val="10D17E53"/>
    <w:rsid w:val="15344706"/>
    <w:rsid w:val="1DA44F54"/>
    <w:rsid w:val="23BA5124"/>
    <w:rsid w:val="264D4B42"/>
    <w:rsid w:val="29A06633"/>
    <w:rsid w:val="2A132700"/>
    <w:rsid w:val="2A276C39"/>
    <w:rsid w:val="2AC43D15"/>
    <w:rsid w:val="2FEC167B"/>
    <w:rsid w:val="434F4469"/>
    <w:rsid w:val="4B8A3A38"/>
    <w:rsid w:val="54021A78"/>
    <w:rsid w:val="57F9274F"/>
    <w:rsid w:val="58AE7EAF"/>
    <w:rsid w:val="59012FAD"/>
    <w:rsid w:val="59341DF2"/>
    <w:rsid w:val="67F663FC"/>
    <w:rsid w:val="6C236AF0"/>
    <w:rsid w:val="73123F88"/>
    <w:rsid w:val="7B9570CE"/>
    <w:rsid w:val="7F12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4C47E"/>
  <w15:docId w15:val="{23E0AEA0-9EDE-4CD9-8B23-6533B252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1415</Characters>
  <Application>Microsoft Office Word</Application>
  <DocSecurity>0</DocSecurity>
  <Lines>11</Lines>
  <Paragraphs>3</Paragraphs>
  <ScaleCrop>false</ScaleCrop>
  <Company>Organization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桑攀逢</dc:creator>
  <cp:lastModifiedBy>Windows 用户</cp:lastModifiedBy>
  <cp:revision>2</cp:revision>
  <cp:lastPrinted>2023-10-10T02:31:00Z</cp:lastPrinted>
  <dcterms:created xsi:type="dcterms:W3CDTF">2023-09-25T01:10:00Z</dcterms:created>
  <dcterms:modified xsi:type="dcterms:W3CDTF">2025-04-21T07:29:00Z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