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15D62" w14:textId="77777777" w:rsidR="00B362D3" w:rsidRPr="009434F5" w:rsidRDefault="00B362D3" w:rsidP="00B362D3">
      <w:pPr>
        <w:rPr>
          <w:rFonts w:eastAsia="仿宋_GB2312"/>
          <w:sz w:val="32"/>
          <w:szCs w:val="32"/>
        </w:rPr>
      </w:pPr>
      <w:r w:rsidRPr="009434F5">
        <w:rPr>
          <w:rFonts w:eastAsia="仿宋_GB2312" w:hint="eastAsia"/>
          <w:sz w:val="32"/>
          <w:szCs w:val="32"/>
        </w:rPr>
        <w:t>附件</w:t>
      </w:r>
    </w:p>
    <w:p w14:paraId="688408EF" w14:textId="77777777" w:rsidR="00E5691B" w:rsidRDefault="00EC13FE">
      <w:pPr>
        <w:snapToGrid w:val="0"/>
        <w:spacing w:line="288" w:lineRule="auto"/>
        <w:rPr>
          <w:rFonts w:ascii="黑体" w:eastAsia="黑体" w:hAnsi="黑体" w:cs="黑体"/>
          <w:sz w:val="84"/>
          <w:szCs w:val="84"/>
        </w:rPr>
      </w:pPr>
      <w:r>
        <w:rPr>
          <w:color w:val="000000"/>
          <w:sz w:val="28"/>
          <w:szCs w:val="28"/>
        </w:rPr>
        <w:t xml:space="preserve">   </w:t>
      </w:r>
      <w:r>
        <w:rPr>
          <w:sz w:val="24"/>
        </w:rPr>
        <w:t xml:space="preserve">                     </w:t>
      </w:r>
    </w:p>
    <w:p w14:paraId="2C57AFD0" w14:textId="77777777" w:rsidR="00E5691B" w:rsidRDefault="00E5691B">
      <w:pPr>
        <w:adjustRightInd w:val="0"/>
        <w:snapToGrid w:val="0"/>
        <w:spacing w:line="288" w:lineRule="auto"/>
        <w:jc w:val="center"/>
        <w:rPr>
          <w:rFonts w:ascii="黑体" w:eastAsia="黑体" w:hAnsi="黑体" w:cs="黑体"/>
          <w:sz w:val="84"/>
          <w:szCs w:val="84"/>
        </w:rPr>
      </w:pPr>
    </w:p>
    <w:p w14:paraId="0C86916B" w14:textId="56B14BFA" w:rsidR="00B362D3" w:rsidRPr="000C480C" w:rsidRDefault="00B362D3" w:rsidP="00B362D3">
      <w:pPr>
        <w:snapToGrid w:val="0"/>
        <w:spacing w:line="288" w:lineRule="auto"/>
        <w:jc w:val="center"/>
        <w:rPr>
          <w:rFonts w:ascii="黑体" w:eastAsia="黑体" w:hAnsi="黑体" w:cs="黑体"/>
          <w:b/>
          <w:bCs/>
          <w:sz w:val="52"/>
          <w:szCs w:val="52"/>
        </w:rPr>
      </w:pPr>
      <w:bookmarkStart w:id="0" w:name="_GoBack"/>
      <w:r w:rsidRPr="000C480C">
        <w:rPr>
          <w:rFonts w:ascii="黑体" w:eastAsia="黑体" w:hAnsi="黑体" w:cs="黑体" w:hint="eastAsia"/>
          <w:b/>
          <w:bCs/>
          <w:sz w:val="56"/>
          <w:szCs w:val="56"/>
        </w:rPr>
        <w:t>生殖发育毒性试验技术指导原则</w:t>
      </w:r>
    </w:p>
    <w:p w14:paraId="218567DA" w14:textId="77777777" w:rsidR="00B362D3" w:rsidRPr="000C480C" w:rsidRDefault="00B362D3" w:rsidP="00B362D3">
      <w:pPr>
        <w:snapToGrid w:val="0"/>
        <w:spacing w:line="288" w:lineRule="auto"/>
        <w:jc w:val="center"/>
        <w:rPr>
          <w:rFonts w:ascii="黑体" w:eastAsia="黑体" w:hAnsi="黑体" w:cs="黑体"/>
          <w:b/>
          <w:bCs/>
          <w:sz w:val="48"/>
          <w:szCs w:val="48"/>
        </w:rPr>
      </w:pPr>
    </w:p>
    <w:p w14:paraId="15EDCF98" w14:textId="77777777" w:rsidR="00B362D3" w:rsidRPr="000C480C" w:rsidRDefault="00B362D3" w:rsidP="00B362D3">
      <w:pPr>
        <w:snapToGrid w:val="0"/>
        <w:spacing w:line="288" w:lineRule="auto"/>
        <w:jc w:val="center"/>
        <w:rPr>
          <w:rFonts w:ascii="黑体" w:eastAsia="黑体" w:hAnsi="黑体" w:cs="黑体"/>
          <w:b/>
          <w:bCs/>
          <w:sz w:val="48"/>
          <w:szCs w:val="48"/>
        </w:rPr>
      </w:pPr>
      <w:r w:rsidRPr="000C480C">
        <w:rPr>
          <w:rFonts w:ascii="黑体" w:eastAsia="黑体" w:hAnsi="黑体" w:cs="黑体" w:hint="eastAsia"/>
          <w:b/>
          <w:bCs/>
          <w:sz w:val="48"/>
          <w:szCs w:val="48"/>
        </w:rPr>
        <w:t>（征求意见稿）</w:t>
      </w:r>
      <w:bookmarkEnd w:id="0"/>
    </w:p>
    <w:p w14:paraId="3C7CB407" w14:textId="77777777" w:rsidR="00E5691B" w:rsidRPr="000C480C" w:rsidRDefault="00E5691B">
      <w:pPr>
        <w:adjustRightInd w:val="0"/>
        <w:snapToGrid w:val="0"/>
        <w:spacing w:line="288" w:lineRule="auto"/>
        <w:jc w:val="center"/>
        <w:rPr>
          <w:rFonts w:ascii="黑体" w:eastAsia="黑体" w:hAnsi="黑体" w:cs="黑体"/>
          <w:b/>
          <w:bCs/>
          <w:sz w:val="52"/>
          <w:szCs w:val="52"/>
        </w:rPr>
      </w:pPr>
    </w:p>
    <w:p w14:paraId="17133EFF" w14:textId="77777777" w:rsidR="00E5691B" w:rsidRPr="000C480C" w:rsidRDefault="00E5691B">
      <w:pPr>
        <w:adjustRightInd w:val="0"/>
        <w:snapToGrid w:val="0"/>
        <w:spacing w:line="288" w:lineRule="auto"/>
        <w:jc w:val="center"/>
        <w:rPr>
          <w:rFonts w:ascii="黑体" w:eastAsia="黑体" w:hAnsi="黑体" w:cs="黑体"/>
          <w:b/>
          <w:bCs/>
          <w:sz w:val="52"/>
          <w:szCs w:val="52"/>
        </w:rPr>
      </w:pPr>
    </w:p>
    <w:p w14:paraId="586476EE" w14:textId="77777777" w:rsidR="00E5691B" w:rsidRPr="000C480C" w:rsidRDefault="00E5691B">
      <w:pPr>
        <w:adjustRightInd w:val="0"/>
        <w:snapToGrid w:val="0"/>
        <w:spacing w:line="360" w:lineRule="auto"/>
        <w:jc w:val="center"/>
        <w:rPr>
          <w:rFonts w:ascii="仿宋" w:eastAsia="仿宋" w:hAnsi="仿宋" w:cs="仿宋"/>
          <w:sz w:val="44"/>
          <w:szCs w:val="44"/>
        </w:rPr>
      </w:pPr>
    </w:p>
    <w:p w14:paraId="21336E71" w14:textId="77777777" w:rsidR="00E5691B" w:rsidRPr="000C480C" w:rsidRDefault="00E5691B">
      <w:pPr>
        <w:adjustRightInd w:val="0"/>
        <w:snapToGrid w:val="0"/>
        <w:spacing w:line="360" w:lineRule="auto"/>
        <w:jc w:val="center"/>
        <w:rPr>
          <w:rFonts w:ascii="仿宋" w:eastAsia="仿宋" w:hAnsi="仿宋" w:cs="仿宋"/>
          <w:sz w:val="44"/>
          <w:szCs w:val="44"/>
        </w:rPr>
      </w:pPr>
    </w:p>
    <w:p w14:paraId="4D20A0B1" w14:textId="77777777" w:rsidR="00E5691B" w:rsidRPr="000C480C" w:rsidRDefault="00E5691B">
      <w:pPr>
        <w:adjustRightInd w:val="0"/>
        <w:snapToGrid w:val="0"/>
        <w:spacing w:line="360" w:lineRule="auto"/>
        <w:jc w:val="center"/>
        <w:rPr>
          <w:rFonts w:ascii="仿宋" w:eastAsia="仿宋" w:hAnsi="仿宋" w:cs="仿宋"/>
          <w:sz w:val="44"/>
          <w:szCs w:val="44"/>
        </w:rPr>
      </w:pPr>
    </w:p>
    <w:p w14:paraId="77C1969D" w14:textId="77777777" w:rsidR="00E5691B" w:rsidRPr="000C480C" w:rsidRDefault="00E5691B">
      <w:pPr>
        <w:adjustRightInd w:val="0"/>
        <w:snapToGrid w:val="0"/>
        <w:spacing w:line="360" w:lineRule="auto"/>
        <w:jc w:val="center"/>
        <w:rPr>
          <w:sz w:val="24"/>
        </w:rPr>
      </w:pPr>
    </w:p>
    <w:p w14:paraId="043098E1" w14:textId="77777777" w:rsidR="00E5691B" w:rsidRPr="000C480C" w:rsidRDefault="00E5691B">
      <w:pPr>
        <w:widowControl w:val="0"/>
        <w:snapToGrid w:val="0"/>
        <w:spacing w:line="360" w:lineRule="auto"/>
        <w:jc w:val="center"/>
        <w:rPr>
          <w:rFonts w:eastAsia="楷体"/>
          <w:color w:val="000000" w:themeColor="text1"/>
          <w:sz w:val="40"/>
          <w:szCs w:val="40"/>
        </w:rPr>
      </w:pPr>
    </w:p>
    <w:p w14:paraId="23964A20" w14:textId="77777777" w:rsidR="00B362D3" w:rsidRPr="000C480C" w:rsidRDefault="00B362D3">
      <w:pPr>
        <w:widowControl w:val="0"/>
        <w:snapToGrid w:val="0"/>
        <w:spacing w:line="360" w:lineRule="auto"/>
        <w:jc w:val="center"/>
        <w:rPr>
          <w:rFonts w:eastAsia="楷体"/>
          <w:color w:val="000000" w:themeColor="text1"/>
          <w:sz w:val="40"/>
          <w:szCs w:val="40"/>
        </w:rPr>
      </w:pPr>
    </w:p>
    <w:p w14:paraId="293D8233" w14:textId="77777777" w:rsidR="00B362D3" w:rsidRPr="000C480C" w:rsidRDefault="00B362D3" w:rsidP="00B362D3">
      <w:pPr>
        <w:snapToGrid w:val="0"/>
        <w:spacing w:line="360" w:lineRule="auto"/>
        <w:jc w:val="center"/>
        <w:rPr>
          <w:rFonts w:eastAsia="楷体"/>
          <w:sz w:val="44"/>
          <w:szCs w:val="44"/>
        </w:rPr>
      </w:pPr>
      <w:r w:rsidRPr="000C480C">
        <w:rPr>
          <w:rFonts w:eastAsia="楷体"/>
          <w:sz w:val="44"/>
          <w:szCs w:val="44"/>
        </w:rPr>
        <w:t>中国食品药品检定研究院</w:t>
      </w:r>
    </w:p>
    <w:p w14:paraId="37B8A616" w14:textId="77777777" w:rsidR="00B362D3" w:rsidRPr="000C480C" w:rsidRDefault="00B362D3" w:rsidP="00B362D3">
      <w:pPr>
        <w:snapToGrid w:val="0"/>
        <w:spacing w:line="360" w:lineRule="auto"/>
        <w:jc w:val="center"/>
        <w:rPr>
          <w:rFonts w:eastAsia="楷体"/>
          <w:sz w:val="44"/>
          <w:szCs w:val="44"/>
        </w:rPr>
      </w:pPr>
      <w:r w:rsidRPr="000C480C">
        <w:rPr>
          <w:rFonts w:eastAsia="楷体"/>
          <w:color w:val="000000"/>
          <w:sz w:val="40"/>
          <w:szCs w:val="40"/>
        </w:rPr>
        <w:t>2023</w:t>
      </w:r>
      <w:r w:rsidRPr="000C480C">
        <w:rPr>
          <w:rFonts w:eastAsia="楷体"/>
          <w:color w:val="000000"/>
          <w:sz w:val="40"/>
          <w:szCs w:val="40"/>
        </w:rPr>
        <w:t>年</w:t>
      </w:r>
      <w:r w:rsidRPr="000C480C">
        <w:rPr>
          <w:rFonts w:eastAsia="楷体" w:hint="eastAsia"/>
          <w:color w:val="000000"/>
          <w:sz w:val="40"/>
          <w:szCs w:val="40"/>
        </w:rPr>
        <w:t>9</w:t>
      </w:r>
      <w:r w:rsidRPr="000C480C">
        <w:rPr>
          <w:rFonts w:eastAsia="楷体"/>
          <w:color w:val="000000"/>
          <w:sz w:val="40"/>
          <w:szCs w:val="40"/>
        </w:rPr>
        <w:t>月</w:t>
      </w:r>
    </w:p>
    <w:p w14:paraId="5EDC9420" w14:textId="77777777" w:rsidR="00B362D3" w:rsidRPr="000C480C" w:rsidRDefault="00B362D3" w:rsidP="00B362D3">
      <w:pPr>
        <w:jc w:val="center"/>
        <w:rPr>
          <w:rFonts w:ascii="黑体" w:eastAsia="黑体" w:hAnsi="黑体" w:cs="黑体"/>
          <w:b/>
          <w:bCs/>
          <w:sz w:val="30"/>
          <w:szCs w:val="30"/>
        </w:rPr>
      </w:pPr>
      <w:r w:rsidRPr="000C480C">
        <w:rPr>
          <w:rFonts w:ascii="黑体" w:eastAsia="黑体" w:hAnsi="黑体" w:cs="黑体" w:hint="eastAsia"/>
          <w:b/>
          <w:bCs/>
          <w:sz w:val="30"/>
          <w:szCs w:val="30"/>
        </w:rPr>
        <w:t>目</w:t>
      </w:r>
      <w:r w:rsidRPr="000C480C">
        <w:rPr>
          <w:rFonts w:ascii="黑体" w:eastAsia="黑体" w:hAnsi="黑体" w:cs="黑体"/>
          <w:b/>
          <w:bCs/>
          <w:sz w:val="30"/>
          <w:szCs w:val="30"/>
        </w:rPr>
        <w:t xml:space="preserve">  </w:t>
      </w:r>
      <w:r w:rsidRPr="000C480C">
        <w:rPr>
          <w:rFonts w:ascii="黑体" w:eastAsia="黑体" w:hAnsi="黑体" w:cs="黑体" w:hint="eastAsia"/>
          <w:b/>
          <w:bCs/>
          <w:sz w:val="30"/>
          <w:szCs w:val="30"/>
        </w:rPr>
        <w:t>录</w:t>
      </w:r>
    </w:p>
    <w:p w14:paraId="6EE18447" w14:textId="706B2B14" w:rsidR="00C93686" w:rsidRPr="002D276D" w:rsidRDefault="00EC13FE" w:rsidP="002D276D">
      <w:pPr>
        <w:pStyle w:val="1"/>
        <w:tabs>
          <w:tab w:val="right" w:leader="dot" w:pos="8647"/>
        </w:tabs>
        <w:spacing w:after="100" w:line="259" w:lineRule="auto"/>
        <w:ind w:rightChars="-28" w:right="-59"/>
        <w:rPr>
          <w:rFonts w:eastAsia="黑体"/>
          <w:bCs/>
          <w:kern w:val="0"/>
          <w:sz w:val="24"/>
        </w:rPr>
      </w:pPr>
      <w:r w:rsidRPr="002D276D">
        <w:rPr>
          <w:rFonts w:eastAsia="仿宋"/>
          <w:bCs/>
          <w:sz w:val="28"/>
          <w:szCs w:val="28"/>
        </w:rPr>
        <w:fldChar w:fldCharType="begin"/>
      </w:r>
      <w:r w:rsidRPr="002D276D">
        <w:rPr>
          <w:rFonts w:eastAsia="仿宋"/>
          <w:bCs/>
          <w:sz w:val="28"/>
          <w:szCs w:val="28"/>
        </w:rPr>
        <w:instrText xml:space="preserve">TOC \o "1-2" \h \u </w:instrText>
      </w:r>
      <w:r w:rsidRPr="002D276D">
        <w:rPr>
          <w:rFonts w:eastAsia="仿宋"/>
          <w:bCs/>
          <w:sz w:val="28"/>
          <w:szCs w:val="28"/>
        </w:rPr>
        <w:fldChar w:fldCharType="separate"/>
      </w:r>
      <w:hyperlink w:anchor="_Toc144910422" w:history="1">
        <w:r w:rsidR="00C93686" w:rsidRPr="002D276D">
          <w:rPr>
            <w:rFonts w:eastAsia="黑体"/>
            <w:bCs/>
            <w:kern w:val="0"/>
            <w:sz w:val="24"/>
          </w:rPr>
          <w:t>一、概述</w:t>
        </w:r>
        <w:r w:rsidR="00C93686" w:rsidRPr="002D276D">
          <w:rPr>
            <w:rFonts w:eastAsia="黑体"/>
            <w:bCs/>
            <w:kern w:val="0"/>
            <w:sz w:val="24"/>
          </w:rPr>
          <w:tab/>
        </w:r>
        <w:r w:rsidR="00C93686" w:rsidRPr="002D276D">
          <w:rPr>
            <w:rFonts w:eastAsia="黑体"/>
            <w:bCs/>
            <w:kern w:val="0"/>
            <w:sz w:val="24"/>
          </w:rPr>
          <w:fldChar w:fldCharType="begin"/>
        </w:r>
        <w:r w:rsidR="00C93686" w:rsidRPr="002D276D">
          <w:rPr>
            <w:rFonts w:eastAsia="黑体"/>
            <w:bCs/>
            <w:kern w:val="0"/>
            <w:sz w:val="24"/>
          </w:rPr>
          <w:instrText xml:space="preserve"> PAGEREF _Toc144910422 \h </w:instrText>
        </w:r>
        <w:r w:rsidR="00C93686" w:rsidRPr="002D276D">
          <w:rPr>
            <w:rFonts w:eastAsia="黑体"/>
            <w:bCs/>
            <w:kern w:val="0"/>
            <w:sz w:val="24"/>
          </w:rPr>
        </w:r>
        <w:r w:rsidR="00C93686" w:rsidRPr="002D276D">
          <w:rPr>
            <w:rFonts w:eastAsia="黑体"/>
            <w:bCs/>
            <w:kern w:val="0"/>
            <w:sz w:val="24"/>
          </w:rPr>
          <w:fldChar w:fldCharType="separate"/>
        </w:r>
        <w:r w:rsidR="00C93686" w:rsidRPr="002D276D">
          <w:rPr>
            <w:rFonts w:eastAsia="黑体"/>
            <w:bCs/>
            <w:kern w:val="0"/>
            <w:sz w:val="24"/>
          </w:rPr>
          <w:t>1</w:t>
        </w:r>
        <w:r w:rsidR="00C93686" w:rsidRPr="002D276D">
          <w:rPr>
            <w:rFonts w:eastAsia="黑体"/>
            <w:bCs/>
            <w:kern w:val="0"/>
            <w:sz w:val="24"/>
          </w:rPr>
          <w:fldChar w:fldCharType="end"/>
        </w:r>
      </w:hyperlink>
    </w:p>
    <w:p w14:paraId="5C9C97C5" w14:textId="4A799DF9" w:rsidR="00C93686" w:rsidRPr="002D276D" w:rsidRDefault="00967A09" w:rsidP="002D276D">
      <w:pPr>
        <w:pStyle w:val="1"/>
        <w:tabs>
          <w:tab w:val="right" w:leader="dot" w:pos="8647"/>
        </w:tabs>
        <w:spacing w:after="100" w:line="259" w:lineRule="auto"/>
        <w:rPr>
          <w:rFonts w:eastAsia="黑体"/>
          <w:bCs/>
          <w:kern w:val="0"/>
          <w:sz w:val="24"/>
        </w:rPr>
      </w:pPr>
      <w:hyperlink w:anchor="_Toc144910423" w:history="1">
        <w:r w:rsidR="00C93686" w:rsidRPr="002D276D">
          <w:rPr>
            <w:rFonts w:eastAsia="黑体"/>
            <w:bCs/>
            <w:kern w:val="0"/>
            <w:sz w:val="24"/>
          </w:rPr>
          <w:t>二、基本原则</w:t>
        </w:r>
        <w:r w:rsidR="00C93686" w:rsidRPr="002D276D">
          <w:rPr>
            <w:rFonts w:eastAsia="黑体"/>
            <w:bCs/>
            <w:kern w:val="0"/>
            <w:sz w:val="24"/>
          </w:rPr>
          <w:tab/>
        </w:r>
        <w:r w:rsidR="00C93686" w:rsidRPr="002D276D">
          <w:rPr>
            <w:rFonts w:eastAsia="黑体"/>
            <w:bCs/>
            <w:kern w:val="0"/>
            <w:sz w:val="24"/>
          </w:rPr>
          <w:fldChar w:fldCharType="begin"/>
        </w:r>
        <w:r w:rsidR="00C93686" w:rsidRPr="002D276D">
          <w:rPr>
            <w:rFonts w:eastAsia="黑体"/>
            <w:bCs/>
            <w:kern w:val="0"/>
            <w:sz w:val="24"/>
          </w:rPr>
          <w:instrText xml:space="preserve"> PAGEREF _Toc144910423 \h </w:instrText>
        </w:r>
        <w:r w:rsidR="00C93686" w:rsidRPr="002D276D">
          <w:rPr>
            <w:rFonts w:eastAsia="黑体"/>
            <w:bCs/>
            <w:kern w:val="0"/>
            <w:sz w:val="24"/>
          </w:rPr>
        </w:r>
        <w:r w:rsidR="00C93686" w:rsidRPr="002D276D">
          <w:rPr>
            <w:rFonts w:eastAsia="黑体"/>
            <w:bCs/>
            <w:kern w:val="0"/>
            <w:sz w:val="24"/>
          </w:rPr>
          <w:fldChar w:fldCharType="separate"/>
        </w:r>
        <w:r w:rsidR="00C93686" w:rsidRPr="002D276D">
          <w:rPr>
            <w:rFonts w:eastAsia="黑体"/>
            <w:bCs/>
            <w:kern w:val="0"/>
            <w:sz w:val="24"/>
          </w:rPr>
          <w:t>1</w:t>
        </w:r>
        <w:r w:rsidR="00C93686" w:rsidRPr="002D276D">
          <w:rPr>
            <w:rFonts w:eastAsia="黑体"/>
            <w:bCs/>
            <w:kern w:val="0"/>
            <w:sz w:val="24"/>
          </w:rPr>
          <w:fldChar w:fldCharType="end"/>
        </w:r>
      </w:hyperlink>
    </w:p>
    <w:p w14:paraId="7E7743B1" w14:textId="73516AF1" w:rsidR="00C93686" w:rsidRPr="002D276D" w:rsidRDefault="00967A09" w:rsidP="002D276D">
      <w:pPr>
        <w:pStyle w:val="2"/>
        <w:tabs>
          <w:tab w:val="right" w:leader="dot" w:pos="8647"/>
        </w:tabs>
        <w:spacing w:after="100" w:line="259" w:lineRule="auto"/>
        <w:rPr>
          <w:rFonts w:eastAsiaTheme="minorEastAsia"/>
          <w:noProof/>
          <w:sz w:val="24"/>
          <w14:ligatures w14:val="standardContextual"/>
        </w:rPr>
      </w:pPr>
      <w:hyperlink w:anchor="_Toc144910424" w:history="1">
        <w:r w:rsidR="00C93686" w:rsidRPr="002D276D">
          <w:rPr>
            <w:rStyle w:val="af2"/>
            <w:rFonts w:eastAsia="仿宋"/>
            <w:noProof/>
            <w:sz w:val="24"/>
          </w:rPr>
          <w:t>（一）一般原则</w:t>
        </w:r>
        <w:r w:rsidR="00C93686" w:rsidRPr="002D276D">
          <w:rPr>
            <w:noProof/>
            <w:sz w:val="24"/>
          </w:rPr>
          <w:tab/>
        </w:r>
        <w:r w:rsidR="00C93686" w:rsidRPr="002D276D">
          <w:rPr>
            <w:noProof/>
            <w:sz w:val="24"/>
          </w:rPr>
          <w:fldChar w:fldCharType="begin"/>
        </w:r>
        <w:r w:rsidR="00C93686" w:rsidRPr="002D276D">
          <w:rPr>
            <w:noProof/>
            <w:sz w:val="24"/>
          </w:rPr>
          <w:instrText xml:space="preserve"> PAGEREF _Toc144910424 \h </w:instrText>
        </w:r>
        <w:r w:rsidR="00C93686" w:rsidRPr="002D276D">
          <w:rPr>
            <w:noProof/>
            <w:sz w:val="24"/>
          </w:rPr>
        </w:r>
        <w:r w:rsidR="00C93686" w:rsidRPr="002D276D">
          <w:rPr>
            <w:noProof/>
            <w:sz w:val="24"/>
          </w:rPr>
          <w:fldChar w:fldCharType="separate"/>
        </w:r>
        <w:r w:rsidR="00C93686" w:rsidRPr="002D276D">
          <w:rPr>
            <w:noProof/>
            <w:sz w:val="24"/>
          </w:rPr>
          <w:t>1</w:t>
        </w:r>
        <w:r w:rsidR="00C93686" w:rsidRPr="002D276D">
          <w:rPr>
            <w:noProof/>
            <w:sz w:val="24"/>
          </w:rPr>
          <w:fldChar w:fldCharType="end"/>
        </w:r>
      </w:hyperlink>
    </w:p>
    <w:p w14:paraId="406CE96B" w14:textId="0E7F1421" w:rsidR="00C93686" w:rsidRPr="002D276D" w:rsidRDefault="00967A09" w:rsidP="002D276D">
      <w:pPr>
        <w:pStyle w:val="2"/>
        <w:tabs>
          <w:tab w:val="right" w:leader="dot" w:pos="8647"/>
        </w:tabs>
        <w:spacing w:after="100" w:line="259" w:lineRule="auto"/>
        <w:rPr>
          <w:rStyle w:val="af2"/>
          <w:rFonts w:eastAsia="仿宋"/>
          <w:noProof/>
          <w:sz w:val="24"/>
        </w:rPr>
      </w:pPr>
      <w:hyperlink w:anchor="_Toc144910425" w:history="1">
        <w:r w:rsidR="00C93686" w:rsidRPr="002D276D">
          <w:rPr>
            <w:rStyle w:val="af2"/>
            <w:rFonts w:eastAsia="仿宋"/>
            <w:noProof/>
            <w:sz w:val="24"/>
          </w:rPr>
          <w:t>（二）具体问题具体分析</w:t>
        </w:r>
        <w:r w:rsidR="00C93686" w:rsidRPr="002D276D">
          <w:rPr>
            <w:rStyle w:val="af2"/>
            <w:rFonts w:eastAsia="仿宋"/>
            <w:noProof/>
            <w:sz w:val="24"/>
          </w:rPr>
          <w:tab/>
        </w:r>
        <w:r w:rsidR="00C93686" w:rsidRPr="002D276D">
          <w:rPr>
            <w:rStyle w:val="af2"/>
            <w:rFonts w:eastAsia="仿宋"/>
            <w:noProof/>
            <w:sz w:val="24"/>
          </w:rPr>
          <w:fldChar w:fldCharType="begin"/>
        </w:r>
        <w:r w:rsidR="00C93686" w:rsidRPr="002D276D">
          <w:rPr>
            <w:rStyle w:val="af2"/>
            <w:rFonts w:eastAsia="仿宋"/>
            <w:noProof/>
            <w:sz w:val="24"/>
          </w:rPr>
          <w:instrText xml:space="preserve"> PAGEREF _Toc144910425 \h </w:instrText>
        </w:r>
        <w:r w:rsidR="00C93686" w:rsidRPr="002D276D">
          <w:rPr>
            <w:rStyle w:val="af2"/>
            <w:rFonts w:eastAsia="仿宋"/>
            <w:noProof/>
            <w:sz w:val="24"/>
          </w:rPr>
        </w:r>
        <w:r w:rsidR="00C93686" w:rsidRPr="002D276D">
          <w:rPr>
            <w:rStyle w:val="af2"/>
            <w:rFonts w:eastAsia="仿宋"/>
            <w:noProof/>
            <w:sz w:val="24"/>
          </w:rPr>
          <w:fldChar w:fldCharType="separate"/>
        </w:r>
        <w:r w:rsidR="00C93686" w:rsidRPr="002D276D">
          <w:rPr>
            <w:rStyle w:val="af2"/>
            <w:rFonts w:eastAsia="仿宋"/>
            <w:noProof/>
            <w:sz w:val="24"/>
          </w:rPr>
          <w:t>1</w:t>
        </w:r>
        <w:r w:rsidR="00C93686" w:rsidRPr="002D276D">
          <w:rPr>
            <w:rStyle w:val="af2"/>
            <w:rFonts w:eastAsia="仿宋"/>
            <w:noProof/>
            <w:sz w:val="24"/>
          </w:rPr>
          <w:fldChar w:fldCharType="end"/>
        </w:r>
      </w:hyperlink>
    </w:p>
    <w:p w14:paraId="2D437B20" w14:textId="080DEC73" w:rsidR="00C93686" w:rsidRPr="002D276D" w:rsidRDefault="00967A09" w:rsidP="002D276D">
      <w:pPr>
        <w:pStyle w:val="2"/>
        <w:tabs>
          <w:tab w:val="right" w:leader="dot" w:pos="8647"/>
        </w:tabs>
        <w:spacing w:after="100" w:line="259" w:lineRule="auto"/>
        <w:rPr>
          <w:rStyle w:val="af2"/>
          <w:rFonts w:eastAsia="仿宋"/>
          <w:noProof/>
          <w:sz w:val="24"/>
        </w:rPr>
      </w:pPr>
      <w:hyperlink w:anchor="_Toc144910426" w:history="1">
        <w:r w:rsidR="00C93686" w:rsidRPr="002D276D">
          <w:rPr>
            <w:rStyle w:val="af2"/>
            <w:rFonts w:eastAsia="仿宋"/>
            <w:noProof/>
            <w:sz w:val="24"/>
          </w:rPr>
          <w:t>（三）试验研究策略</w:t>
        </w:r>
        <w:r w:rsidR="00C93686" w:rsidRPr="002D276D">
          <w:rPr>
            <w:rStyle w:val="af2"/>
            <w:rFonts w:eastAsia="仿宋"/>
            <w:noProof/>
            <w:sz w:val="24"/>
          </w:rPr>
          <w:tab/>
        </w:r>
        <w:r w:rsidR="00C93686" w:rsidRPr="002D276D">
          <w:rPr>
            <w:rStyle w:val="af2"/>
            <w:rFonts w:eastAsia="仿宋"/>
            <w:noProof/>
            <w:sz w:val="24"/>
          </w:rPr>
          <w:fldChar w:fldCharType="begin"/>
        </w:r>
        <w:r w:rsidR="00C93686" w:rsidRPr="002D276D">
          <w:rPr>
            <w:rStyle w:val="af2"/>
            <w:rFonts w:eastAsia="仿宋"/>
            <w:noProof/>
            <w:sz w:val="24"/>
          </w:rPr>
          <w:instrText xml:space="preserve"> PAGEREF _Toc144910426 \h </w:instrText>
        </w:r>
        <w:r w:rsidR="00C93686" w:rsidRPr="002D276D">
          <w:rPr>
            <w:rStyle w:val="af2"/>
            <w:rFonts w:eastAsia="仿宋"/>
            <w:noProof/>
            <w:sz w:val="24"/>
          </w:rPr>
        </w:r>
        <w:r w:rsidR="00C93686" w:rsidRPr="002D276D">
          <w:rPr>
            <w:rStyle w:val="af2"/>
            <w:rFonts w:eastAsia="仿宋"/>
            <w:noProof/>
            <w:sz w:val="24"/>
          </w:rPr>
          <w:fldChar w:fldCharType="separate"/>
        </w:r>
        <w:r w:rsidR="00C93686" w:rsidRPr="002D276D">
          <w:rPr>
            <w:rStyle w:val="af2"/>
            <w:rFonts w:eastAsia="仿宋"/>
            <w:noProof/>
            <w:sz w:val="24"/>
          </w:rPr>
          <w:t>2</w:t>
        </w:r>
        <w:r w:rsidR="00C93686" w:rsidRPr="002D276D">
          <w:rPr>
            <w:rStyle w:val="af2"/>
            <w:rFonts w:eastAsia="仿宋"/>
            <w:noProof/>
            <w:sz w:val="24"/>
          </w:rPr>
          <w:fldChar w:fldCharType="end"/>
        </w:r>
      </w:hyperlink>
    </w:p>
    <w:p w14:paraId="10D73885" w14:textId="30CE6658" w:rsidR="00C93686" w:rsidRPr="002D276D" w:rsidRDefault="00967A09" w:rsidP="002D276D">
      <w:pPr>
        <w:pStyle w:val="1"/>
        <w:tabs>
          <w:tab w:val="right" w:leader="dot" w:pos="8647"/>
        </w:tabs>
        <w:spacing w:after="100" w:line="259" w:lineRule="auto"/>
        <w:rPr>
          <w:rFonts w:eastAsia="黑体"/>
          <w:bCs/>
          <w:kern w:val="0"/>
          <w:sz w:val="24"/>
        </w:rPr>
      </w:pPr>
      <w:hyperlink w:anchor="_Toc144910427" w:history="1">
        <w:r w:rsidR="00C93686" w:rsidRPr="002D276D">
          <w:rPr>
            <w:rFonts w:eastAsia="黑体"/>
            <w:bCs/>
            <w:kern w:val="0"/>
            <w:sz w:val="24"/>
          </w:rPr>
          <w:t>三、基本内容</w:t>
        </w:r>
        <w:r w:rsidR="00C93686" w:rsidRPr="002D276D">
          <w:rPr>
            <w:rFonts w:eastAsia="黑体"/>
            <w:bCs/>
            <w:kern w:val="0"/>
            <w:sz w:val="24"/>
          </w:rPr>
          <w:tab/>
        </w:r>
        <w:r w:rsidR="00C93686" w:rsidRPr="002D276D">
          <w:rPr>
            <w:rFonts w:eastAsia="黑体"/>
            <w:bCs/>
            <w:kern w:val="0"/>
            <w:sz w:val="24"/>
          </w:rPr>
          <w:fldChar w:fldCharType="begin"/>
        </w:r>
        <w:r w:rsidR="00C93686" w:rsidRPr="002D276D">
          <w:rPr>
            <w:rFonts w:eastAsia="黑体"/>
            <w:bCs/>
            <w:kern w:val="0"/>
            <w:sz w:val="24"/>
          </w:rPr>
          <w:instrText xml:space="preserve"> PAGEREF _Toc144910427 \h </w:instrText>
        </w:r>
        <w:r w:rsidR="00C93686" w:rsidRPr="002D276D">
          <w:rPr>
            <w:rFonts w:eastAsia="黑体"/>
            <w:bCs/>
            <w:kern w:val="0"/>
            <w:sz w:val="24"/>
          </w:rPr>
        </w:r>
        <w:r w:rsidR="00C93686" w:rsidRPr="002D276D">
          <w:rPr>
            <w:rFonts w:eastAsia="黑体"/>
            <w:bCs/>
            <w:kern w:val="0"/>
            <w:sz w:val="24"/>
          </w:rPr>
          <w:fldChar w:fldCharType="separate"/>
        </w:r>
        <w:r w:rsidR="00C93686" w:rsidRPr="002D276D">
          <w:rPr>
            <w:rFonts w:eastAsia="黑体"/>
            <w:bCs/>
            <w:kern w:val="0"/>
            <w:sz w:val="24"/>
          </w:rPr>
          <w:t>2</w:t>
        </w:r>
        <w:r w:rsidR="00C93686" w:rsidRPr="002D276D">
          <w:rPr>
            <w:rFonts w:eastAsia="黑体"/>
            <w:bCs/>
            <w:kern w:val="0"/>
            <w:sz w:val="24"/>
          </w:rPr>
          <w:fldChar w:fldCharType="end"/>
        </w:r>
      </w:hyperlink>
    </w:p>
    <w:p w14:paraId="2B9FFB24" w14:textId="7355BC9A" w:rsidR="00C93686" w:rsidRPr="002D276D" w:rsidRDefault="00967A09" w:rsidP="002D276D">
      <w:pPr>
        <w:pStyle w:val="2"/>
        <w:tabs>
          <w:tab w:val="right" w:leader="dot" w:pos="8647"/>
        </w:tabs>
        <w:spacing w:after="100" w:line="259" w:lineRule="auto"/>
        <w:rPr>
          <w:rStyle w:val="af2"/>
          <w:rFonts w:eastAsia="仿宋"/>
          <w:noProof/>
          <w:sz w:val="24"/>
        </w:rPr>
      </w:pPr>
      <w:hyperlink w:anchor="_Toc144910428" w:history="1">
        <w:r w:rsidR="00C93686" w:rsidRPr="002D276D">
          <w:rPr>
            <w:rStyle w:val="af2"/>
            <w:rFonts w:eastAsia="仿宋"/>
            <w:noProof/>
            <w:sz w:val="24"/>
          </w:rPr>
          <w:t>（一）受试物</w:t>
        </w:r>
        <w:r w:rsidR="00C93686" w:rsidRPr="002D276D">
          <w:rPr>
            <w:rStyle w:val="af2"/>
            <w:rFonts w:eastAsia="仿宋"/>
            <w:noProof/>
            <w:sz w:val="24"/>
          </w:rPr>
          <w:tab/>
        </w:r>
        <w:r w:rsidR="00C93686" w:rsidRPr="002D276D">
          <w:rPr>
            <w:rStyle w:val="af2"/>
            <w:rFonts w:eastAsia="仿宋"/>
            <w:noProof/>
            <w:sz w:val="24"/>
          </w:rPr>
          <w:fldChar w:fldCharType="begin"/>
        </w:r>
        <w:r w:rsidR="00C93686" w:rsidRPr="002D276D">
          <w:rPr>
            <w:rStyle w:val="af2"/>
            <w:rFonts w:eastAsia="仿宋"/>
            <w:noProof/>
            <w:sz w:val="24"/>
          </w:rPr>
          <w:instrText xml:space="preserve"> PAGEREF _Toc144910428 \h </w:instrText>
        </w:r>
        <w:r w:rsidR="00C93686" w:rsidRPr="002D276D">
          <w:rPr>
            <w:rStyle w:val="af2"/>
            <w:rFonts w:eastAsia="仿宋"/>
            <w:noProof/>
            <w:sz w:val="24"/>
          </w:rPr>
        </w:r>
        <w:r w:rsidR="00C93686" w:rsidRPr="002D276D">
          <w:rPr>
            <w:rStyle w:val="af2"/>
            <w:rFonts w:eastAsia="仿宋"/>
            <w:noProof/>
            <w:sz w:val="24"/>
          </w:rPr>
          <w:fldChar w:fldCharType="separate"/>
        </w:r>
        <w:r w:rsidR="00C93686" w:rsidRPr="002D276D">
          <w:rPr>
            <w:rStyle w:val="af2"/>
            <w:rFonts w:eastAsia="仿宋"/>
            <w:noProof/>
            <w:sz w:val="24"/>
          </w:rPr>
          <w:t>2</w:t>
        </w:r>
        <w:r w:rsidR="00C93686" w:rsidRPr="002D276D">
          <w:rPr>
            <w:rStyle w:val="af2"/>
            <w:rFonts w:eastAsia="仿宋"/>
            <w:noProof/>
            <w:sz w:val="24"/>
          </w:rPr>
          <w:fldChar w:fldCharType="end"/>
        </w:r>
      </w:hyperlink>
    </w:p>
    <w:p w14:paraId="33727017" w14:textId="14ADE2F0" w:rsidR="00C93686" w:rsidRPr="002D276D" w:rsidRDefault="00967A09" w:rsidP="002D276D">
      <w:pPr>
        <w:pStyle w:val="2"/>
        <w:tabs>
          <w:tab w:val="right" w:leader="dot" w:pos="8647"/>
        </w:tabs>
        <w:spacing w:after="100" w:line="259" w:lineRule="auto"/>
        <w:rPr>
          <w:rStyle w:val="af2"/>
          <w:rFonts w:eastAsia="仿宋"/>
          <w:noProof/>
          <w:sz w:val="24"/>
        </w:rPr>
      </w:pPr>
      <w:hyperlink w:anchor="_Toc144910429" w:history="1">
        <w:r w:rsidR="00C93686" w:rsidRPr="002D276D">
          <w:rPr>
            <w:rStyle w:val="af2"/>
            <w:rFonts w:eastAsia="仿宋"/>
            <w:noProof/>
            <w:sz w:val="24"/>
          </w:rPr>
          <w:t>（二）暴露方式</w:t>
        </w:r>
        <w:r w:rsidR="00C93686" w:rsidRPr="002D276D">
          <w:rPr>
            <w:rStyle w:val="af2"/>
            <w:rFonts w:eastAsia="仿宋"/>
            <w:noProof/>
            <w:sz w:val="24"/>
          </w:rPr>
          <w:tab/>
        </w:r>
        <w:r w:rsidR="00C93686" w:rsidRPr="002D276D">
          <w:rPr>
            <w:rStyle w:val="af2"/>
            <w:rFonts w:eastAsia="仿宋"/>
            <w:noProof/>
            <w:sz w:val="24"/>
          </w:rPr>
          <w:fldChar w:fldCharType="begin"/>
        </w:r>
        <w:r w:rsidR="00C93686" w:rsidRPr="002D276D">
          <w:rPr>
            <w:rStyle w:val="af2"/>
            <w:rFonts w:eastAsia="仿宋"/>
            <w:noProof/>
            <w:sz w:val="24"/>
          </w:rPr>
          <w:instrText xml:space="preserve"> PAGEREF _Toc144910429 \h </w:instrText>
        </w:r>
        <w:r w:rsidR="00C93686" w:rsidRPr="002D276D">
          <w:rPr>
            <w:rStyle w:val="af2"/>
            <w:rFonts w:eastAsia="仿宋"/>
            <w:noProof/>
            <w:sz w:val="24"/>
          </w:rPr>
        </w:r>
        <w:r w:rsidR="00C93686" w:rsidRPr="002D276D">
          <w:rPr>
            <w:rStyle w:val="af2"/>
            <w:rFonts w:eastAsia="仿宋"/>
            <w:noProof/>
            <w:sz w:val="24"/>
          </w:rPr>
          <w:fldChar w:fldCharType="separate"/>
        </w:r>
        <w:r w:rsidR="00C93686" w:rsidRPr="002D276D">
          <w:rPr>
            <w:rStyle w:val="af2"/>
            <w:rFonts w:eastAsia="仿宋"/>
            <w:noProof/>
            <w:sz w:val="24"/>
          </w:rPr>
          <w:t>2</w:t>
        </w:r>
        <w:r w:rsidR="00C93686" w:rsidRPr="002D276D">
          <w:rPr>
            <w:rStyle w:val="af2"/>
            <w:rFonts w:eastAsia="仿宋"/>
            <w:noProof/>
            <w:sz w:val="24"/>
          </w:rPr>
          <w:fldChar w:fldCharType="end"/>
        </w:r>
      </w:hyperlink>
    </w:p>
    <w:p w14:paraId="4842FE4B" w14:textId="3DEFABB1" w:rsidR="00C93686" w:rsidRPr="002D276D" w:rsidRDefault="00967A09" w:rsidP="002D276D">
      <w:pPr>
        <w:pStyle w:val="2"/>
        <w:tabs>
          <w:tab w:val="right" w:leader="dot" w:pos="8647"/>
        </w:tabs>
        <w:spacing w:after="100" w:line="259" w:lineRule="auto"/>
        <w:rPr>
          <w:rStyle w:val="af2"/>
          <w:rFonts w:eastAsia="仿宋"/>
          <w:noProof/>
          <w:sz w:val="24"/>
        </w:rPr>
      </w:pPr>
      <w:hyperlink w:anchor="_Toc144910430" w:history="1">
        <w:r w:rsidR="00C93686" w:rsidRPr="002D276D">
          <w:rPr>
            <w:rStyle w:val="af2"/>
            <w:rFonts w:eastAsia="仿宋"/>
            <w:noProof/>
            <w:sz w:val="24"/>
          </w:rPr>
          <w:t>（三）实验动物</w:t>
        </w:r>
        <w:r w:rsidR="00C93686" w:rsidRPr="002D276D">
          <w:rPr>
            <w:rStyle w:val="af2"/>
            <w:rFonts w:eastAsia="仿宋"/>
            <w:noProof/>
            <w:sz w:val="24"/>
          </w:rPr>
          <w:tab/>
        </w:r>
        <w:r w:rsidR="00C93686" w:rsidRPr="002D276D">
          <w:rPr>
            <w:rStyle w:val="af2"/>
            <w:rFonts w:eastAsia="仿宋"/>
            <w:noProof/>
            <w:sz w:val="24"/>
          </w:rPr>
          <w:fldChar w:fldCharType="begin"/>
        </w:r>
        <w:r w:rsidR="00C93686" w:rsidRPr="002D276D">
          <w:rPr>
            <w:rStyle w:val="af2"/>
            <w:rFonts w:eastAsia="仿宋"/>
            <w:noProof/>
            <w:sz w:val="24"/>
          </w:rPr>
          <w:instrText xml:space="preserve"> PAGEREF _Toc144910430 \h </w:instrText>
        </w:r>
        <w:r w:rsidR="00C93686" w:rsidRPr="002D276D">
          <w:rPr>
            <w:rStyle w:val="af2"/>
            <w:rFonts w:eastAsia="仿宋"/>
            <w:noProof/>
            <w:sz w:val="24"/>
          </w:rPr>
        </w:r>
        <w:r w:rsidR="00C93686" w:rsidRPr="002D276D">
          <w:rPr>
            <w:rStyle w:val="af2"/>
            <w:rFonts w:eastAsia="仿宋"/>
            <w:noProof/>
            <w:sz w:val="24"/>
          </w:rPr>
          <w:fldChar w:fldCharType="separate"/>
        </w:r>
        <w:r w:rsidR="00C93686" w:rsidRPr="002D276D">
          <w:rPr>
            <w:rStyle w:val="af2"/>
            <w:rFonts w:eastAsia="仿宋"/>
            <w:noProof/>
            <w:sz w:val="24"/>
          </w:rPr>
          <w:t>3</w:t>
        </w:r>
        <w:r w:rsidR="00C93686" w:rsidRPr="002D276D">
          <w:rPr>
            <w:rStyle w:val="af2"/>
            <w:rFonts w:eastAsia="仿宋"/>
            <w:noProof/>
            <w:sz w:val="24"/>
          </w:rPr>
          <w:fldChar w:fldCharType="end"/>
        </w:r>
      </w:hyperlink>
    </w:p>
    <w:p w14:paraId="4D225837" w14:textId="0D586892" w:rsidR="00C93686" w:rsidRPr="002D276D" w:rsidRDefault="00967A09" w:rsidP="002D276D">
      <w:pPr>
        <w:pStyle w:val="2"/>
        <w:tabs>
          <w:tab w:val="right" w:leader="dot" w:pos="8647"/>
        </w:tabs>
        <w:spacing w:after="100" w:line="259" w:lineRule="auto"/>
        <w:rPr>
          <w:rStyle w:val="af2"/>
          <w:rFonts w:eastAsia="仿宋"/>
          <w:noProof/>
          <w:sz w:val="24"/>
        </w:rPr>
      </w:pPr>
      <w:hyperlink w:anchor="_Toc144910431" w:history="1">
        <w:r w:rsidR="00C93686" w:rsidRPr="002D276D">
          <w:rPr>
            <w:rStyle w:val="af2"/>
            <w:rFonts w:eastAsia="仿宋"/>
            <w:noProof/>
            <w:sz w:val="24"/>
          </w:rPr>
          <w:t>（四）剂量设计与分组</w:t>
        </w:r>
        <w:r w:rsidR="00C93686" w:rsidRPr="002D276D">
          <w:rPr>
            <w:rStyle w:val="af2"/>
            <w:rFonts w:eastAsia="仿宋"/>
            <w:noProof/>
            <w:sz w:val="24"/>
          </w:rPr>
          <w:tab/>
        </w:r>
        <w:r w:rsidR="00C93686" w:rsidRPr="002D276D">
          <w:rPr>
            <w:rStyle w:val="af2"/>
            <w:rFonts w:eastAsia="仿宋"/>
            <w:noProof/>
            <w:sz w:val="24"/>
          </w:rPr>
          <w:fldChar w:fldCharType="begin"/>
        </w:r>
        <w:r w:rsidR="00C93686" w:rsidRPr="002D276D">
          <w:rPr>
            <w:rStyle w:val="af2"/>
            <w:rFonts w:eastAsia="仿宋"/>
            <w:noProof/>
            <w:sz w:val="24"/>
          </w:rPr>
          <w:instrText xml:space="preserve"> PAGEREF _Toc144910431 \h </w:instrText>
        </w:r>
        <w:r w:rsidR="00C93686" w:rsidRPr="002D276D">
          <w:rPr>
            <w:rStyle w:val="af2"/>
            <w:rFonts w:eastAsia="仿宋"/>
            <w:noProof/>
            <w:sz w:val="24"/>
          </w:rPr>
        </w:r>
        <w:r w:rsidR="00C93686" w:rsidRPr="002D276D">
          <w:rPr>
            <w:rStyle w:val="af2"/>
            <w:rFonts w:eastAsia="仿宋"/>
            <w:noProof/>
            <w:sz w:val="24"/>
          </w:rPr>
          <w:fldChar w:fldCharType="separate"/>
        </w:r>
        <w:r w:rsidR="00C93686" w:rsidRPr="002D276D">
          <w:rPr>
            <w:rStyle w:val="af2"/>
            <w:rFonts w:eastAsia="仿宋"/>
            <w:noProof/>
            <w:sz w:val="24"/>
          </w:rPr>
          <w:t>3</w:t>
        </w:r>
        <w:r w:rsidR="00C93686" w:rsidRPr="002D276D">
          <w:rPr>
            <w:rStyle w:val="af2"/>
            <w:rFonts w:eastAsia="仿宋"/>
            <w:noProof/>
            <w:sz w:val="24"/>
          </w:rPr>
          <w:fldChar w:fldCharType="end"/>
        </w:r>
      </w:hyperlink>
    </w:p>
    <w:p w14:paraId="399F0F12" w14:textId="6CA48F8C" w:rsidR="00C93686" w:rsidRPr="002D276D" w:rsidRDefault="00967A09" w:rsidP="002D276D">
      <w:pPr>
        <w:pStyle w:val="2"/>
        <w:tabs>
          <w:tab w:val="right" w:leader="dot" w:pos="8647"/>
        </w:tabs>
        <w:spacing w:after="100" w:line="259" w:lineRule="auto"/>
        <w:rPr>
          <w:rStyle w:val="af2"/>
          <w:rFonts w:eastAsia="仿宋"/>
          <w:noProof/>
          <w:sz w:val="24"/>
        </w:rPr>
      </w:pPr>
      <w:hyperlink w:anchor="_Toc144910432" w:history="1">
        <w:r w:rsidR="00C93686" w:rsidRPr="002D276D">
          <w:rPr>
            <w:rStyle w:val="af2"/>
            <w:rFonts w:eastAsia="仿宋"/>
            <w:noProof/>
            <w:sz w:val="24"/>
          </w:rPr>
          <w:t>（五）试验设计</w:t>
        </w:r>
        <w:r w:rsidR="00C93686" w:rsidRPr="002D276D">
          <w:rPr>
            <w:rStyle w:val="af2"/>
            <w:rFonts w:eastAsia="仿宋"/>
            <w:noProof/>
            <w:sz w:val="24"/>
          </w:rPr>
          <w:tab/>
        </w:r>
        <w:r w:rsidR="00C93686" w:rsidRPr="002D276D">
          <w:rPr>
            <w:rStyle w:val="af2"/>
            <w:rFonts w:eastAsia="仿宋"/>
            <w:noProof/>
            <w:sz w:val="24"/>
          </w:rPr>
          <w:fldChar w:fldCharType="begin"/>
        </w:r>
        <w:r w:rsidR="00C93686" w:rsidRPr="002D276D">
          <w:rPr>
            <w:rStyle w:val="af2"/>
            <w:rFonts w:eastAsia="仿宋"/>
            <w:noProof/>
            <w:sz w:val="24"/>
          </w:rPr>
          <w:instrText xml:space="preserve"> PAGEREF _Toc144910432 \h </w:instrText>
        </w:r>
        <w:r w:rsidR="00C93686" w:rsidRPr="002D276D">
          <w:rPr>
            <w:rStyle w:val="af2"/>
            <w:rFonts w:eastAsia="仿宋"/>
            <w:noProof/>
            <w:sz w:val="24"/>
          </w:rPr>
        </w:r>
        <w:r w:rsidR="00C93686" w:rsidRPr="002D276D">
          <w:rPr>
            <w:rStyle w:val="af2"/>
            <w:rFonts w:eastAsia="仿宋"/>
            <w:noProof/>
            <w:sz w:val="24"/>
          </w:rPr>
          <w:fldChar w:fldCharType="separate"/>
        </w:r>
        <w:r w:rsidR="00C93686" w:rsidRPr="002D276D">
          <w:rPr>
            <w:rStyle w:val="af2"/>
            <w:rFonts w:eastAsia="仿宋"/>
            <w:noProof/>
            <w:sz w:val="24"/>
          </w:rPr>
          <w:t>4</w:t>
        </w:r>
        <w:r w:rsidR="00C93686" w:rsidRPr="002D276D">
          <w:rPr>
            <w:rStyle w:val="af2"/>
            <w:rFonts w:eastAsia="仿宋"/>
            <w:noProof/>
            <w:sz w:val="24"/>
          </w:rPr>
          <w:fldChar w:fldCharType="end"/>
        </w:r>
      </w:hyperlink>
    </w:p>
    <w:p w14:paraId="2611FE42" w14:textId="2055434D" w:rsidR="00C93686" w:rsidRPr="002D276D" w:rsidRDefault="00967A09" w:rsidP="002D276D">
      <w:pPr>
        <w:pStyle w:val="2"/>
        <w:tabs>
          <w:tab w:val="right" w:leader="dot" w:pos="8647"/>
        </w:tabs>
        <w:spacing w:after="100" w:line="259" w:lineRule="auto"/>
        <w:rPr>
          <w:rStyle w:val="af2"/>
          <w:rFonts w:eastAsia="仿宋"/>
          <w:noProof/>
          <w:sz w:val="24"/>
        </w:rPr>
      </w:pPr>
      <w:hyperlink w:anchor="_Toc144910433" w:history="1">
        <w:r w:rsidR="00C93686" w:rsidRPr="002D276D">
          <w:rPr>
            <w:rStyle w:val="af2"/>
            <w:rFonts w:eastAsia="仿宋"/>
            <w:noProof/>
            <w:sz w:val="24"/>
          </w:rPr>
          <w:t>（六）观察指标</w:t>
        </w:r>
        <w:r w:rsidR="00C93686" w:rsidRPr="002D276D">
          <w:rPr>
            <w:rStyle w:val="af2"/>
            <w:rFonts w:eastAsia="仿宋"/>
            <w:noProof/>
            <w:sz w:val="24"/>
          </w:rPr>
          <w:tab/>
        </w:r>
        <w:r w:rsidR="00C93686" w:rsidRPr="002D276D">
          <w:rPr>
            <w:rStyle w:val="af2"/>
            <w:rFonts w:eastAsia="仿宋"/>
            <w:noProof/>
            <w:sz w:val="24"/>
          </w:rPr>
          <w:fldChar w:fldCharType="begin"/>
        </w:r>
        <w:r w:rsidR="00C93686" w:rsidRPr="002D276D">
          <w:rPr>
            <w:rStyle w:val="af2"/>
            <w:rFonts w:eastAsia="仿宋"/>
            <w:noProof/>
            <w:sz w:val="24"/>
          </w:rPr>
          <w:instrText xml:space="preserve"> PAGEREF _Toc144910433 \h </w:instrText>
        </w:r>
        <w:r w:rsidR="00C93686" w:rsidRPr="002D276D">
          <w:rPr>
            <w:rStyle w:val="af2"/>
            <w:rFonts w:eastAsia="仿宋"/>
            <w:noProof/>
            <w:sz w:val="24"/>
          </w:rPr>
        </w:r>
        <w:r w:rsidR="00C93686" w:rsidRPr="002D276D">
          <w:rPr>
            <w:rStyle w:val="af2"/>
            <w:rFonts w:eastAsia="仿宋"/>
            <w:noProof/>
            <w:sz w:val="24"/>
          </w:rPr>
          <w:fldChar w:fldCharType="separate"/>
        </w:r>
        <w:r w:rsidR="00C93686" w:rsidRPr="002D276D">
          <w:rPr>
            <w:rStyle w:val="af2"/>
            <w:rFonts w:eastAsia="仿宋"/>
            <w:noProof/>
            <w:sz w:val="24"/>
          </w:rPr>
          <w:t>5</w:t>
        </w:r>
        <w:r w:rsidR="00C93686" w:rsidRPr="002D276D">
          <w:rPr>
            <w:rStyle w:val="af2"/>
            <w:rFonts w:eastAsia="仿宋"/>
            <w:noProof/>
            <w:sz w:val="24"/>
          </w:rPr>
          <w:fldChar w:fldCharType="end"/>
        </w:r>
      </w:hyperlink>
    </w:p>
    <w:p w14:paraId="1B53DFDA" w14:textId="15807426" w:rsidR="00C93686" w:rsidRPr="002D276D" w:rsidRDefault="00967A09" w:rsidP="002D276D">
      <w:pPr>
        <w:pStyle w:val="1"/>
        <w:tabs>
          <w:tab w:val="right" w:leader="dot" w:pos="8647"/>
        </w:tabs>
        <w:spacing w:after="100" w:line="259" w:lineRule="auto"/>
        <w:rPr>
          <w:rFonts w:eastAsia="黑体"/>
          <w:noProof/>
          <w:sz w:val="24"/>
          <w14:ligatures w14:val="standardContextual"/>
        </w:rPr>
      </w:pPr>
      <w:hyperlink w:anchor="_Toc144910434" w:history="1">
        <w:r w:rsidR="00C93686" w:rsidRPr="002D276D">
          <w:rPr>
            <w:rStyle w:val="af2"/>
            <w:rFonts w:eastAsia="黑体"/>
            <w:noProof/>
            <w:sz w:val="24"/>
          </w:rPr>
          <w:t>四、结果分析与评价</w:t>
        </w:r>
        <w:r w:rsidR="00C93686" w:rsidRPr="002D276D">
          <w:rPr>
            <w:rFonts w:eastAsia="黑体"/>
            <w:noProof/>
            <w:sz w:val="24"/>
          </w:rPr>
          <w:tab/>
        </w:r>
        <w:r w:rsidR="00C93686" w:rsidRPr="002D276D">
          <w:rPr>
            <w:rFonts w:eastAsia="黑体"/>
            <w:noProof/>
            <w:sz w:val="24"/>
          </w:rPr>
          <w:fldChar w:fldCharType="begin"/>
        </w:r>
        <w:r w:rsidR="00C93686" w:rsidRPr="002D276D">
          <w:rPr>
            <w:rFonts w:eastAsia="黑体"/>
            <w:noProof/>
            <w:sz w:val="24"/>
          </w:rPr>
          <w:instrText xml:space="preserve"> PAGEREF _Toc144910434 \h </w:instrText>
        </w:r>
        <w:r w:rsidR="00C93686" w:rsidRPr="002D276D">
          <w:rPr>
            <w:rFonts w:eastAsia="黑体"/>
            <w:noProof/>
            <w:sz w:val="24"/>
          </w:rPr>
        </w:r>
        <w:r w:rsidR="00C93686" w:rsidRPr="002D276D">
          <w:rPr>
            <w:rFonts w:eastAsia="黑体"/>
            <w:noProof/>
            <w:sz w:val="24"/>
          </w:rPr>
          <w:fldChar w:fldCharType="separate"/>
        </w:r>
        <w:r w:rsidR="00C93686" w:rsidRPr="002D276D">
          <w:rPr>
            <w:rFonts w:eastAsia="黑体"/>
            <w:noProof/>
            <w:sz w:val="24"/>
          </w:rPr>
          <w:t>7</w:t>
        </w:r>
        <w:r w:rsidR="00C93686" w:rsidRPr="002D276D">
          <w:rPr>
            <w:rFonts w:eastAsia="黑体"/>
            <w:noProof/>
            <w:sz w:val="24"/>
          </w:rPr>
          <w:fldChar w:fldCharType="end"/>
        </w:r>
      </w:hyperlink>
    </w:p>
    <w:p w14:paraId="7BBF78AC" w14:textId="025E07A4" w:rsidR="00C93686" w:rsidRPr="002D276D" w:rsidRDefault="00967A09" w:rsidP="002D276D">
      <w:pPr>
        <w:pStyle w:val="1"/>
        <w:tabs>
          <w:tab w:val="right" w:leader="dot" w:pos="8647"/>
        </w:tabs>
        <w:spacing w:after="100" w:line="259" w:lineRule="auto"/>
        <w:rPr>
          <w:rFonts w:eastAsia="黑体"/>
          <w:noProof/>
          <w:sz w:val="24"/>
          <w14:ligatures w14:val="standardContextual"/>
        </w:rPr>
      </w:pPr>
      <w:hyperlink w:anchor="_Toc144910435" w:history="1">
        <w:r w:rsidR="00C93686" w:rsidRPr="002D276D">
          <w:rPr>
            <w:rStyle w:val="af2"/>
            <w:rFonts w:eastAsia="黑体"/>
            <w:noProof/>
            <w:sz w:val="24"/>
          </w:rPr>
          <w:t>五、参考文献</w:t>
        </w:r>
        <w:r w:rsidR="00C93686" w:rsidRPr="002D276D">
          <w:rPr>
            <w:rFonts w:eastAsia="黑体"/>
            <w:noProof/>
            <w:sz w:val="24"/>
          </w:rPr>
          <w:tab/>
        </w:r>
        <w:r w:rsidR="00C93686" w:rsidRPr="002D276D">
          <w:rPr>
            <w:rFonts w:eastAsia="黑体"/>
            <w:noProof/>
            <w:sz w:val="24"/>
          </w:rPr>
          <w:fldChar w:fldCharType="begin"/>
        </w:r>
        <w:r w:rsidR="00C93686" w:rsidRPr="002D276D">
          <w:rPr>
            <w:rFonts w:eastAsia="黑体"/>
            <w:noProof/>
            <w:sz w:val="24"/>
          </w:rPr>
          <w:instrText xml:space="preserve"> PAGEREF _Toc144910435 \h </w:instrText>
        </w:r>
        <w:r w:rsidR="00C93686" w:rsidRPr="002D276D">
          <w:rPr>
            <w:rFonts w:eastAsia="黑体"/>
            <w:noProof/>
            <w:sz w:val="24"/>
          </w:rPr>
        </w:r>
        <w:r w:rsidR="00C93686" w:rsidRPr="002D276D">
          <w:rPr>
            <w:rFonts w:eastAsia="黑体"/>
            <w:noProof/>
            <w:sz w:val="24"/>
          </w:rPr>
          <w:fldChar w:fldCharType="separate"/>
        </w:r>
        <w:r w:rsidR="00C93686" w:rsidRPr="002D276D">
          <w:rPr>
            <w:rFonts w:eastAsia="黑体"/>
            <w:noProof/>
            <w:sz w:val="24"/>
          </w:rPr>
          <w:t>8</w:t>
        </w:r>
        <w:r w:rsidR="00C93686" w:rsidRPr="002D276D">
          <w:rPr>
            <w:rFonts w:eastAsia="黑体"/>
            <w:noProof/>
            <w:sz w:val="24"/>
          </w:rPr>
          <w:fldChar w:fldCharType="end"/>
        </w:r>
      </w:hyperlink>
    </w:p>
    <w:p w14:paraId="7B854D73" w14:textId="27CD89E1" w:rsidR="00C93686" w:rsidRPr="002D276D" w:rsidRDefault="00967A09" w:rsidP="002D276D">
      <w:pPr>
        <w:pStyle w:val="1"/>
        <w:tabs>
          <w:tab w:val="right" w:leader="dot" w:pos="8647"/>
        </w:tabs>
        <w:spacing w:after="100" w:line="259" w:lineRule="auto"/>
        <w:rPr>
          <w:rFonts w:eastAsia="黑体"/>
          <w:noProof/>
          <w:sz w:val="24"/>
          <w14:ligatures w14:val="standardContextual"/>
        </w:rPr>
      </w:pPr>
      <w:hyperlink w:anchor="_Toc144910436" w:history="1">
        <w:r w:rsidR="00C93686" w:rsidRPr="002D276D">
          <w:rPr>
            <w:rStyle w:val="af2"/>
            <w:rFonts w:eastAsia="黑体"/>
            <w:noProof/>
            <w:sz w:val="24"/>
          </w:rPr>
          <w:t>六、术语和释义</w:t>
        </w:r>
        <w:r w:rsidR="00C93686" w:rsidRPr="002D276D">
          <w:rPr>
            <w:rFonts w:eastAsia="黑体"/>
            <w:noProof/>
            <w:sz w:val="24"/>
          </w:rPr>
          <w:tab/>
        </w:r>
        <w:r w:rsidR="00C93686" w:rsidRPr="002D276D">
          <w:rPr>
            <w:rFonts w:eastAsia="黑体"/>
            <w:noProof/>
            <w:sz w:val="24"/>
          </w:rPr>
          <w:fldChar w:fldCharType="begin"/>
        </w:r>
        <w:r w:rsidR="00C93686" w:rsidRPr="002D276D">
          <w:rPr>
            <w:rFonts w:eastAsia="黑体"/>
            <w:noProof/>
            <w:sz w:val="24"/>
          </w:rPr>
          <w:instrText xml:space="preserve"> PAGEREF _Toc144910436 \h </w:instrText>
        </w:r>
        <w:r w:rsidR="00C93686" w:rsidRPr="002D276D">
          <w:rPr>
            <w:rFonts w:eastAsia="黑体"/>
            <w:noProof/>
            <w:sz w:val="24"/>
          </w:rPr>
        </w:r>
        <w:r w:rsidR="00C93686" w:rsidRPr="002D276D">
          <w:rPr>
            <w:rFonts w:eastAsia="黑体"/>
            <w:noProof/>
            <w:sz w:val="24"/>
          </w:rPr>
          <w:fldChar w:fldCharType="separate"/>
        </w:r>
        <w:r w:rsidR="00C93686" w:rsidRPr="002D276D">
          <w:rPr>
            <w:rFonts w:eastAsia="黑体"/>
            <w:noProof/>
            <w:sz w:val="24"/>
          </w:rPr>
          <w:t>9</w:t>
        </w:r>
        <w:r w:rsidR="00C93686" w:rsidRPr="002D276D">
          <w:rPr>
            <w:rFonts w:eastAsia="黑体"/>
            <w:noProof/>
            <w:sz w:val="24"/>
          </w:rPr>
          <w:fldChar w:fldCharType="end"/>
        </w:r>
      </w:hyperlink>
    </w:p>
    <w:p w14:paraId="43F9356E" w14:textId="1A9479AB" w:rsidR="00C93686" w:rsidRPr="002D276D" w:rsidRDefault="00967A09" w:rsidP="002D276D">
      <w:pPr>
        <w:pStyle w:val="1"/>
        <w:tabs>
          <w:tab w:val="right" w:leader="dot" w:pos="8647"/>
        </w:tabs>
        <w:spacing w:after="100" w:line="259" w:lineRule="auto"/>
        <w:rPr>
          <w:rFonts w:eastAsia="黑体"/>
          <w:noProof/>
          <w:sz w:val="24"/>
          <w14:ligatures w14:val="standardContextual"/>
        </w:rPr>
      </w:pPr>
      <w:hyperlink w:anchor="_Toc144910437" w:history="1">
        <w:r w:rsidR="00C93686" w:rsidRPr="002D276D">
          <w:rPr>
            <w:rStyle w:val="af2"/>
            <w:rFonts w:eastAsia="黑体"/>
            <w:b/>
            <w:bCs/>
            <w:noProof/>
            <w:sz w:val="24"/>
          </w:rPr>
          <w:t>附录</w:t>
        </w:r>
        <w:r w:rsidR="00C93686" w:rsidRPr="002D276D">
          <w:rPr>
            <w:rFonts w:eastAsia="黑体"/>
            <w:noProof/>
            <w:sz w:val="24"/>
          </w:rPr>
          <w:tab/>
        </w:r>
        <w:r w:rsidR="00C93686" w:rsidRPr="002D276D">
          <w:rPr>
            <w:rFonts w:eastAsia="黑体"/>
            <w:noProof/>
            <w:sz w:val="24"/>
          </w:rPr>
          <w:fldChar w:fldCharType="begin"/>
        </w:r>
        <w:r w:rsidR="00C93686" w:rsidRPr="002D276D">
          <w:rPr>
            <w:rFonts w:eastAsia="黑体"/>
            <w:noProof/>
            <w:sz w:val="24"/>
          </w:rPr>
          <w:instrText xml:space="preserve"> PAGEREF _Toc144910437 \h </w:instrText>
        </w:r>
        <w:r w:rsidR="00C93686" w:rsidRPr="002D276D">
          <w:rPr>
            <w:rFonts w:eastAsia="黑体"/>
            <w:noProof/>
            <w:sz w:val="24"/>
          </w:rPr>
        </w:r>
        <w:r w:rsidR="00C93686" w:rsidRPr="002D276D">
          <w:rPr>
            <w:rFonts w:eastAsia="黑体"/>
            <w:noProof/>
            <w:sz w:val="24"/>
          </w:rPr>
          <w:fldChar w:fldCharType="separate"/>
        </w:r>
        <w:r w:rsidR="00C93686" w:rsidRPr="002D276D">
          <w:rPr>
            <w:rFonts w:eastAsia="黑体"/>
            <w:noProof/>
            <w:sz w:val="24"/>
          </w:rPr>
          <w:t>11</w:t>
        </w:r>
        <w:r w:rsidR="00C93686" w:rsidRPr="002D276D">
          <w:rPr>
            <w:rFonts w:eastAsia="黑体"/>
            <w:noProof/>
            <w:sz w:val="24"/>
          </w:rPr>
          <w:fldChar w:fldCharType="end"/>
        </w:r>
      </w:hyperlink>
    </w:p>
    <w:p w14:paraId="3CEE3AF0" w14:textId="4A839227" w:rsidR="00E5691B" w:rsidRDefault="00EC13FE">
      <w:pPr>
        <w:pStyle w:val="1"/>
        <w:tabs>
          <w:tab w:val="right" w:leader="dot" w:pos="8730"/>
        </w:tabs>
        <w:rPr>
          <w:rFonts w:ascii="仿宋" w:eastAsia="仿宋" w:hAnsi="仿宋" w:cs="仿宋"/>
          <w:bCs/>
          <w:sz w:val="28"/>
          <w:szCs w:val="28"/>
        </w:rPr>
      </w:pPr>
      <w:r w:rsidRPr="002D276D">
        <w:rPr>
          <w:rFonts w:eastAsia="仿宋"/>
          <w:bCs/>
          <w:sz w:val="28"/>
          <w:szCs w:val="28"/>
        </w:rPr>
        <w:fldChar w:fldCharType="end"/>
      </w:r>
      <w:r>
        <w:rPr>
          <w:rFonts w:ascii="仿宋" w:eastAsia="仿宋" w:hAnsi="仿宋" w:cs="仿宋" w:hint="eastAsia"/>
          <w:bCs/>
          <w:sz w:val="28"/>
          <w:szCs w:val="28"/>
        </w:rPr>
        <w:t xml:space="preserve"> </w:t>
      </w:r>
    </w:p>
    <w:p w14:paraId="1A57D53E" w14:textId="77777777" w:rsidR="00E5691B" w:rsidRDefault="00E5691B"/>
    <w:p w14:paraId="369C6D03" w14:textId="77777777" w:rsidR="00E5691B" w:rsidRDefault="00E5691B"/>
    <w:p w14:paraId="2A0EDC7D" w14:textId="77777777" w:rsidR="00E5691B" w:rsidRDefault="00E5691B">
      <w:pPr>
        <w:pStyle w:val="1"/>
        <w:tabs>
          <w:tab w:val="right" w:leader="dot" w:pos="8730"/>
        </w:tabs>
        <w:rPr>
          <w:rFonts w:ascii="仿宋" w:eastAsia="仿宋" w:hAnsi="仿宋" w:cs="仿宋"/>
          <w:bCs/>
          <w:sz w:val="28"/>
          <w:szCs w:val="28"/>
        </w:rPr>
        <w:sectPr w:rsidR="00E5691B">
          <w:footerReference w:type="even" r:id="rId7"/>
          <w:footerReference w:type="default" r:id="rId8"/>
          <w:pgSz w:w="11906" w:h="16838"/>
          <w:pgMar w:top="1758" w:right="1588" w:bottom="1440" w:left="1588" w:header="851" w:footer="992" w:gutter="0"/>
          <w:cols w:space="720"/>
          <w:titlePg/>
          <w:docGrid w:type="lines" w:linePitch="312"/>
        </w:sectPr>
      </w:pPr>
    </w:p>
    <w:p w14:paraId="172D7D6E" w14:textId="77777777" w:rsidR="00E5691B" w:rsidRPr="009434F5" w:rsidRDefault="00EC13FE" w:rsidP="000C480C">
      <w:pPr>
        <w:widowControl w:val="0"/>
        <w:autoSpaceDE w:val="0"/>
        <w:autoSpaceDN w:val="0"/>
        <w:adjustRightInd w:val="0"/>
        <w:spacing w:line="360" w:lineRule="auto"/>
        <w:ind w:firstLineChars="200" w:firstLine="640"/>
        <w:jc w:val="both"/>
        <w:outlineLvl w:val="0"/>
        <w:rPr>
          <w:rFonts w:ascii="黑体" w:eastAsia="黑体" w:hAnsi="黑体" w:cs="黑体"/>
          <w:color w:val="000000" w:themeColor="text1"/>
          <w:sz w:val="32"/>
          <w:szCs w:val="32"/>
        </w:rPr>
      </w:pPr>
      <w:bookmarkStart w:id="1" w:name="_Toc6708"/>
      <w:bookmarkStart w:id="2" w:name="_Toc7478"/>
      <w:bookmarkStart w:id="3" w:name="_Toc20170"/>
      <w:bookmarkStart w:id="4" w:name="_Toc31542"/>
      <w:bookmarkStart w:id="5" w:name="_Toc7038"/>
      <w:bookmarkStart w:id="6" w:name="_Toc3694"/>
      <w:bookmarkStart w:id="7" w:name="_Toc28199"/>
      <w:bookmarkStart w:id="8" w:name="_Toc3651"/>
      <w:bookmarkStart w:id="9" w:name="_Toc6020"/>
      <w:bookmarkStart w:id="10" w:name="_Toc18658"/>
      <w:bookmarkStart w:id="11" w:name="_Toc139684097"/>
      <w:bookmarkStart w:id="12" w:name="_Toc32411"/>
      <w:bookmarkStart w:id="13" w:name="_Toc7267"/>
      <w:bookmarkStart w:id="14" w:name="_Toc5895"/>
      <w:bookmarkStart w:id="15" w:name="_Toc21627"/>
      <w:bookmarkStart w:id="16" w:name="_Toc144910422"/>
      <w:r w:rsidRPr="009434F5">
        <w:rPr>
          <w:rFonts w:ascii="黑体" w:eastAsia="黑体" w:hAnsi="黑体" w:cs="黑体" w:hint="eastAsia"/>
          <w:color w:val="000000" w:themeColor="text1"/>
          <w:sz w:val="32"/>
          <w:szCs w:val="32"/>
        </w:rPr>
        <w:lastRenderedPageBreak/>
        <w:t>一、概述</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731AC84" w14:textId="77777777" w:rsidR="00E5691B" w:rsidRPr="009434F5" w:rsidRDefault="00EC13FE" w:rsidP="00E43170">
      <w:pPr>
        <w:pStyle w:val="a6"/>
        <w:snapToGrid w:val="0"/>
        <w:spacing w:line="360" w:lineRule="auto"/>
        <w:ind w:firstLine="640"/>
        <w:jc w:val="both"/>
        <w:rPr>
          <w:rFonts w:ascii="仿宋" w:eastAsia="仿宋" w:hAnsi="仿宋" w:cs="仿宋"/>
          <w:sz w:val="32"/>
          <w:szCs w:val="32"/>
          <w:lang w:bidi="ar"/>
        </w:rPr>
      </w:pPr>
      <w:r w:rsidRPr="009434F5">
        <w:rPr>
          <w:rFonts w:ascii="仿宋" w:eastAsia="仿宋" w:hAnsi="仿宋" w:cs="仿宋" w:hint="eastAsia"/>
          <w:sz w:val="32"/>
          <w:szCs w:val="32"/>
          <w:lang w:bidi="ar"/>
        </w:rPr>
        <w:t>生殖发育毒性试验方法，是通过对动物以受试物暴露，考察其对雄性和雌性动物生育力及生殖系统的影响。若该暴露（直接或间接）持续至子代，则还可以继续考察受试物对子代发育，甚至子代生育力的影响。</w:t>
      </w:r>
    </w:p>
    <w:p w14:paraId="57B42FB3" w14:textId="77777777" w:rsidR="00E5691B" w:rsidRPr="009434F5" w:rsidRDefault="00EC13FE" w:rsidP="00E43170">
      <w:pPr>
        <w:pStyle w:val="a6"/>
        <w:snapToGrid w:val="0"/>
        <w:spacing w:line="360" w:lineRule="auto"/>
        <w:ind w:firstLine="640"/>
        <w:jc w:val="both"/>
        <w:rPr>
          <w:rFonts w:ascii="仿宋" w:eastAsia="仿宋" w:hAnsi="仿宋" w:cs="仿宋"/>
          <w:sz w:val="32"/>
          <w:szCs w:val="32"/>
          <w:lang w:bidi="ar"/>
        </w:rPr>
      </w:pPr>
      <w:r w:rsidRPr="009434F5">
        <w:rPr>
          <w:rFonts w:ascii="仿宋" w:eastAsia="仿宋" w:hAnsi="仿宋" w:cs="仿宋" w:hint="eastAsia"/>
          <w:sz w:val="32"/>
          <w:szCs w:val="32"/>
          <w:lang w:bidi="ar"/>
        </w:rPr>
        <w:t>本指导原则根据</w:t>
      </w:r>
      <w:r w:rsidRPr="009434F5">
        <w:rPr>
          <w:rFonts w:ascii="仿宋" w:eastAsia="仿宋" w:hAnsi="仿宋" w:cs="仿宋" w:hint="eastAsia"/>
          <w:color w:val="000000"/>
          <w:sz w:val="32"/>
          <w:szCs w:val="32"/>
        </w:rPr>
        <w:t>《化妆品安全技术规范》《化妆品注册和备案检验工作规范》《化妆品注册备案资料管理规定》《化妆品新原料注册备案资料管理规定》等相关要求，并参考国内外相关技术要求制定，适用于化妆品及新原料的</w:t>
      </w:r>
      <w:r w:rsidRPr="009434F5">
        <w:rPr>
          <w:rFonts w:ascii="仿宋" w:eastAsia="仿宋" w:hAnsi="仿宋" w:cs="仿宋" w:hint="eastAsia"/>
          <w:sz w:val="32"/>
          <w:szCs w:val="32"/>
          <w:lang w:bidi="ar"/>
        </w:rPr>
        <w:t>生殖发育毒性研究。</w:t>
      </w:r>
    </w:p>
    <w:p w14:paraId="3696C783" w14:textId="77777777" w:rsidR="00E5691B" w:rsidRPr="009434F5" w:rsidRDefault="00EC13FE" w:rsidP="00E43170">
      <w:pPr>
        <w:pStyle w:val="a6"/>
        <w:snapToGrid w:val="0"/>
        <w:spacing w:line="360" w:lineRule="auto"/>
        <w:ind w:firstLine="640"/>
        <w:jc w:val="both"/>
        <w:rPr>
          <w:rFonts w:ascii="仿宋" w:eastAsia="仿宋" w:hAnsi="仿宋" w:cs="仿宋"/>
          <w:sz w:val="32"/>
          <w:szCs w:val="32"/>
          <w:lang w:bidi="ar"/>
        </w:rPr>
      </w:pPr>
      <w:r w:rsidRPr="009434F5">
        <w:rPr>
          <w:rFonts w:ascii="仿宋" w:eastAsia="仿宋" w:hAnsi="仿宋" w:cs="仿宋" w:hint="eastAsia"/>
          <w:sz w:val="32"/>
          <w:szCs w:val="32"/>
          <w:lang w:bidi="ar"/>
        </w:rPr>
        <w:t>本指导原则为化妆品及新原料生殖发育毒性毒理研究提供的研究方法包括扩展一代生殖发育毒性试验和两代生殖发育毒性试验，试验人员可根据不同的研究目的选择合适的试验方法。</w:t>
      </w:r>
    </w:p>
    <w:p w14:paraId="5170AC21" w14:textId="410EBC75" w:rsidR="00E5691B" w:rsidRPr="009434F5" w:rsidRDefault="00EC13FE" w:rsidP="00C93686">
      <w:pPr>
        <w:widowControl w:val="0"/>
        <w:autoSpaceDE w:val="0"/>
        <w:autoSpaceDN w:val="0"/>
        <w:adjustRightInd w:val="0"/>
        <w:spacing w:line="360" w:lineRule="auto"/>
        <w:ind w:firstLineChars="200" w:firstLine="640"/>
        <w:jc w:val="both"/>
        <w:outlineLvl w:val="0"/>
        <w:rPr>
          <w:rFonts w:ascii="黑体" w:eastAsia="黑体" w:hAnsi="黑体" w:cs="黑体"/>
          <w:color w:val="000000" w:themeColor="text1"/>
          <w:sz w:val="32"/>
          <w:szCs w:val="32"/>
        </w:rPr>
      </w:pPr>
      <w:bookmarkStart w:id="17" w:name="_Toc27423"/>
      <w:bookmarkStart w:id="18" w:name="_Toc26042"/>
      <w:bookmarkStart w:id="19" w:name="_Toc30427"/>
      <w:bookmarkStart w:id="20" w:name="_Toc3583"/>
      <w:bookmarkStart w:id="21" w:name="_Toc4623"/>
      <w:bookmarkStart w:id="22" w:name="_Toc27137"/>
      <w:bookmarkStart w:id="23" w:name="_Toc18275"/>
      <w:bookmarkStart w:id="24" w:name="_Toc6122"/>
      <w:bookmarkStart w:id="25" w:name="_Toc25745"/>
      <w:bookmarkStart w:id="26" w:name="_Toc7594"/>
      <w:bookmarkStart w:id="27" w:name="_Toc30267"/>
      <w:bookmarkStart w:id="28" w:name="_Toc139684098"/>
      <w:bookmarkStart w:id="29" w:name="_Toc120947966"/>
      <w:bookmarkStart w:id="30" w:name="_Toc15781"/>
      <w:bookmarkStart w:id="31" w:name="_Toc18028"/>
      <w:bookmarkStart w:id="32" w:name="_Toc19482"/>
      <w:bookmarkStart w:id="33" w:name="_Toc5394"/>
      <w:bookmarkStart w:id="34" w:name="_Toc5302"/>
      <w:bookmarkStart w:id="35" w:name="_Toc144910423"/>
      <w:r w:rsidRPr="009434F5">
        <w:rPr>
          <w:rFonts w:ascii="黑体" w:eastAsia="黑体" w:hAnsi="黑体" w:cs="黑体" w:hint="eastAsia"/>
          <w:color w:val="000000" w:themeColor="text1"/>
          <w:sz w:val="32"/>
          <w:szCs w:val="32"/>
        </w:rPr>
        <w:t>二、基本原则</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BA4075F" w14:textId="2C66B86C" w:rsidR="00C93686" w:rsidRPr="00C93686" w:rsidRDefault="00C93686" w:rsidP="00C93686">
      <w:pPr>
        <w:autoSpaceDE w:val="0"/>
        <w:autoSpaceDN w:val="0"/>
        <w:adjustRightInd w:val="0"/>
        <w:spacing w:line="360" w:lineRule="auto"/>
        <w:ind w:firstLineChars="200" w:firstLine="640"/>
        <w:outlineLvl w:val="1"/>
        <w:rPr>
          <w:rFonts w:eastAsia="仿宋"/>
          <w:color w:val="000000" w:themeColor="text1"/>
          <w:sz w:val="32"/>
          <w:szCs w:val="32"/>
        </w:rPr>
      </w:pPr>
      <w:bookmarkStart w:id="36" w:name="_Toc7528"/>
      <w:bookmarkStart w:id="37" w:name="_Toc26525"/>
      <w:bookmarkStart w:id="38" w:name="_Toc5051"/>
      <w:bookmarkStart w:id="39" w:name="_Toc25560"/>
      <w:bookmarkStart w:id="40" w:name="_Toc23400"/>
      <w:bookmarkStart w:id="41" w:name="_Toc144910424"/>
      <w:bookmarkStart w:id="42" w:name="_Toc4289"/>
      <w:bookmarkStart w:id="43" w:name="_Toc20747"/>
      <w:bookmarkStart w:id="44" w:name="_Toc11643"/>
      <w:bookmarkStart w:id="45" w:name="_Toc20014"/>
      <w:bookmarkStart w:id="46" w:name="_Toc14185"/>
      <w:bookmarkStart w:id="47" w:name="_Toc31879"/>
      <w:bookmarkStart w:id="48" w:name="_Toc15940"/>
      <w:bookmarkStart w:id="49" w:name="_Toc17273"/>
      <w:bookmarkStart w:id="50" w:name="_Toc2437"/>
      <w:bookmarkStart w:id="51" w:name="_Toc8524"/>
      <w:bookmarkStart w:id="52" w:name="_Toc5877"/>
      <w:bookmarkStart w:id="53" w:name="_Toc11941"/>
      <w:bookmarkStart w:id="54" w:name="_Toc4569"/>
      <w:bookmarkStart w:id="55" w:name="_Toc120947970"/>
      <w:bookmarkStart w:id="56" w:name="_Toc139684102"/>
      <w:r>
        <w:rPr>
          <w:rFonts w:eastAsia="仿宋"/>
          <w:color w:val="000000" w:themeColor="text1"/>
          <w:sz w:val="32"/>
          <w:szCs w:val="32"/>
        </w:rPr>
        <w:t>（一）一般原则</w:t>
      </w:r>
      <w:bookmarkEnd w:id="36"/>
      <w:bookmarkEnd w:id="37"/>
      <w:bookmarkEnd w:id="38"/>
      <w:bookmarkEnd w:id="39"/>
      <w:bookmarkEnd w:id="40"/>
      <w:bookmarkEnd w:id="41"/>
    </w:p>
    <w:p w14:paraId="1785B423" w14:textId="77777777" w:rsidR="00C93686" w:rsidRDefault="00EC13FE" w:rsidP="000C65B0">
      <w:pPr>
        <w:snapToGrid w:val="0"/>
        <w:spacing w:line="360" w:lineRule="auto"/>
        <w:ind w:firstLineChars="200" w:firstLine="640"/>
        <w:jc w:val="both"/>
        <w:rPr>
          <w:rFonts w:eastAsia="仿宋"/>
          <w:color w:val="000000" w:themeColor="text1"/>
          <w:sz w:val="32"/>
          <w:szCs w:val="32"/>
        </w:rPr>
      </w:pPr>
      <w:r w:rsidRPr="000C65B0">
        <w:rPr>
          <w:rFonts w:ascii="仿宋" w:eastAsia="仿宋" w:hAnsi="仿宋" w:cs="仿宋" w:hint="eastAsia"/>
          <w:sz w:val="32"/>
          <w:szCs w:val="32"/>
        </w:rPr>
        <w:t>生殖毒性试验的设计，应遵循生物试验的基本原则，即随机、对照和重复</w:t>
      </w:r>
      <w:r w:rsidR="00C93686">
        <w:rPr>
          <w:rFonts w:ascii="仿宋" w:eastAsia="仿宋" w:hAnsi="仿宋" w:cs="仿宋" w:hint="eastAsia"/>
          <w:sz w:val="32"/>
          <w:szCs w:val="32"/>
        </w:rPr>
        <w:t>。</w:t>
      </w:r>
      <w:r w:rsidR="00C93686">
        <w:rPr>
          <w:rFonts w:eastAsia="仿宋"/>
          <w:color w:val="000000" w:themeColor="text1"/>
          <w:sz w:val="32"/>
          <w:szCs w:val="32"/>
        </w:rPr>
        <w:t>试验数据应真实、完整、准确、可追溯，试验结果统计分析应科学合理。</w:t>
      </w:r>
    </w:p>
    <w:p w14:paraId="13F34C85" w14:textId="0485096C" w:rsidR="00C93686" w:rsidRPr="00C93686" w:rsidRDefault="00C93686" w:rsidP="00C93686">
      <w:pPr>
        <w:autoSpaceDE w:val="0"/>
        <w:autoSpaceDN w:val="0"/>
        <w:adjustRightInd w:val="0"/>
        <w:spacing w:line="360" w:lineRule="auto"/>
        <w:ind w:firstLineChars="200" w:firstLine="640"/>
        <w:outlineLvl w:val="1"/>
        <w:rPr>
          <w:rFonts w:eastAsia="仿宋"/>
          <w:color w:val="000000" w:themeColor="text1"/>
          <w:sz w:val="32"/>
          <w:szCs w:val="32"/>
        </w:rPr>
      </w:pPr>
      <w:bookmarkStart w:id="57" w:name="_Toc7947"/>
      <w:bookmarkStart w:id="58" w:name="_Toc17645"/>
      <w:bookmarkStart w:id="59" w:name="_Toc27330"/>
      <w:bookmarkStart w:id="60" w:name="_Toc5023"/>
      <w:bookmarkStart w:id="61" w:name="_Toc3059"/>
      <w:bookmarkStart w:id="62" w:name="_Toc18687"/>
      <w:bookmarkStart w:id="63" w:name="_Toc144910425"/>
      <w:r>
        <w:rPr>
          <w:rFonts w:eastAsia="仿宋"/>
          <w:color w:val="000000" w:themeColor="text1"/>
          <w:sz w:val="32"/>
          <w:szCs w:val="32"/>
        </w:rPr>
        <w:lastRenderedPageBreak/>
        <w:t>（</w:t>
      </w:r>
      <w:r>
        <w:rPr>
          <w:rFonts w:eastAsia="仿宋" w:hint="eastAsia"/>
          <w:color w:val="000000" w:themeColor="text1"/>
          <w:sz w:val="32"/>
          <w:szCs w:val="32"/>
        </w:rPr>
        <w:t>二</w:t>
      </w:r>
      <w:r>
        <w:rPr>
          <w:rFonts w:eastAsia="仿宋"/>
          <w:color w:val="000000" w:themeColor="text1"/>
          <w:sz w:val="32"/>
          <w:szCs w:val="32"/>
        </w:rPr>
        <w:t>）具体问题具体分析</w:t>
      </w:r>
      <w:bookmarkEnd w:id="57"/>
      <w:bookmarkEnd w:id="58"/>
      <w:bookmarkEnd w:id="59"/>
      <w:bookmarkEnd w:id="60"/>
      <w:bookmarkEnd w:id="61"/>
      <w:bookmarkEnd w:id="62"/>
      <w:bookmarkEnd w:id="63"/>
    </w:p>
    <w:p w14:paraId="6A884906" w14:textId="060F842A" w:rsidR="00E5691B" w:rsidRDefault="00EC13FE" w:rsidP="000C65B0">
      <w:pPr>
        <w:snapToGrid w:val="0"/>
        <w:spacing w:line="360" w:lineRule="auto"/>
        <w:ind w:firstLineChars="200" w:firstLine="640"/>
        <w:jc w:val="both"/>
        <w:rPr>
          <w:rFonts w:ascii="仿宋" w:eastAsia="仿宋" w:hAnsi="仿宋" w:cs="仿宋"/>
          <w:sz w:val="32"/>
          <w:szCs w:val="32"/>
        </w:rPr>
      </w:pPr>
      <w:r w:rsidRPr="000C65B0">
        <w:rPr>
          <w:rFonts w:ascii="仿宋" w:eastAsia="仿宋" w:hAnsi="仿宋" w:cs="仿宋" w:hint="eastAsia"/>
          <w:sz w:val="32"/>
          <w:szCs w:val="32"/>
        </w:rPr>
        <w:t>“具体问题具体分析”</w:t>
      </w:r>
      <w:r w:rsidR="00C93686">
        <w:rPr>
          <w:rFonts w:ascii="仿宋" w:eastAsia="仿宋" w:hAnsi="仿宋" w:cs="仿宋" w:hint="eastAsia"/>
          <w:sz w:val="32"/>
          <w:szCs w:val="32"/>
        </w:rPr>
        <w:t>也是生殖发育毒性试验应遵循的重要原则</w:t>
      </w:r>
      <w:r w:rsidRPr="000C65B0">
        <w:rPr>
          <w:rFonts w:ascii="仿宋" w:eastAsia="仿宋" w:hAnsi="仿宋" w:cs="仿宋" w:hint="eastAsia"/>
          <w:sz w:val="32"/>
          <w:szCs w:val="32"/>
        </w:rPr>
        <w:t>。根据已有的受试物相关资料，如结构特点、理化性质、药理毒理研究信息、可能的暴露途径等选择恰当的试验方法，合理的试验方案，并科学全面地分析评价受试物的生殖发育毒性。</w:t>
      </w:r>
    </w:p>
    <w:p w14:paraId="613FE3CE" w14:textId="77777777" w:rsidR="00C93686" w:rsidRDefault="00C93686" w:rsidP="00C93686">
      <w:pPr>
        <w:autoSpaceDE w:val="0"/>
        <w:autoSpaceDN w:val="0"/>
        <w:adjustRightInd w:val="0"/>
        <w:spacing w:line="360" w:lineRule="auto"/>
        <w:ind w:firstLineChars="200" w:firstLine="640"/>
        <w:outlineLvl w:val="1"/>
        <w:rPr>
          <w:rFonts w:eastAsia="仿宋"/>
          <w:color w:val="000000" w:themeColor="text1"/>
          <w:sz w:val="32"/>
          <w:szCs w:val="32"/>
          <w:lang w:bidi="ar"/>
        </w:rPr>
      </w:pPr>
      <w:bookmarkStart w:id="64" w:name="_Toc10566"/>
      <w:bookmarkStart w:id="65" w:name="_Toc16888"/>
      <w:bookmarkStart w:id="66" w:name="_Toc25972"/>
      <w:bookmarkStart w:id="67" w:name="_Toc7058"/>
      <w:bookmarkStart w:id="68" w:name="_Toc29043"/>
      <w:bookmarkStart w:id="69" w:name="_Toc144910426"/>
      <w:r>
        <w:rPr>
          <w:rFonts w:eastAsia="仿宋" w:hint="eastAsia"/>
          <w:color w:val="000000" w:themeColor="text1"/>
          <w:sz w:val="32"/>
          <w:szCs w:val="32"/>
        </w:rPr>
        <w:t>（三）</w:t>
      </w:r>
      <w:bookmarkEnd w:id="64"/>
      <w:bookmarkEnd w:id="65"/>
      <w:bookmarkEnd w:id="66"/>
      <w:bookmarkEnd w:id="67"/>
      <w:r>
        <w:rPr>
          <w:rFonts w:eastAsia="仿宋" w:hint="eastAsia"/>
          <w:color w:val="000000" w:themeColor="text1"/>
          <w:sz w:val="32"/>
          <w:szCs w:val="32"/>
        </w:rPr>
        <w:t>试验研究策略</w:t>
      </w:r>
      <w:bookmarkEnd w:id="68"/>
      <w:bookmarkEnd w:id="69"/>
    </w:p>
    <w:p w14:paraId="1FBCC565" w14:textId="6E487F49" w:rsidR="00C93686" w:rsidRPr="000C65B0" w:rsidRDefault="00C93686" w:rsidP="00C93686">
      <w:pPr>
        <w:snapToGrid w:val="0"/>
        <w:spacing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rPr>
        <w:t>生殖发育毒性试验应包括扩展一代生殖发育毒性试验和两代生殖发育毒性试验方法。研究者应选择合适的试验方法，以最大程度暴露受试物的生殖发育毒性。在选择扩展一代生殖发育毒性试验时，应注意由触发条件导致的研究策略改变。</w:t>
      </w:r>
    </w:p>
    <w:p w14:paraId="73F88301" w14:textId="77777777" w:rsidR="009434F5" w:rsidRPr="009434F5" w:rsidRDefault="009434F5" w:rsidP="00C93686">
      <w:pPr>
        <w:widowControl w:val="0"/>
        <w:autoSpaceDE w:val="0"/>
        <w:autoSpaceDN w:val="0"/>
        <w:adjustRightInd w:val="0"/>
        <w:spacing w:line="360" w:lineRule="auto"/>
        <w:ind w:firstLineChars="200" w:firstLine="640"/>
        <w:jc w:val="both"/>
        <w:outlineLvl w:val="0"/>
        <w:rPr>
          <w:rFonts w:ascii="黑体" w:eastAsia="黑体" w:hAnsi="黑体" w:cs="黑体"/>
          <w:color w:val="000000" w:themeColor="text1"/>
          <w:sz w:val="32"/>
          <w:szCs w:val="32"/>
        </w:rPr>
      </w:pPr>
      <w:bookmarkStart w:id="70" w:name="_Toc15541"/>
      <w:bookmarkStart w:id="71" w:name="_Toc20969"/>
      <w:bookmarkStart w:id="72" w:name="_Toc16651"/>
      <w:bookmarkStart w:id="73" w:name="_Toc27394"/>
      <w:bookmarkStart w:id="74" w:name="_Toc19199"/>
      <w:bookmarkStart w:id="75" w:name="_Toc144910427"/>
      <w:bookmarkStart w:id="76" w:name="_Toc1391"/>
      <w:bookmarkStart w:id="77" w:name="_Toc13798"/>
      <w:bookmarkStart w:id="78" w:name="_Toc27923"/>
      <w:bookmarkStart w:id="79" w:name="_Toc16427"/>
      <w:bookmarkStart w:id="80" w:name="_Toc7874"/>
      <w:bookmarkStart w:id="81" w:name="_Toc24209"/>
      <w:bookmarkStart w:id="82" w:name="_Toc8223"/>
      <w:bookmarkStart w:id="83" w:name="_Toc13191"/>
      <w:bookmarkStart w:id="84" w:name="_Toc29000"/>
      <w:bookmarkStart w:id="85" w:name="_Toc17592"/>
      <w:bookmarkStart w:id="86" w:name="_Toc28926"/>
      <w:bookmarkStart w:id="87" w:name="_Toc21887"/>
      <w:bookmarkStart w:id="88" w:name="_Toc31458"/>
      <w:bookmarkStart w:id="89" w:name="_Toc5104"/>
      <w:bookmarkStart w:id="90" w:name="_Toc9655"/>
      <w:bookmarkStart w:id="91" w:name="_Toc26526"/>
      <w:bookmarkEnd w:id="42"/>
      <w:bookmarkEnd w:id="43"/>
      <w:bookmarkEnd w:id="44"/>
      <w:bookmarkEnd w:id="45"/>
      <w:bookmarkEnd w:id="46"/>
      <w:bookmarkEnd w:id="47"/>
      <w:bookmarkEnd w:id="48"/>
      <w:bookmarkEnd w:id="49"/>
      <w:bookmarkEnd w:id="50"/>
      <w:bookmarkEnd w:id="51"/>
      <w:bookmarkEnd w:id="52"/>
      <w:bookmarkEnd w:id="53"/>
      <w:bookmarkEnd w:id="54"/>
      <w:r w:rsidRPr="009434F5">
        <w:rPr>
          <w:rFonts w:ascii="黑体" w:eastAsia="黑体" w:hAnsi="黑体" w:cs="黑体" w:hint="eastAsia"/>
          <w:color w:val="000000" w:themeColor="text1"/>
          <w:sz w:val="32"/>
          <w:szCs w:val="32"/>
        </w:rPr>
        <w:t>三、基本内容</w:t>
      </w:r>
      <w:bookmarkEnd w:id="70"/>
      <w:bookmarkEnd w:id="71"/>
      <w:bookmarkEnd w:id="72"/>
      <w:bookmarkEnd w:id="73"/>
      <w:bookmarkEnd w:id="74"/>
      <w:bookmarkEnd w:id="75"/>
    </w:p>
    <w:p w14:paraId="1FC6B6D3" w14:textId="458D541F" w:rsidR="009434F5" w:rsidRPr="009434F5" w:rsidRDefault="009434F5" w:rsidP="009434F5">
      <w:pPr>
        <w:numPr>
          <w:ilvl w:val="255"/>
          <w:numId w:val="0"/>
        </w:numPr>
        <w:autoSpaceDE w:val="0"/>
        <w:autoSpaceDN w:val="0"/>
        <w:adjustRightInd w:val="0"/>
        <w:spacing w:line="360" w:lineRule="auto"/>
        <w:ind w:firstLineChars="200" w:firstLine="643"/>
        <w:outlineLvl w:val="1"/>
        <w:rPr>
          <w:rFonts w:eastAsia="仿宋"/>
          <w:b/>
          <w:bCs/>
          <w:color w:val="000000" w:themeColor="text1"/>
          <w:sz w:val="32"/>
          <w:szCs w:val="32"/>
        </w:rPr>
      </w:pPr>
      <w:bookmarkStart w:id="92" w:name="_Toc19281"/>
      <w:bookmarkStart w:id="93" w:name="_Toc144910428"/>
      <w:r w:rsidRPr="009434F5">
        <w:rPr>
          <w:rFonts w:eastAsia="仿宋" w:hint="eastAsia"/>
          <w:b/>
          <w:bCs/>
          <w:color w:val="000000" w:themeColor="text1"/>
          <w:sz w:val="32"/>
          <w:szCs w:val="32"/>
        </w:rPr>
        <w:t>（一）</w:t>
      </w:r>
      <w:bookmarkEnd w:id="92"/>
      <w:r w:rsidRPr="009434F5">
        <w:rPr>
          <w:rFonts w:eastAsia="仿宋" w:hint="eastAsia"/>
          <w:b/>
          <w:bCs/>
          <w:color w:val="000000" w:themeColor="text1"/>
          <w:sz w:val="32"/>
          <w:szCs w:val="32"/>
        </w:rPr>
        <w:t>受试物</w:t>
      </w:r>
      <w:bookmarkEnd w:id="93"/>
    </w:p>
    <w:bookmarkEnd w:id="55"/>
    <w:bookmarkEnd w:id="56"/>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14:paraId="3B7545FC" w14:textId="77777777" w:rsidR="00E5691B" w:rsidRPr="000C65B0" w:rsidRDefault="00EC13FE" w:rsidP="000C65B0">
      <w:pPr>
        <w:pStyle w:val="a6"/>
        <w:snapToGrid w:val="0"/>
        <w:spacing w:line="360" w:lineRule="auto"/>
        <w:ind w:firstLine="640"/>
        <w:jc w:val="both"/>
        <w:rPr>
          <w:rFonts w:ascii="仿宋" w:eastAsia="仿宋" w:hAnsi="仿宋" w:cs="仿宋"/>
          <w:sz w:val="32"/>
          <w:szCs w:val="32"/>
          <w:lang w:bidi="ar"/>
        </w:rPr>
      </w:pPr>
      <w:r w:rsidRPr="000C65B0">
        <w:rPr>
          <w:rFonts w:ascii="仿宋" w:eastAsia="仿宋" w:hAnsi="仿宋" w:cs="仿宋" w:hint="eastAsia"/>
          <w:sz w:val="32"/>
          <w:szCs w:val="32"/>
          <w:lang w:bidi="ar"/>
        </w:rPr>
        <w:t>受试物若需配制，所选择的溶媒通常包括水和玉米油，其它溶剂也可以选择，但应明确其本身的毒性及其是否改变受试物的化学特性。所配制的溶液也应当确保其稳定性。</w:t>
      </w:r>
    </w:p>
    <w:p w14:paraId="1D0AB4AF" w14:textId="77777777" w:rsidR="00E5691B" w:rsidRPr="000C65B0" w:rsidRDefault="00EC13FE" w:rsidP="000C65B0">
      <w:pPr>
        <w:pStyle w:val="a6"/>
        <w:snapToGrid w:val="0"/>
        <w:spacing w:line="360" w:lineRule="auto"/>
        <w:ind w:firstLine="643"/>
        <w:jc w:val="both"/>
        <w:outlineLvl w:val="1"/>
        <w:rPr>
          <w:rFonts w:ascii="仿宋" w:eastAsia="仿宋" w:hAnsi="仿宋" w:cs="仿宋"/>
          <w:b/>
          <w:bCs/>
          <w:sz w:val="32"/>
          <w:szCs w:val="32"/>
          <w:lang w:bidi="ar"/>
        </w:rPr>
      </w:pPr>
      <w:bookmarkStart w:id="94" w:name="_Toc25775"/>
      <w:bookmarkStart w:id="95" w:name="_Toc6"/>
      <w:bookmarkStart w:id="96" w:name="_Toc3441"/>
      <w:bookmarkStart w:id="97" w:name="_Toc15086"/>
      <w:bookmarkStart w:id="98" w:name="_Toc26515"/>
      <w:bookmarkStart w:id="99" w:name="_Toc144910429"/>
      <w:r w:rsidRPr="000C65B0">
        <w:rPr>
          <w:rFonts w:ascii="仿宋" w:eastAsia="仿宋" w:hAnsi="仿宋" w:cs="仿宋" w:hint="eastAsia"/>
          <w:b/>
          <w:bCs/>
          <w:sz w:val="32"/>
          <w:szCs w:val="32"/>
          <w:lang w:bidi="ar"/>
        </w:rPr>
        <w:t>（二）暴露方式</w:t>
      </w:r>
      <w:bookmarkEnd w:id="94"/>
      <w:bookmarkEnd w:id="95"/>
      <w:bookmarkEnd w:id="96"/>
      <w:bookmarkEnd w:id="97"/>
      <w:bookmarkEnd w:id="98"/>
      <w:bookmarkEnd w:id="99"/>
    </w:p>
    <w:p w14:paraId="3EC252C6" w14:textId="77777777" w:rsidR="00E5691B" w:rsidRPr="000C65B0" w:rsidRDefault="00EC13FE" w:rsidP="000C65B0">
      <w:pPr>
        <w:pStyle w:val="a6"/>
        <w:snapToGrid w:val="0"/>
        <w:spacing w:line="360" w:lineRule="auto"/>
        <w:ind w:firstLine="640"/>
        <w:jc w:val="both"/>
        <w:rPr>
          <w:rFonts w:ascii="仿宋" w:eastAsia="仿宋" w:hAnsi="仿宋" w:cs="仿宋"/>
          <w:sz w:val="32"/>
          <w:szCs w:val="32"/>
          <w:lang w:bidi="ar"/>
        </w:rPr>
      </w:pPr>
      <w:r w:rsidRPr="000C65B0">
        <w:rPr>
          <w:rFonts w:ascii="仿宋" w:eastAsia="仿宋" w:hAnsi="仿宋" w:cs="仿宋" w:hint="eastAsia"/>
          <w:sz w:val="32"/>
          <w:szCs w:val="32"/>
          <w:lang w:bidi="ar"/>
        </w:rPr>
        <w:lastRenderedPageBreak/>
        <w:t>首先应考虑选择与人的可能暴露途径最接近的方式。也可根据受试物的物化特性选择合适的暴露途径。</w:t>
      </w:r>
    </w:p>
    <w:p w14:paraId="3FEE4E6C" w14:textId="77777777" w:rsidR="00E5691B" w:rsidRPr="000C65B0" w:rsidRDefault="00EC13FE" w:rsidP="000C65B0">
      <w:pPr>
        <w:pStyle w:val="a6"/>
        <w:snapToGrid w:val="0"/>
        <w:spacing w:line="360" w:lineRule="auto"/>
        <w:ind w:firstLine="640"/>
        <w:jc w:val="both"/>
        <w:rPr>
          <w:rFonts w:ascii="仿宋" w:eastAsia="仿宋" w:hAnsi="仿宋" w:cs="仿宋"/>
          <w:sz w:val="32"/>
          <w:szCs w:val="32"/>
          <w:lang w:bidi="ar"/>
        </w:rPr>
      </w:pPr>
      <w:r w:rsidRPr="000C65B0">
        <w:rPr>
          <w:rFonts w:ascii="仿宋" w:eastAsia="仿宋" w:hAnsi="仿宋" w:cs="仿宋" w:hint="eastAsia"/>
          <w:sz w:val="32"/>
          <w:szCs w:val="32"/>
          <w:lang w:bidi="ar"/>
        </w:rPr>
        <w:t>化妆品原料一般采用经口、经皮或吸入方式给予受试物，溶媒对照应采用相同的给予途径。若设置阳性对照，其处理方式可以不同于受试物处理组。</w:t>
      </w:r>
      <w:r w:rsidR="001655B1" w:rsidRPr="000C65B0">
        <w:rPr>
          <w:rFonts w:ascii="仿宋" w:eastAsia="仿宋" w:hAnsi="仿宋" w:cs="仿宋" w:hint="eastAsia"/>
          <w:sz w:val="32"/>
          <w:szCs w:val="32"/>
          <w:lang w:bidi="ar"/>
        </w:rPr>
        <w:t>阳性对照物的选择因作用阶段不同可有多种选择，</w:t>
      </w:r>
      <w:r w:rsidR="009E07CC" w:rsidRPr="000C65B0">
        <w:rPr>
          <w:rFonts w:ascii="仿宋" w:eastAsia="仿宋" w:hAnsi="仿宋" w:cs="仿宋" w:hint="eastAsia"/>
          <w:sz w:val="32"/>
          <w:szCs w:val="32"/>
          <w:lang w:bidi="ar"/>
        </w:rPr>
        <w:t>试验设计人员可根据受试物特征，选择合适的阳性物</w:t>
      </w:r>
      <w:r w:rsidR="00AB1694" w:rsidRPr="000C65B0">
        <w:rPr>
          <w:rFonts w:ascii="仿宋" w:eastAsia="仿宋" w:hAnsi="仿宋" w:cs="仿宋" w:hint="eastAsia"/>
          <w:sz w:val="32"/>
          <w:szCs w:val="32"/>
          <w:lang w:bidi="ar"/>
        </w:rPr>
        <w:t>（如环磷酰胺、</w:t>
      </w:r>
      <w:r w:rsidR="00C53FCF" w:rsidRPr="000C65B0">
        <w:rPr>
          <w:rFonts w:ascii="仿宋" w:eastAsia="仿宋" w:hAnsi="仿宋" w:cs="仿宋" w:hint="eastAsia"/>
          <w:sz w:val="32"/>
          <w:szCs w:val="32"/>
          <w:lang w:bidi="ar"/>
        </w:rPr>
        <w:t>维A酸、丙硫氧嘧啶等</w:t>
      </w:r>
      <w:r w:rsidR="00AB1694" w:rsidRPr="000C65B0">
        <w:rPr>
          <w:rFonts w:ascii="仿宋" w:eastAsia="仿宋" w:hAnsi="仿宋" w:cs="仿宋" w:hint="eastAsia"/>
          <w:sz w:val="32"/>
          <w:szCs w:val="32"/>
          <w:lang w:bidi="ar"/>
        </w:rPr>
        <w:t>）</w:t>
      </w:r>
      <w:r w:rsidR="009E07CC" w:rsidRPr="000C65B0">
        <w:rPr>
          <w:rFonts w:ascii="仿宋" w:eastAsia="仿宋" w:hAnsi="仿宋" w:cs="仿宋" w:hint="eastAsia"/>
          <w:sz w:val="32"/>
          <w:szCs w:val="32"/>
          <w:lang w:bidi="ar"/>
        </w:rPr>
        <w:t>以考察所关注的实验终点</w:t>
      </w:r>
      <w:r w:rsidR="001655B1" w:rsidRPr="000C65B0">
        <w:rPr>
          <w:rFonts w:ascii="仿宋" w:eastAsia="仿宋" w:hAnsi="仿宋" w:cs="仿宋" w:hint="eastAsia"/>
          <w:sz w:val="32"/>
          <w:szCs w:val="32"/>
          <w:lang w:bidi="ar"/>
        </w:rPr>
        <w:t>。</w:t>
      </w:r>
    </w:p>
    <w:p w14:paraId="34434C91" w14:textId="77777777" w:rsidR="00E5691B" w:rsidRPr="000C65B0" w:rsidRDefault="00EC13FE" w:rsidP="000C65B0">
      <w:pPr>
        <w:pStyle w:val="a6"/>
        <w:snapToGrid w:val="0"/>
        <w:spacing w:line="360" w:lineRule="auto"/>
        <w:ind w:firstLine="640"/>
        <w:jc w:val="both"/>
        <w:rPr>
          <w:rFonts w:ascii="仿宋" w:eastAsia="仿宋" w:hAnsi="仿宋" w:cs="仿宋"/>
          <w:sz w:val="32"/>
          <w:szCs w:val="32"/>
          <w:lang w:bidi="ar"/>
        </w:rPr>
      </w:pPr>
      <w:r w:rsidRPr="000C65B0">
        <w:rPr>
          <w:rFonts w:ascii="仿宋" w:eastAsia="仿宋" w:hAnsi="仿宋" w:cs="仿宋" w:hint="eastAsia"/>
          <w:sz w:val="32"/>
          <w:szCs w:val="32"/>
          <w:lang w:bidi="ar"/>
        </w:rPr>
        <w:t>通过饲料或饮水给予</w:t>
      </w:r>
      <w:r w:rsidR="002725B8" w:rsidRPr="000C65B0">
        <w:rPr>
          <w:rFonts w:ascii="仿宋" w:eastAsia="仿宋" w:hAnsi="仿宋" w:cs="仿宋" w:hint="eastAsia"/>
          <w:sz w:val="32"/>
          <w:szCs w:val="32"/>
          <w:lang w:bidi="ar"/>
        </w:rPr>
        <w:t>受试物</w:t>
      </w:r>
      <w:r w:rsidRPr="000C65B0">
        <w:rPr>
          <w:rFonts w:ascii="仿宋" w:eastAsia="仿宋" w:hAnsi="仿宋" w:cs="仿宋" w:hint="eastAsia"/>
          <w:sz w:val="32"/>
          <w:szCs w:val="32"/>
          <w:lang w:bidi="ar"/>
        </w:rPr>
        <w:t>，</w:t>
      </w:r>
      <w:r w:rsidR="002725B8" w:rsidRPr="000C65B0">
        <w:rPr>
          <w:rFonts w:ascii="仿宋" w:eastAsia="仿宋" w:hAnsi="仿宋" w:cs="仿宋" w:hint="eastAsia"/>
          <w:sz w:val="32"/>
          <w:szCs w:val="32"/>
          <w:lang w:bidi="ar"/>
        </w:rPr>
        <w:t>在设置对照组时</w:t>
      </w:r>
      <w:r w:rsidRPr="000C65B0">
        <w:rPr>
          <w:rFonts w:ascii="仿宋" w:eastAsia="仿宋" w:hAnsi="仿宋" w:cs="仿宋" w:hint="eastAsia"/>
          <w:sz w:val="32"/>
          <w:szCs w:val="32"/>
          <w:lang w:bidi="ar"/>
        </w:rPr>
        <w:t>应</w:t>
      </w:r>
      <w:r w:rsidR="00A83E0E" w:rsidRPr="000C65B0">
        <w:rPr>
          <w:rFonts w:ascii="仿宋" w:eastAsia="仿宋" w:hAnsi="仿宋" w:cs="仿宋" w:hint="eastAsia"/>
          <w:sz w:val="32"/>
          <w:szCs w:val="32"/>
          <w:lang w:bidi="ar"/>
        </w:rPr>
        <w:t>对其处理方式的合理性加以</w:t>
      </w:r>
      <w:r w:rsidRPr="000C65B0">
        <w:rPr>
          <w:rFonts w:ascii="仿宋" w:eastAsia="仿宋" w:hAnsi="仿宋" w:cs="仿宋" w:hint="eastAsia"/>
          <w:sz w:val="32"/>
          <w:szCs w:val="32"/>
          <w:lang w:bidi="ar"/>
        </w:rPr>
        <w:t>考虑。经皮给予受试物时，应确保足够接触时长和接触面积。经口灌胃则需要考虑动物所能接受的最大生物限度。经吸入暴露需控制好氧气和二氧化碳浓度，并确保受试物浓度的持续稳定。</w:t>
      </w:r>
    </w:p>
    <w:p w14:paraId="14DD2D85" w14:textId="77777777" w:rsidR="00E5691B" w:rsidRPr="000C65B0" w:rsidRDefault="00EC13FE" w:rsidP="000C65B0">
      <w:pPr>
        <w:pStyle w:val="a6"/>
        <w:snapToGrid w:val="0"/>
        <w:spacing w:line="360" w:lineRule="auto"/>
        <w:ind w:firstLine="640"/>
        <w:jc w:val="both"/>
        <w:rPr>
          <w:rFonts w:ascii="仿宋" w:eastAsia="仿宋" w:hAnsi="仿宋" w:cs="仿宋"/>
          <w:sz w:val="32"/>
          <w:szCs w:val="32"/>
          <w:lang w:bidi="ar"/>
        </w:rPr>
      </w:pPr>
      <w:r w:rsidRPr="000C65B0">
        <w:rPr>
          <w:rFonts w:ascii="仿宋" w:eastAsia="仿宋" w:hAnsi="仿宋" w:cs="仿宋" w:hint="eastAsia"/>
          <w:sz w:val="32"/>
          <w:szCs w:val="32"/>
          <w:lang w:bidi="ar"/>
        </w:rPr>
        <w:t>一般情况下，选择以上受试物暴露途径是合适的，若选择其它暴露途径应阐明选择理由。同时，不论剂量组或阳性对照组，采取腹腔注射的暴露方式是不可取的。</w:t>
      </w:r>
    </w:p>
    <w:p w14:paraId="04280ECD" w14:textId="77777777" w:rsidR="00E5691B" w:rsidRPr="000C65B0" w:rsidRDefault="00EC13FE" w:rsidP="000C65B0">
      <w:pPr>
        <w:pStyle w:val="a6"/>
        <w:snapToGrid w:val="0"/>
        <w:spacing w:line="360" w:lineRule="auto"/>
        <w:ind w:firstLine="643"/>
        <w:jc w:val="both"/>
        <w:outlineLvl w:val="1"/>
        <w:rPr>
          <w:rFonts w:ascii="仿宋" w:eastAsia="仿宋" w:hAnsi="仿宋" w:cs="仿宋"/>
          <w:b/>
          <w:bCs/>
          <w:sz w:val="32"/>
          <w:szCs w:val="32"/>
          <w:lang w:bidi="ar"/>
        </w:rPr>
      </w:pPr>
      <w:bookmarkStart w:id="100" w:name="_Toc26630"/>
      <w:bookmarkStart w:id="101" w:name="_Toc4127"/>
      <w:bookmarkStart w:id="102" w:name="_Toc14750"/>
      <w:bookmarkStart w:id="103" w:name="_Toc2109"/>
      <w:bookmarkStart w:id="104" w:name="_Toc21855"/>
      <w:bookmarkStart w:id="105" w:name="_Toc14214"/>
      <w:bookmarkStart w:id="106" w:name="_Toc17417"/>
      <w:bookmarkStart w:id="107" w:name="_Toc3498"/>
      <w:bookmarkStart w:id="108" w:name="_Toc11190"/>
      <w:bookmarkStart w:id="109" w:name="_Toc27813"/>
      <w:bookmarkStart w:id="110" w:name="_Toc26202"/>
      <w:bookmarkStart w:id="111" w:name="_Toc21014"/>
      <w:bookmarkStart w:id="112" w:name="_Toc144910430"/>
      <w:r w:rsidRPr="000C65B0">
        <w:rPr>
          <w:rFonts w:ascii="仿宋" w:eastAsia="仿宋" w:hAnsi="仿宋" w:cs="仿宋" w:hint="eastAsia"/>
          <w:b/>
          <w:bCs/>
          <w:sz w:val="32"/>
          <w:szCs w:val="32"/>
          <w:lang w:bidi="ar"/>
        </w:rPr>
        <w:t>（三）实验动物</w:t>
      </w:r>
      <w:bookmarkEnd w:id="100"/>
      <w:bookmarkEnd w:id="101"/>
      <w:bookmarkEnd w:id="102"/>
      <w:bookmarkEnd w:id="103"/>
      <w:bookmarkEnd w:id="104"/>
      <w:bookmarkEnd w:id="105"/>
      <w:bookmarkEnd w:id="106"/>
      <w:bookmarkEnd w:id="107"/>
      <w:bookmarkEnd w:id="108"/>
      <w:bookmarkEnd w:id="109"/>
      <w:bookmarkEnd w:id="110"/>
      <w:bookmarkEnd w:id="111"/>
      <w:bookmarkEnd w:id="112"/>
    </w:p>
    <w:p w14:paraId="0FCC8CE4" w14:textId="77777777" w:rsidR="00E5691B" w:rsidRPr="000C65B0" w:rsidRDefault="00EC13FE" w:rsidP="000C65B0">
      <w:pPr>
        <w:pStyle w:val="a6"/>
        <w:snapToGrid w:val="0"/>
        <w:spacing w:line="360" w:lineRule="auto"/>
        <w:ind w:firstLine="640"/>
        <w:jc w:val="both"/>
        <w:rPr>
          <w:rFonts w:ascii="仿宋" w:eastAsia="仿宋" w:hAnsi="仿宋" w:cs="仿宋"/>
          <w:sz w:val="32"/>
          <w:szCs w:val="32"/>
          <w:lang w:bidi="ar"/>
        </w:rPr>
      </w:pPr>
      <w:r w:rsidRPr="000C65B0">
        <w:rPr>
          <w:rFonts w:ascii="仿宋" w:eastAsia="仿宋" w:hAnsi="仿宋" w:cs="仿宋" w:hint="eastAsia"/>
          <w:sz w:val="32"/>
          <w:szCs w:val="32"/>
          <w:lang w:bidi="ar"/>
        </w:rPr>
        <w:lastRenderedPageBreak/>
        <w:t>首选种属为大鼠，若选择其它种属动物应有合理理由，同时应避免选择生育力低且具有明显发育缺陷的动物种属。所选动物应健康且未经历任何试验，其中雌性动物应为未经产且未孕动物。在开始试验时，动物应已发育性成熟。</w:t>
      </w:r>
    </w:p>
    <w:p w14:paraId="3545C612" w14:textId="77777777" w:rsidR="00E5691B" w:rsidRPr="000C65B0" w:rsidRDefault="00EC13FE" w:rsidP="000C65B0">
      <w:pPr>
        <w:pStyle w:val="a6"/>
        <w:snapToGrid w:val="0"/>
        <w:spacing w:line="360" w:lineRule="auto"/>
        <w:ind w:firstLine="640"/>
        <w:jc w:val="both"/>
        <w:rPr>
          <w:rFonts w:ascii="仿宋" w:eastAsia="仿宋" w:hAnsi="仿宋" w:cs="仿宋"/>
          <w:sz w:val="32"/>
          <w:szCs w:val="32"/>
          <w:lang w:bidi="ar"/>
        </w:rPr>
      </w:pPr>
      <w:r w:rsidRPr="000C65B0">
        <w:rPr>
          <w:rFonts w:ascii="仿宋" w:eastAsia="仿宋" w:hAnsi="仿宋" w:cs="仿宋" w:hint="eastAsia"/>
          <w:sz w:val="32"/>
          <w:szCs w:val="32"/>
          <w:lang w:bidi="ar"/>
        </w:rPr>
        <w:t>生殖发育毒性试验通常应确保至少有20只成功怀孕的雌性动物用于分析，但在某些情况下（如个别动物死亡或流产），未达到20只怀孕动物也可接受，但应遵循</w:t>
      </w:r>
      <w:r w:rsidRPr="000C65B0">
        <w:rPr>
          <w:rFonts w:ascii="仿宋" w:eastAsia="仿宋" w:hAnsi="仿宋" w:cs="仿宋" w:hint="eastAsia"/>
          <w:sz w:val="32"/>
          <w:szCs w:val="32"/>
        </w:rPr>
        <w:t>具体问题具体分析</w:t>
      </w:r>
      <w:r w:rsidRPr="000C65B0">
        <w:rPr>
          <w:rFonts w:ascii="仿宋" w:eastAsia="仿宋" w:hAnsi="仿宋" w:cs="仿宋" w:hint="eastAsia"/>
          <w:sz w:val="32"/>
          <w:szCs w:val="32"/>
          <w:lang w:bidi="ar"/>
        </w:rPr>
        <w:t>原则。</w:t>
      </w:r>
    </w:p>
    <w:p w14:paraId="50CC5FB4" w14:textId="77777777" w:rsidR="00E5691B" w:rsidRPr="000C65B0" w:rsidRDefault="00EC13FE" w:rsidP="000C65B0">
      <w:pPr>
        <w:snapToGrid w:val="0"/>
        <w:spacing w:line="360" w:lineRule="auto"/>
        <w:ind w:firstLineChars="200" w:firstLine="643"/>
        <w:jc w:val="both"/>
        <w:outlineLvl w:val="1"/>
        <w:rPr>
          <w:rFonts w:ascii="仿宋" w:eastAsia="仿宋" w:hAnsi="仿宋" w:cs="仿宋"/>
          <w:b/>
          <w:bCs/>
          <w:sz w:val="32"/>
          <w:szCs w:val="32"/>
        </w:rPr>
      </w:pPr>
      <w:bookmarkStart w:id="113" w:name="_Toc17802"/>
      <w:bookmarkStart w:id="114" w:name="_Toc31650"/>
      <w:bookmarkStart w:id="115" w:name="_Toc6456"/>
      <w:bookmarkStart w:id="116" w:name="_Toc11807"/>
      <w:bookmarkStart w:id="117" w:name="_Toc15228"/>
      <w:bookmarkStart w:id="118" w:name="_Toc20042"/>
      <w:bookmarkStart w:id="119" w:name="_Toc23033"/>
      <w:bookmarkStart w:id="120" w:name="_Toc11819"/>
      <w:bookmarkStart w:id="121" w:name="_Toc7253"/>
      <w:bookmarkStart w:id="122" w:name="_Toc7907"/>
      <w:bookmarkStart w:id="123" w:name="_Toc20498"/>
      <w:bookmarkStart w:id="124" w:name="_Toc18222"/>
      <w:bookmarkStart w:id="125" w:name="_Toc22755"/>
      <w:bookmarkStart w:id="126" w:name="_Toc144910431"/>
      <w:r w:rsidRPr="000C65B0">
        <w:rPr>
          <w:rFonts w:ascii="仿宋" w:eastAsia="仿宋" w:hAnsi="仿宋" w:cs="仿宋" w:hint="eastAsia"/>
          <w:b/>
          <w:bCs/>
          <w:sz w:val="32"/>
          <w:szCs w:val="32"/>
        </w:rPr>
        <w:t>（四）</w:t>
      </w:r>
      <w:bookmarkEnd w:id="113"/>
      <w:bookmarkEnd w:id="114"/>
      <w:bookmarkEnd w:id="115"/>
      <w:bookmarkEnd w:id="116"/>
      <w:bookmarkEnd w:id="117"/>
      <w:bookmarkEnd w:id="118"/>
      <w:bookmarkEnd w:id="119"/>
      <w:bookmarkEnd w:id="120"/>
      <w:bookmarkEnd w:id="121"/>
      <w:bookmarkEnd w:id="122"/>
      <w:bookmarkEnd w:id="123"/>
      <w:bookmarkEnd w:id="124"/>
      <w:bookmarkEnd w:id="125"/>
      <w:r w:rsidRPr="000C65B0">
        <w:rPr>
          <w:rFonts w:ascii="仿宋" w:eastAsia="仿宋" w:hAnsi="仿宋" w:cs="仿宋" w:hint="eastAsia"/>
          <w:b/>
          <w:bCs/>
          <w:sz w:val="32"/>
          <w:szCs w:val="32"/>
        </w:rPr>
        <w:t>剂量设计与分组</w:t>
      </w:r>
      <w:bookmarkEnd w:id="126"/>
    </w:p>
    <w:p w14:paraId="4B805AF3" w14:textId="77777777" w:rsidR="00E5691B" w:rsidRPr="000C65B0" w:rsidRDefault="00EC13FE" w:rsidP="000C65B0">
      <w:pPr>
        <w:snapToGrid w:val="0"/>
        <w:spacing w:line="360" w:lineRule="auto"/>
        <w:ind w:firstLineChars="200" w:firstLine="640"/>
        <w:jc w:val="both"/>
        <w:rPr>
          <w:rFonts w:ascii="仿宋" w:eastAsia="仿宋" w:hAnsi="仿宋" w:cs="仿宋"/>
          <w:sz w:val="32"/>
          <w:szCs w:val="32"/>
        </w:rPr>
      </w:pPr>
      <w:r w:rsidRPr="000C65B0">
        <w:rPr>
          <w:rFonts w:ascii="仿宋" w:eastAsia="仿宋" w:hAnsi="仿宋" w:cs="仿宋" w:hint="eastAsia"/>
          <w:sz w:val="32"/>
          <w:szCs w:val="32"/>
        </w:rPr>
        <w:t>通常情况下，设置3个剂量组和1个溶媒对照组较为合适，但是根据剂量反应曲线特征也可增加或减少组别。高剂量的选择可以参考受试物的毒代动力学试验数据或重复剂量毒性试验资料。若无相关资料，高剂量的选择应确保产生一定程度的全身毒性但不致死或造成动物严重的痛苦。低剂量应能够确定NOAEL或可以用于推导基准剂量（Bench mark dose, BMD）。</w:t>
      </w:r>
    </w:p>
    <w:p w14:paraId="162DFEF6" w14:textId="77777777" w:rsidR="00E5691B" w:rsidRPr="009434F5" w:rsidRDefault="00B1346D" w:rsidP="000C65B0">
      <w:pPr>
        <w:snapToGrid w:val="0"/>
        <w:spacing w:line="360" w:lineRule="auto"/>
        <w:ind w:firstLineChars="200" w:firstLine="640"/>
        <w:jc w:val="both"/>
        <w:rPr>
          <w:rFonts w:ascii="仿宋" w:eastAsia="仿宋" w:hAnsi="仿宋" w:cs="仿宋"/>
          <w:sz w:val="32"/>
          <w:szCs w:val="32"/>
        </w:rPr>
      </w:pPr>
      <w:r w:rsidRPr="000C65B0">
        <w:rPr>
          <w:rFonts w:ascii="仿宋" w:eastAsia="仿宋" w:hAnsi="仿宋" w:cs="仿宋" w:hint="eastAsia"/>
          <w:sz w:val="32"/>
          <w:szCs w:val="32"/>
        </w:rPr>
        <w:t>拟</w:t>
      </w:r>
      <w:r w:rsidRPr="009434F5">
        <w:rPr>
          <w:rFonts w:ascii="仿宋" w:eastAsia="仿宋" w:hAnsi="仿宋" w:cs="仿宋" w:hint="eastAsia"/>
          <w:sz w:val="32"/>
          <w:szCs w:val="32"/>
        </w:rPr>
        <w:t>进行限制剂量试验时，应注意其前提条件为</w:t>
      </w:r>
      <w:r w:rsidR="00EC13FE" w:rsidRPr="009434F5">
        <w:rPr>
          <w:rFonts w:ascii="仿宋" w:eastAsia="仿宋" w:hAnsi="仿宋" w:cs="仿宋" w:hint="eastAsia"/>
          <w:sz w:val="32"/>
          <w:szCs w:val="32"/>
        </w:rPr>
        <w:t>人的可能暴露水平低于</w:t>
      </w:r>
      <w:r w:rsidR="00EC13FE" w:rsidRPr="009434F5">
        <w:rPr>
          <w:rFonts w:ascii="仿宋" w:eastAsia="仿宋" w:hAnsi="仿宋" w:cs="仿宋"/>
          <w:sz w:val="32"/>
          <w:szCs w:val="32"/>
        </w:rPr>
        <w:t>1000 mg/kg/day</w:t>
      </w:r>
      <w:r w:rsidR="00EC13FE" w:rsidRPr="009434F5">
        <w:rPr>
          <w:rFonts w:ascii="仿宋" w:eastAsia="仿宋" w:hAnsi="仿宋" w:cs="仿宋" w:hint="eastAsia"/>
          <w:sz w:val="32"/>
          <w:szCs w:val="32"/>
        </w:rPr>
        <w:t>。</w:t>
      </w:r>
    </w:p>
    <w:p w14:paraId="7D9ADF4E" w14:textId="77777777" w:rsidR="00E5691B" w:rsidRPr="009434F5" w:rsidRDefault="00EC13FE" w:rsidP="000C65B0">
      <w:pPr>
        <w:snapToGrid w:val="0"/>
        <w:spacing w:line="360" w:lineRule="auto"/>
        <w:ind w:firstLineChars="200" w:firstLine="643"/>
        <w:jc w:val="both"/>
        <w:outlineLvl w:val="1"/>
        <w:rPr>
          <w:rFonts w:ascii="仿宋" w:eastAsia="仿宋" w:hAnsi="仿宋" w:cs="仿宋"/>
          <w:b/>
          <w:bCs/>
          <w:sz w:val="32"/>
          <w:szCs w:val="32"/>
        </w:rPr>
      </w:pPr>
      <w:bookmarkStart w:id="127" w:name="_Toc144910432"/>
      <w:r w:rsidRPr="009434F5">
        <w:rPr>
          <w:rFonts w:ascii="仿宋" w:eastAsia="仿宋" w:hAnsi="仿宋" w:cs="仿宋" w:hint="eastAsia"/>
          <w:b/>
          <w:bCs/>
          <w:sz w:val="32"/>
          <w:szCs w:val="32"/>
        </w:rPr>
        <w:lastRenderedPageBreak/>
        <w:t>（五）试验设计</w:t>
      </w:r>
      <w:bookmarkEnd w:id="127"/>
    </w:p>
    <w:p w14:paraId="3975BF87" w14:textId="013D3EBB" w:rsidR="00E5691B" w:rsidRPr="009434F5" w:rsidRDefault="000C65B0" w:rsidP="000C65B0">
      <w:pPr>
        <w:snapToGrid w:val="0"/>
        <w:spacing w:line="360" w:lineRule="auto"/>
        <w:ind w:firstLineChars="200" w:firstLine="640"/>
        <w:jc w:val="both"/>
        <w:rPr>
          <w:rFonts w:ascii="仿宋" w:eastAsia="仿宋" w:hAnsi="仿宋" w:cs="仿宋"/>
          <w:sz w:val="32"/>
          <w:szCs w:val="32"/>
        </w:rPr>
      </w:pPr>
      <w:r w:rsidRPr="009434F5">
        <w:rPr>
          <w:rFonts w:eastAsia="仿宋" w:hint="eastAsia"/>
          <w:color w:val="000000" w:themeColor="text1"/>
          <w:sz w:val="32"/>
          <w:szCs w:val="32"/>
        </w:rPr>
        <w:t>1.</w:t>
      </w:r>
      <w:r w:rsidR="00EC13FE" w:rsidRPr="009434F5">
        <w:rPr>
          <w:rFonts w:ascii="仿宋" w:eastAsia="仿宋" w:hAnsi="仿宋" w:cs="仿宋" w:hint="eastAsia"/>
          <w:sz w:val="32"/>
          <w:szCs w:val="32"/>
        </w:rPr>
        <w:t>扩展一代生殖发育毒性试验</w:t>
      </w:r>
    </w:p>
    <w:p w14:paraId="7541722F" w14:textId="77777777" w:rsidR="00E5691B" w:rsidRPr="009434F5" w:rsidRDefault="00EC13FE" w:rsidP="000C65B0">
      <w:pPr>
        <w:snapToGrid w:val="0"/>
        <w:spacing w:line="360" w:lineRule="auto"/>
        <w:ind w:firstLineChars="200" w:firstLine="640"/>
        <w:jc w:val="both"/>
        <w:rPr>
          <w:rFonts w:ascii="仿宋" w:eastAsia="仿宋" w:hAnsi="仿宋" w:cs="仿宋"/>
          <w:sz w:val="32"/>
          <w:szCs w:val="32"/>
        </w:rPr>
      </w:pPr>
      <w:r w:rsidRPr="009434F5">
        <w:rPr>
          <w:rFonts w:ascii="仿宋" w:eastAsia="仿宋" w:hAnsi="仿宋" w:cs="仿宋" w:hint="eastAsia"/>
          <w:sz w:val="32"/>
          <w:szCs w:val="32"/>
        </w:rPr>
        <w:t>从F0持续暴露至F1离乳，观察受试物对F0的生育力、生殖系统和F1的生殖（满足触发条件的情况下）和发育影响。</w:t>
      </w:r>
    </w:p>
    <w:p w14:paraId="6AC6749A" w14:textId="77777777" w:rsidR="00E5691B" w:rsidRPr="009434F5" w:rsidRDefault="00EC13FE" w:rsidP="000C65B0">
      <w:pPr>
        <w:snapToGrid w:val="0"/>
        <w:spacing w:line="360" w:lineRule="auto"/>
        <w:ind w:firstLineChars="200" w:firstLine="640"/>
        <w:jc w:val="both"/>
        <w:rPr>
          <w:rFonts w:ascii="仿宋" w:eastAsia="仿宋" w:hAnsi="仿宋" w:cs="仿宋"/>
          <w:sz w:val="32"/>
          <w:szCs w:val="32"/>
        </w:rPr>
      </w:pPr>
      <w:r w:rsidRPr="009434F5">
        <w:rPr>
          <w:rFonts w:ascii="仿宋" w:eastAsia="仿宋" w:hAnsi="仿宋" w:cs="仿宋" w:hint="eastAsia"/>
          <w:sz w:val="32"/>
          <w:szCs w:val="32"/>
        </w:rPr>
        <w:t>扩展一代生殖发育毒性试验增强了对F1代发育的评价功能。以亚组的形式分别评价F1的生殖和全身毒性，潜在的生殖毒性，潜在的神经发育毒性和潜在的发育免疫毒性。其中对后面三种潜在发育毒性的研究规定了触发条件，仅在满足相关实验终点判定依据（内部触发）或不具有相关毒理资料（外部触发）的情况下方开展进一步的潜在发育毒性研究。</w:t>
      </w:r>
    </w:p>
    <w:p w14:paraId="5A7417C7" w14:textId="1061FA89" w:rsidR="00E5691B" w:rsidRPr="009434F5" w:rsidRDefault="000C65B0" w:rsidP="000C65B0">
      <w:pPr>
        <w:snapToGrid w:val="0"/>
        <w:spacing w:line="360" w:lineRule="auto"/>
        <w:ind w:firstLineChars="200" w:firstLine="640"/>
        <w:jc w:val="both"/>
        <w:rPr>
          <w:rFonts w:ascii="仿宋" w:eastAsia="仿宋" w:hAnsi="仿宋" w:cs="仿宋"/>
          <w:sz w:val="32"/>
          <w:szCs w:val="32"/>
        </w:rPr>
      </w:pPr>
      <w:r w:rsidRPr="009434F5">
        <w:rPr>
          <w:rFonts w:eastAsia="仿宋" w:hint="eastAsia"/>
          <w:color w:val="000000" w:themeColor="text1"/>
          <w:sz w:val="32"/>
          <w:szCs w:val="32"/>
        </w:rPr>
        <w:t>2.</w:t>
      </w:r>
      <w:r w:rsidR="00EC13FE" w:rsidRPr="009434F5">
        <w:rPr>
          <w:rFonts w:ascii="仿宋" w:eastAsia="仿宋" w:hAnsi="仿宋" w:cs="仿宋" w:hint="eastAsia"/>
          <w:sz w:val="32"/>
          <w:szCs w:val="32"/>
        </w:rPr>
        <w:t>两代生殖发育毒性试验</w:t>
      </w:r>
    </w:p>
    <w:p w14:paraId="32C1136C" w14:textId="77777777" w:rsidR="00E5691B" w:rsidRPr="009434F5" w:rsidRDefault="00EC13FE" w:rsidP="000C65B0">
      <w:pPr>
        <w:snapToGrid w:val="0"/>
        <w:spacing w:line="360" w:lineRule="auto"/>
        <w:ind w:firstLineChars="200" w:firstLine="640"/>
        <w:jc w:val="both"/>
        <w:rPr>
          <w:rFonts w:ascii="仿宋" w:eastAsia="仿宋" w:hAnsi="仿宋" w:cs="仿宋"/>
          <w:sz w:val="32"/>
          <w:szCs w:val="32"/>
        </w:rPr>
      </w:pPr>
      <w:r w:rsidRPr="009434F5">
        <w:rPr>
          <w:rFonts w:ascii="仿宋" w:eastAsia="仿宋" w:hAnsi="仿宋" w:cs="仿宋" w:hint="eastAsia"/>
          <w:sz w:val="32"/>
          <w:szCs w:val="32"/>
        </w:rPr>
        <w:t>从F0持续暴露至F2离乳，观察受试物对F0的生育力、生殖系统和F1的生殖和发育影响。</w:t>
      </w:r>
    </w:p>
    <w:p w14:paraId="3412DFD1" w14:textId="77777777" w:rsidR="00E5691B" w:rsidRPr="009434F5" w:rsidRDefault="00EC13FE" w:rsidP="000C65B0">
      <w:pPr>
        <w:snapToGrid w:val="0"/>
        <w:spacing w:line="360" w:lineRule="auto"/>
        <w:ind w:firstLineChars="200" w:firstLine="640"/>
        <w:jc w:val="both"/>
        <w:rPr>
          <w:rFonts w:ascii="仿宋" w:eastAsia="仿宋" w:hAnsi="仿宋" w:cs="仿宋"/>
          <w:sz w:val="32"/>
          <w:szCs w:val="32"/>
        </w:rPr>
      </w:pPr>
      <w:r w:rsidRPr="009434F5">
        <w:rPr>
          <w:rFonts w:ascii="仿宋" w:eastAsia="仿宋" w:hAnsi="仿宋" w:cs="仿宋" w:hint="eastAsia"/>
          <w:sz w:val="32"/>
          <w:szCs w:val="32"/>
        </w:rPr>
        <w:t>与扩展一代生殖发育毒性试验相比，两代生殖发育毒性周期较长，且缺少对F1免疫系统发育的关注。在开展试验前对受试物资料分析的过程中，若发现有免疫发育毒性提示，建议增加免疫系统（如胸腺、脾脏、骨髓、暴露途径相关淋巴结和远端淋巴结）的组织病理检查。</w:t>
      </w:r>
    </w:p>
    <w:p w14:paraId="532116A3" w14:textId="77777777" w:rsidR="00E5691B" w:rsidRPr="009434F5" w:rsidRDefault="00EC13FE" w:rsidP="000C65B0">
      <w:pPr>
        <w:snapToGrid w:val="0"/>
        <w:spacing w:line="360" w:lineRule="auto"/>
        <w:ind w:firstLineChars="200" w:firstLine="643"/>
        <w:jc w:val="both"/>
        <w:outlineLvl w:val="1"/>
        <w:rPr>
          <w:rFonts w:ascii="仿宋" w:eastAsia="仿宋" w:hAnsi="仿宋" w:cs="仿宋"/>
          <w:b/>
          <w:bCs/>
          <w:sz w:val="32"/>
          <w:szCs w:val="32"/>
        </w:rPr>
      </w:pPr>
      <w:bookmarkStart w:id="128" w:name="_Toc144910433"/>
      <w:r w:rsidRPr="009434F5">
        <w:rPr>
          <w:rFonts w:ascii="仿宋" w:eastAsia="仿宋" w:hAnsi="仿宋" w:cs="仿宋" w:hint="eastAsia"/>
          <w:b/>
          <w:bCs/>
          <w:sz w:val="32"/>
          <w:szCs w:val="32"/>
        </w:rPr>
        <w:lastRenderedPageBreak/>
        <w:t>（六）观察指标</w:t>
      </w:r>
      <w:bookmarkEnd w:id="128"/>
    </w:p>
    <w:p w14:paraId="376E5085" w14:textId="6CBC89F4" w:rsidR="00F13929" w:rsidRPr="009434F5" w:rsidRDefault="000C65B0" w:rsidP="000C65B0">
      <w:pPr>
        <w:snapToGrid w:val="0"/>
        <w:spacing w:line="360" w:lineRule="auto"/>
        <w:ind w:firstLineChars="200" w:firstLine="640"/>
        <w:jc w:val="both"/>
        <w:rPr>
          <w:rFonts w:ascii="仿宋" w:eastAsia="仿宋" w:hAnsi="仿宋" w:cs="仿宋"/>
          <w:sz w:val="32"/>
          <w:szCs w:val="32"/>
        </w:rPr>
      </w:pPr>
      <w:r w:rsidRPr="009434F5">
        <w:rPr>
          <w:rFonts w:eastAsia="仿宋" w:hint="eastAsia"/>
          <w:color w:val="000000" w:themeColor="text1"/>
          <w:sz w:val="32"/>
          <w:szCs w:val="32"/>
        </w:rPr>
        <w:t>1.</w:t>
      </w:r>
      <w:r w:rsidR="00EC13FE" w:rsidRPr="009434F5">
        <w:rPr>
          <w:rFonts w:ascii="仿宋" w:eastAsia="仿宋" w:hAnsi="仿宋" w:cs="仿宋" w:hint="eastAsia"/>
          <w:sz w:val="32"/>
          <w:szCs w:val="32"/>
        </w:rPr>
        <w:t>临床观察</w:t>
      </w:r>
    </w:p>
    <w:p w14:paraId="54200398" w14:textId="77777777" w:rsidR="00CD1276" w:rsidRPr="009434F5" w:rsidRDefault="00EC13FE" w:rsidP="000C65B0">
      <w:pPr>
        <w:snapToGrid w:val="0"/>
        <w:spacing w:line="360" w:lineRule="auto"/>
        <w:ind w:firstLineChars="200" w:firstLine="640"/>
        <w:jc w:val="both"/>
        <w:rPr>
          <w:rFonts w:ascii="仿宋" w:eastAsia="仿宋" w:hAnsi="仿宋" w:cs="仿宋"/>
          <w:sz w:val="32"/>
          <w:szCs w:val="32"/>
        </w:rPr>
      </w:pPr>
      <w:r w:rsidRPr="009434F5">
        <w:rPr>
          <w:rFonts w:ascii="仿宋" w:eastAsia="仿宋" w:hAnsi="仿宋" w:cs="仿宋" w:hint="eastAsia"/>
          <w:sz w:val="32"/>
          <w:szCs w:val="32"/>
        </w:rPr>
        <w:t>包括</w:t>
      </w:r>
      <w:r w:rsidR="00AE6BBE" w:rsidRPr="009434F5">
        <w:rPr>
          <w:rFonts w:ascii="仿宋" w:eastAsia="仿宋" w:hAnsi="仿宋" w:cs="仿宋" w:hint="eastAsia"/>
          <w:sz w:val="32"/>
          <w:szCs w:val="32"/>
        </w:rPr>
        <w:t>至少</w:t>
      </w:r>
      <w:r w:rsidRPr="009434F5">
        <w:rPr>
          <w:rFonts w:ascii="仿宋" w:eastAsia="仿宋" w:hAnsi="仿宋" w:cs="仿宋" w:hint="eastAsia"/>
          <w:sz w:val="32"/>
          <w:szCs w:val="32"/>
        </w:rPr>
        <w:t>每天一次的一般临床观察和每天两次笼旁观察以及每周一次的</w:t>
      </w:r>
      <w:r w:rsidR="00AE6BBE" w:rsidRPr="009434F5">
        <w:rPr>
          <w:rFonts w:ascii="仿宋" w:eastAsia="仿宋" w:hAnsi="仿宋" w:cs="仿宋" w:hint="eastAsia"/>
          <w:sz w:val="32"/>
          <w:szCs w:val="32"/>
        </w:rPr>
        <w:t>全面的</w:t>
      </w:r>
      <w:r w:rsidRPr="009434F5">
        <w:rPr>
          <w:rFonts w:ascii="仿宋" w:eastAsia="仿宋" w:hAnsi="仿宋" w:cs="仿宋" w:hint="eastAsia"/>
          <w:sz w:val="32"/>
          <w:szCs w:val="32"/>
        </w:rPr>
        <w:t>临床观察，通常可以在给动物称重时进行。</w:t>
      </w:r>
    </w:p>
    <w:p w14:paraId="1E13C7F9" w14:textId="5A2CEEFF" w:rsidR="00E5691B" w:rsidRPr="009434F5" w:rsidRDefault="000C65B0" w:rsidP="000C65B0">
      <w:pPr>
        <w:snapToGrid w:val="0"/>
        <w:spacing w:line="360" w:lineRule="auto"/>
        <w:ind w:firstLineChars="200" w:firstLine="640"/>
        <w:jc w:val="both"/>
        <w:rPr>
          <w:rFonts w:ascii="仿宋" w:eastAsia="仿宋" w:hAnsi="仿宋" w:cs="仿宋"/>
          <w:sz w:val="32"/>
          <w:szCs w:val="32"/>
        </w:rPr>
      </w:pPr>
      <w:r w:rsidRPr="009434F5">
        <w:rPr>
          <w:rFonts w:eastAsia="仿宋" w:hint="eastAsia"/>
          <w:color w:val="000000" w:themeColor="text1"/>
          <w:sz w:val="32"/>
          <w:szCs w:val="32"/>
        </w:rPr>
        <w:t>2.</w:t>
      </w:r>
      <w:r w:rsidR="00EC13FE" w:rsidRPr="009434F5">
        <w:rPr>
          <w:rFonts w:ascii="仿宋" w:eastAsia="仿宋" w:hAnsi="仿宋" w:cs="仿宋" w:hint="eastAsia"/>
          <w:sz w:val="32"/>
          <w:szCs w:val="32"/>
        </w:rPr>
        <w:t>体重、摄食及饮水</w:t>
      </w:r>
    </w:p>
    <w:p w14:paraId="77EB6422" w14:textId="77777777" w:rsidR="00E5691B" w:rsidRPr="009434F5" w:rsidRDefault="00EC13FE" w:rsidP="000C65B0">
      <w:pPr>
        <w:snapToGrid w:val="0"/>
        <w:spacing w:line="360" w:lineRule="auto"/>
        <w:ind w:firstLineChars="200" w:firstLine="640"/>
        <w:jc w:val="both"/>
        <w:rPr>
          <w:rFonts w:ascii="仿宋" w:eastAsia="仿宋" w:hAnsi="仿宋" w:cs="仿宋"/>
          <w:sz w:val="32"/>
          <w:szCs w:val="32"/>
        </w:rPr>
      </w:pPr>
      <w:r w:rsidRPr="009434F5">
        <w:rPr>
          <w:rFonts w:ascii="仿宋" w:eastAsia="仿宋" w:hAnsi="仿宋" w:cs="仿宋" w:hint="eastAsia"/>
          <w:sz w:val="32"/>
          <w:szCs w:val="32"/>
        </w:rPr>
        <w:t>体重、摄食和饮水测定频率一般每周一次较为合适，但是哺乳期的幼仔生长速度较快，更高频率的测量较为合适。一些受试物暴露节点如首次给予受试物和解剖当日需要称重，此外，具有发育里程碑意义的时间点，如雄性包皮龟头分离、雌性阴道口张开当日也应称重。</w:t>
      </w:r>
    </w:p>
    <w:p w14:paraId="1C6D73E6" w14:textId="77777777" w:rsidR="003C5A3D" w:rsidRPr="009434F5" w:rsidRDefault="003C5A3D" w:rsidP="000C65B0">
      <w:pPr>
        <w:snapToGrid w:val="0"/>
        <w:spacing w:line="360" w:lineRule="auto"/>
        <w:ind w:firstLineChars="200" w:firstLine="640"/>
        <w:jc w:val="both"/>
        <w:rPr>
          <w:rFonts w:ascii="仿宋" w:eastAsia="仿宋" w:hAnsi="仿宋" w:cs="仿宋"/>
          <w:sz w:val="32"/>
          <w:szCs w:val="32"/>
        </w:rPr>
      </w:pPr>
      <w:r w:rsidRPr="009434F5">
        <w:rPr>
          <w:rFonts w:ascii="仿宋" w:eastAsia="仿宋" w:hAnsi="仿宋" w:cs="仿宋" w:hint="eastAsia"/>
          <w:sz w:val="32"/>
          <w:szCs w:val="32"/>
        </w:rPr>
        <w:t>需要注意的是，扩展一代生殖发育毒性试验中亲代体重测量的频率未对妊娠期做特殊要求，但也应</w:t>
      </w:r>
      <w:r w:rsidR="00B523B1" w:rsidRPr="009434F5">
        <w:rPr>
          <w:rFonts w:ascii="仿宋" w:eastAsia="仿宋" w:hAnsi="仿宋" w:cs="仿宋" w:hint="eastAsia"/>
          <w:sz w:val="32"/>
          <w:szCs w:val="32"/>
        </w:rPr>
        <w:t>建议</w:t>
      </w:r>
      <w:r w:rsidRPr="009434F5">
        <w:rPr>
          <w:rFonts w:ascii="仿宋" w:eastAsia="仿宋" w:hAnsi="仿宋" w:cs="仿宋" w:hint="eastAsia"/>
          <w:sz w:val="32"/>
          <w:szCs w:val="32"/>
        </w:rPr>
        <w:t>选择G0、G7、G14、G20/G21这几个时间点。对于子一代的体重测量，两代生殖发育毒性试验中需要测量首次接触受试物当日的体重。</w:t>
      </w:r>
    </w:p>
    <w:p w14:paraId="2E0408A9" w14:textId="5B8BA0B3" w:rsidR="00E5691B" w:rsidRPr="009434F5" w:rsidRDefault="000C65B0" w:rsidP="000C65B0">
      <w:pPr>
        <w:snapToGrid w:val="0"/>
        <w:spacing w:line="360" w:lineRule="auto"/>
        <w:ind w:firstLineChars="200" w:firstLine="640"/>
        <w:jc w:val="both"/>
        <w:rPr>
          <w:rFonts w:ascii="仿宋" w:eastAsia="仿宋" w:hAnsi="仿宋" w:cs="仿宋"/>
          <w:sz w:val="32"/>
          <w:szCs w:val="32"/>
        </w:rPr>
      </w:pPr>
      <w:r w:rsidRPr="009434F5">
        <w:rPr>
          <w:rFonts w:eastAsia="仿宋" w:hint="eastAsia"/>
          <w:color w:val="000000" w:themeColor="text1"/>
          <w:sz w:val="32"/>
          <w:szCs w:val="32"/>
        </w:rPr>
        <w:t>3.</w:t>
      </w:r>
      <w:r w:rsidR="00EC13FE" w:rsidRPr="009434F5">
        <w:rPr>
          <w:rFonts w:ascii="仿宋" w:eastAsia="仿宋" w:hAnsi="仿宋" w:cs="仿宋" w:hint="eastAsia"/>
          <w:sz w:val="32"/>
          <w:szCs w:val="32"/>
        </w:rPr>
        <w:t>动情周期</w:t>
      </w:r>
    </w:p>
    <w:p w14:paraId="6BCD0785" w14:textId="77777777" w:rsidR="00E5691B" w:rsidRPr="009434F5" w:rsidRDefault="00EC13FE" w:rsidP="000C65B0">
      <w:pPr>
        <w:snapToGrid w:val="0"/>
        <w:spacing w:line="360" w:lineRule="auto"/>
        <w:ind w:firstLineChars="200" w:firstLine="640"/>
        <w:jc w:val="both"/>
        <w:rPr>
          <w:rFonts w:ascii="仿宋" w:eastAsia="仿宋" w:hAnsi="仿宋" w:cs="仿宋"/>
          <w:sz w:val="32"/>
          <w:szCs w:val="32"/>
        </w:rPr>
      </w:pPr>
      <w:r w:rsidRPr="009434F5">
        <w:rPr>
          <w:rFonts w:ascii="仿宋" w:eastAsia="仿宋" w:hAnsi="仿宋" w:cs="仿宋" w:hint="eastAsia"/>
          <w:sz w:val="32"/>
          <w:szCs w:val="32"/>
        </w:rPr>
        <w:t>动情周期通过阴道涂片进行监测。实验室历史数据若显示大部分雌性不具有4-5天的动情周期，建议筛选具有正常动情周期的雌性动物纳</w:t>
      </w:r>
      <w:r w:rsidRPr="009434F5">
        <w:rPr>
          <w:rFonts w:ascii="仿宋" w:eastAsia="仿宋" w:hAnsi="仿宋" w:cs="仿宋" w:hint="eastAsia"/>
          <w:sz w:val="32"/>
          <w:szCs w:val="32"/>
        </w:rPr>
        <w:lastRenderedPageBreak/>
        <w:t>入试验。需注意的是，在一些应激情况下，动情周期也可能发生改变</w:t>
      </w:r>
      <w:r w:rsidR="007D0BB4" w:rsidRPr="009434F5">
        <w:rPr>
          <w:rFonts w:ascii="仿宋" w:eastAsia="仿宋" w:hAnsi="仿宋" w:cs="仿宋" w:hint="eastAsia"/>
          <w:sz w:val="32"/>
          <w:szCs w:val="32"/>
        </w:rPr>
        <w:t>，</w:t>
      </w:r>
      <w:r w:rsidRPr="009434F5">
        <w:rPr>
          <w:rFonts w:ascii="仿宋" w:eastAsia="仿宋" w:hAnsi="仿宋" w:cs="仿宋" w:hint="eastAsia"/>
          <w:sz w:val="32"/>
          <w:szCs w:val="32"/>
        </w:rPr>
        <w:t>应与受试物导致的动情周期改变加以区分。</w:t>
      </w:r>
    </w:p>
    <w:p w14:paraId="33A66823" w14:textId="77777777" w:rsidR="007D0BB4" w:rsidRPr="009434F5" w:rsidRDefault="007D0BB4" w:rsidP="000C65B0">
      <w:pPr>
        <w:snapToGrid w:val="0"/>
        <w:spacing w:line="360" w:lineRule="auto"/>
        <w:ind w:firstLineChars="200" w:firstLine="640"/>
        <w:jc w:val="both"/>
        <w:rPr>
          <w:rFonts w:ascii="仿宋" w:eastAsia="仿宋" w:hAnsi="仿宋" w:cs="仿宋"/>
          <w:sz w:val="32"/>
          <w:szCs w:val="32"/>
        </w:rPr>
      </w:pPr>
      <w:r w:rsidRPr="009434F5">
        <w:rPr>
          <w:rFonts w:ascii="仿宋" w:eastAsia="仿宋" w:hAnsi="仿宋" w:cs="仿宋" w:hint="eastAsia"/>
          <w:sz w:val="32"/>
          <w:szCs w:val="32"/>
        </w:rPr>
        <w:t>扩展一代生殖发育毒性试验中对动情周期的监测时长有明确要求，而两代生殖发育毒性试验中未予以明确，但是通常情况下连续两个动情周期的监测能够满足对动情周期的评估要求。</w:t>
      </w:r>
    </w:p>
    <w:p w14:paraId="11F5D312" w14:textId="37337B6C" w:rsidR="00E5691B" w:rsidRPr="009434F5" w:rsidRDefault="000C65B0" w:rsidP="000C65B0">
      <w:pPr>
        <w:snapToGrid w:val="0"/>
        <w:spacing w:line="360" w:lineRule="auto"/>
        <w:ind w:firstLineChars="200" w:firstLine="640"/>
        <w:jc w:val="both"/>
        <w:rPr>
          <w:rFonts w:ascii="仿宋" w:eastAsia="仿宋" w:hAnsi="仿宋" w:cs="仿宋"/>
          <w:sz w:val="32"/>
          <w:szCs w:val="32"/>
        </w:rPr>
      </w:pPr>
      <w:r w:rsidRPr="009434F5">
        <w:rPr>
          <w:rFonts w:eastAsia="仿宋" w:hint="eastAsia"/>
          <w:color w:val="000000" w:themeColor="text1"/>
          <w:sz w:val="32"/>
          <w:szCs w:val="32"/>
        </w:rPr>
        <w:t>4.</w:t>
      </w:r>
      <w:r w:rsidR="00EC13FE" w:rsidRPr="009434F5">
        <w:rPr>
          <w:rFonts w:ascii="仿宋" w:eastAsia="仿宋" w:hAnsi="仿宋" w:cs="仿宋" w:hint="eastAsia"/>
          <w:sz w:val="32"/>
          <w:szCs w:val="32"/>
        </w:rPr>
        <w:t>精子参数</w:t>
      </w:r>
    </w:p>
    <w:p w14:paraId="1EAF108A" w14:textId="77777777" w:rsidR="00E5691B" w:rsidRPr="009434F5" w:rsidRDefault="00EC13FE" w:rsidP="000C65B0">
      <w:pPr>
        <w:snapToGrid w:val="0"/>
        <w:spacing w:line="360" w:lineRule="auto"/>
        <w:ind w:firstLineChars="200" w:firstLine="640"/>
        <w:jc w:val="both"/>
        <w:rPr>
          <w:rFonts w:ascii="仿宋" w:eastAsia="仿宋" w:hAnsi="仿宋" w:cs="仿宋"/>
          <w:sz w:val="32"/>
          <w:szCs w:val="32"/>
        </w:rPr>
      </w:pPr>
      <w:r w:rsidRPr="009434F5">
        <w:rPr>
          <w:rFonts w:ascii="仿宋" w:eastAsia="仿宋" w:hAnsi="仿宋" w:cs="仿宋" w:hint="eastAsia"/>
          <w:sz w:val="32"/>
          <w:szCs w:val="32"/>
        </w:rPr>
        <w:t>精子参数的分析一般包括精子活力分析、精子计数、精子形态分析。对于来自于解剖时及时冻存的样本或固定后的涂片，或者直接采用精子分析仪等计算机辅助系统及时采集的样本图像，可仅对高剂量组和对照组进行分析，仅在有受试物相关性时拓展至更低的剂量组。</w:t>
      </w:r>
    </w:p>
    <w:p w14:paraId="3D1A3E0C" w14:textId="415A4779" w:rsidR="00E5691B" w:rsidRPr="009434F5" w:rsidRDefault="000C65B0" w:rsidP="000C65B0">
      <w:pPr>
        <w:snapToGrid w:val="0"/>
        <w:spacing w:line="360" w:lineRule="auto"/>
        <w:ind w:firstLineChars="200" w:firstLine="640"/>
        <w:jc w:val="both"/>
        <w:rPr>
          <w:rFonts w:ascii="仿宋" w:eastAsia="仿宋" w:hAnsi="仿宋" w:cs="仿宋"/>
          <w:sz w:val="32"/>
          <w:szCs w:val="32"/>
        </w:rPr>
      </w:pPr>
      <w:r w:rsidRPr="009434F5">
        <w:rPr>
          <w:rFonts w:eastAsia="仿宋" w:hint="eastAsia"/>
          <w:color w:val="000000" w:themeColor="text1"/>
          <w:sz w:val="32"/>
          <w:szCs w:val="32"/>
        </w:rPr>
        <w:t>5.</w:t>
      </w:r>
      <w:r w:rsidR="00EC13FE" w:rsidRPr="009434F5">
        <w:rPr>
          <w:rFonts w:ascii="仿宋" w:eastAsia="仿宋" w:hAnsi="仿宋" w:cs="仿宋" w:hint="eastAsia"/>
          <w:sz w:val="32"/>
          <w:szCs w:val="32"/>
        </w:rPr>
        <w:t>血液学及血生化</w:t>
      </w:r>
    </w:p>
    <w:p w14:paraId="32CB29E0" w14:textId="77777777" w:rsidR="00E5691B" w:rsidRPr="009434F5" w:rsidRDefault="00EC13FE" w:rsidP="000C65B0">
      <w:pPr>
        <w:snapToGrid w:val="0"/>
        <w:spacing w:line="360" w:lineRule="auto"/>
        <w:ind w:firstLineChars="200" w:firstLine="640"/>
        <w:jc w:val="both"/>
        <w:rPr>
          <w:rFonts w:ascii="仿宋" w:eastAsia="仿宋" w:hAnsi="仿宋" w:cs="仿宋"/>
          <w:sz w:val="32"/>
          <w:szCs w:val="32"/>
        </w:rPr>
      </w:pPr>
      <w:r w:rsidRPr="009434F5">
        <w:rPr>
          <w:rFonts w:ascii="仿宋" w:eastAsia="仿宋" w:hAnsi="仿宋" w:cs="仿宋" w:hint="eastAsia"/>
          <w:sz w:val="32"/>
          <w:szCs w:val="32"/>
        </w:rPr>
        <w:t>扩展一代生殖发育毒性试验要求F</w:t>
      </w:r>
      <w:r w:rsidRPr="009434F5">
        <w:rPr>
          <w:rFonts w:ascii="仿宋" w:eastAsia="仿宋" w:hAnsi="仿宋" w:cs="仿宋"/>
          <w:sz w:val="32"/>
          <w:szCs w:val="32"/>
        </w:rPr>
        <w:t>0</w:t>
      </w:r>
      <w:r w:rsidRPr="009434F5">
        <w:rPr>
          <w:rFonts w:ascii="仿宋" w:eastAsia="仿宋" w:hAnsi="仿宋" w:cs="仿宋" w:hint="eastAsia"/>
          <w:sz w:val="32"/>
          <w:szCs w:val="32"/>
        </w:rPr>
        <w:t>在解剖当天采集血样做血液学、血生化及甲状腺素/促甲状腺素（T4/TSH）分析。两代生殖发育毒性试验中此项研究不是必须，但若提示受试物有内分泌干扰作用，仍应分析</w:t>
      </w:r>
      <w:r w:rsidRPr="009434F5">
        <w:rPr>
          <w:rFonts w:ascii="仿宋" w:eastAsia="仿宋" w:hAnsi="仿宋" w:cs="仿宋"/>
          <w:sz w:val="32"/>
          <w:szCs w:val="32"/>
        </w:rPr>
        <w:t>T4/TSH</w:t>
      </w:r>
      <w:r w:rsidRPr="009434F5">
        <w:rPr>
          <w:rFonts w:ascii="仿宋" w:eastAsia="仿宋" w:hAnsi="仿宋" w:cs="仿宋" w:hint="eastAsia"/>
          <w:sz w:val="32"/>
          <w:szCs w:val="32"/>
        </w:rPr>
        <w:t>。</w:t>
      </w:r>
    </w:p>
    <w:p w14:paraId="37125636" w14:textId="77777777" w:rsidR="00E5691B" w:rsidRPr="009434F5" w:rsidRDefault="00EC13FE" w:rsidP="000C65B0">
      <w:pPr>
        <w:snapToGrid w:val="0"/>
        <w:spacing w:line="360" w:lineRule="auto"/>
        <w:ind w:firstLineChars="200" w:firstLine="640"/>
        <w:jc w:val="both"/>
        <w:rPr>
          <w:rFonts w:ascii="仿宋" w:eastAsia="仿宋" w:hAnsi="仿宋" w:cs="仿宋"/>
          <w:sz w:val="32"/>
          <w:szCs w:val="32"/>
        </w:rPr>
      </w:pPr>
      <w:r w:rsidRPr="009434F5">
        <w:rPr>
          <w:rFonts w:ascii="仿宋" w:eastAsia="仿宋" w:hAnsi="仿宋" w:cs="仿宋" w:hint="eastAsia"/>
          <w:sz w:val="32"/>
          <w:szCs w:val="32"/>
        </w:rPr>
        <w:lastRenderedPageBreak/>
        <w:t>对激素的分析可不仅限于T4/TSH，一些情况下，检测黄体生成素（LH）、卵泡刺激素（FSH）、孕酮、雌二醇及睾酮等也有助于对试验结果的解释。</w:t>
      </w:r>
    </w:p>
    <w:p w14:paraId="5582154E" w14:textId="40C18DE2" w:rsidR="00E5691B" w:rsidRPr="009434F5" w:rsidRDefault="000C65B0" w:rsidP="000C65B0">
      <w:pPr>
        <w:snapToGrid w:val="0"/>
        <w:spacing w:line="360" w:lineRule="auto"/>
        <w:ind w:firstLineChars="200" w:firstLine="640"/>
        <w:jc w:val="both"/>
        <w:rPr>
          <w:rFonts w:ascii="仿宋" w:eastAsia="仿宋" w:hAnsi="仿宋" w:cs="仿宋"/>
          <w:sz w:val="32"/>
          <w:szCs w:val="32"/>
        </w:rPr>
      </w:pPr>
      <w:r w:rsidRPr="009434F5">
        <w:rPr>
          <w:rFonts w:eastAsia="仿宋" w:hint="eastAsia"/>
          <w:color w:val="000000" w:themeColor="text1"/>
          <w:sz w:val="32"/>
          <w:szCs w:val="32"/>
        </w:rPr>
        <w:t>6.</w:t>
      </w:r>
      <w:r w:rsidR="00EC13FE" w:rsidRPr="009434F5">
        <w:rPr>
          <w:rFonts w:ascii="仿宋" w:eastAsia="仿宋" w:hAnsi="仿宋" w:cs="仿宋" w:hint="eastAsia"/>
          <w:sz w:val="32"/>
          <w:szCs w:val="32"/>
        </w:rPr>
        <w:t>尿液分析</w:t>
      </w:r>
    </w:p>
    <w:p w14:paraId="7A783A4F" w14:textId="77777777" w:rsidR="00E5691B" w:rsidRPr="009434F5" w:rsidRDefault="00EC13FE" w:rsidP="000C65B0">
      <w:pPr>
        <w:snapToGrid w:val="0"/>
        <w:spacing w:line="360" w:lineRule="auto"/>
        <w:ind w:firstLineChars="200" w:firstLine="640"/>
        <w:jc w:val="both"/>
        <w:rPr>
          <w:rFonts w:ascii="仿宋" w:eastAsia="仿宋" w:hAnsi="仿宋" w:cs="仿宋"/>
          <w:sz w:val="32"/>
          <w:szCs w:val="32"/>
        </w:rPr>
      </w:pPr>
      <w:r w:rsidRPr="009434F5">
        <w:rPr>
          <w:rFonts w:ascii="仿宋" w:eastAsia="仿宋" w:hAnsi="仿宋" w:cs="仿宋" w:hint="eastAsia"/>
          <w:sz w:val="32"/>
          <w:szCs w:val="32"/>
        </w:rPr>
        <w:t>扩展一代生殖发育毒性试验要求进行尿液分析，但是若在重复剂量毒性试验中明确受试物不改变尿液参数，那么该项研究无需开展。两代生殖发育毒性试验此项研究不是必须。</w:t>
      </w:r>
    </w:p>
    <w:p w14:paraId="7161D4E5" w14:textId="2564515C" w:rsidR="00E5691B" w:rsidRPr="009434F5" w:rsidRDefault="000C65B0" w:rsidP="000C65B0">
      <w:pPr>
        <w:snapToGrid w:val="0"/>
        <w:spacing w:line="360" w:lineRule="auto"/>
        <w:ind w:firstLineChars="200" w:firstLine="640"/>
        <w:jc w:val="both"/>
        <w:rPr>
          <w:rFonts w:ascii="仿宋" w:eastAsia="仿宋" w:hAnsi="仿宋" w:cs="仿宋"/>
          <w:sz w:val="32"/>
          <w:szCs w:val="32"/>
        </w:rPr>
      </w:pPr>
      <w:r w:rsidRPr="009434F5">
        <w:rPr>
          <w:rFonts w:eastAsia="仿宋" w:hint="eastAsia"/>
          <w:color w:val="000000" w:themeColor="text1"/>
          <w:sz w:val="32"/>
          <w:szCs w:val="32"/>
        </w:rPr>
        <w:t>7.</w:t>
      </w:r>
      <w:r w:rsidR="00EC13FE" w:rsidRPr="009434F5">
        <w:rPr>
          <w:rFonts w:ascii="仿宋" w:eastAsia="仿宋" w:hAnsi="仿宋" w:cs="仿宋" w:hint="eastAsia"/>
          <w:sz w:val="32"/>
          <w:szCs w:val="32"/>
        </w:rPr>
        <w:t>解剖与病理</w:t>
      </w:r>
    </w:p>
    <w:p w14:paraId="51313A1E" w14:textId="77777777" w:rsidR="00E5691B" w:rsidRPr="009434F5" w:rsidRDefault="00EC13FE" w:rsidP="000C65B0">
      <w:pPr>
        <w:snapToGrid w:val="0"/>
        <w:spacing w:line="360" w:lineRule="auto"/>
        <w:ind w:firstLineChars="200" w:firstLine="640"/>
        <w:jc w:val="both"/>
        <w:rPr>
          <w:rFonts w:ascii="仿宋" w:eastAsia="仿宋" w:hAnsi="仿宋" w:cs="仿宋"/>
          <w:sz w:val="32"/>
          <w:szCs w:val="32"/>
        </w:rPr>
      </w:pPr>
      <w:r w:rsidRPr="009434F5">
        <w:rPr>
          <w:rFonts w:ascii="仿宋" w:eastAsia="仿宋" w:hAnsi="仿宋" w:cs="仿宋" w:hint="eastAsia"/>
          <w:sz w:val="32"/>
          <w:szCs w:val="32"/>
        </w:rPr>
        <w:t>所有亲代动物和选定的需要进行大体解剖的子代动物在安乐死后进行尸体解剖，也包括出生后死亡幼仔。需要称重的脏器应注意其完整性，避免其分泌液体的逸出（如避免剪破精囊腺）。做组织病理检查可以仅在高剂量组和对照组间先进行，在观察到受试物相关变化时，再将组织病理检查拓展至更低剂量组。</w:t>
      </w:r>
    </w:p>
    <w:p w14:paraId="688F8483" w14:textId="77777777" w:rsidR="00E5691B" w:rsidRPr="009434F5" w:rsidRDefault="00EC13FE" w:rsidP="000C480C">
      <w:pPr>
        <w:widowControl w:val="0"/>
        <w:autoSpaceDE w:val="0"/>
        <w:autoSpaceDN w:val="0"/>
        <w:adjustRightInd w:val="0"/>
        <w:spacing w:line="360" w:lineRule="auto"/>
        <w:ind w:firstLineChars="200" w:firstLine="640"/>
        <w:jc w:val="both"/>
        <w:outlineLvl w:val="0"/>
        <w:rPr>
          <w:rFonts w:ascii="黑体" w:eastAsia="黑体" w:hAnsi="黑体" w:cs="黑体"/>
          <w:color w:val="000000" w:themeColor="text1"/>
          <w:sz w:val="32"/>
          <w:szCs w:val="32"/>
        </w:rPr>
      </w:pPr>
      <w:bookmarkStart w:id="129" w:name="_Toc26989"/>
      <w:bookmarkStart w:id="130" w:name="_Toc10525"/>
      <w:bookmarkStart w:id="131" w:name="_Toc26470"/>
      <w:bookmarkStart w:id="132" w:name="_Toc7723"/>
      <w:bookmarkStart w:id="133" w:name="_Toc77475538"/>
      <w:bookmarkStart w:id="134" w:name="_Toc4966"/>
      <w:bookmarkStart w:id="135" w:name="_Toc25985"/>
      <w:bookmarkStart w:id="136" w:name="_Toc22777"/>
      <w:bookmarkStart w:id="137" w:name="_Toc24462"/>
      <w:bookmarkStart w:id="138" w:name="_Toc30614"/>
      <w:bookmarkStart w:id="139" w:name="_Toc17731"/>
      <w:bookmarkStart w:id="140" w:name="_Toc1472"/>
      <w:bookmarkStart w:id="141" w:name="_Toc11849"/>
      <w:bookmarkStart w:id="142" w:name="_Toc11726"/>
      <w:bookmarkStart w:id="143" w:name="_Toc1562"/>
      <w:bookmarkStart w:id="144" w:name="_Toc6488"/>
      <w:bookmarkStart w:id="145" w:name="_Toc18882"/>
      <w:bookmarkStart w:id="146" w:name="_Toc144910434"/>
      <w:r w:rsidRPr="009434F5">
        <w:rPr>
          <w:rFonts w:ascii="黑体" w:eastAsia="黑体" w:hAnsi="黑体" w:cs="黑体" w:hint="eastAsia"/>
          <w:color w:val="000000" w:themeColor="text1"/>
          <w:sz w:val="32"/>
          <w:szCs w:val="32"/>
        </w:rPr>
        <w:t>四、结果分析与评价</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64DB79D8" w14:textId="77777777" w:rsidR="00E5691B" w:rsidRPr="009434F5" w:rsidRDefault="00B523B1" w:rsidP="000C65B0">
      <w:pPr>
        <w:snapToGrid w:val="0"/>
        <w:spacing w:line="360" w:lineRule="auto"/>
        <w:ind w:firstLineChars="200" w:firstLine="640"/>
        <w:jc w:val="both"/>
        <w:rPr>
          <w:rFonts w:ascii="仿宋" w:eastAsia="仿宋" w:hAnsi="仿宋" w:cs="仿宋"/>
          <w:sz w:val="32"/>
          <w:szCs w:val="32"/>
        </w:rPr>
      </w:pPr>
      <w:r w:rsidRPr="009434F5">
        <w:rPr>
          <w:rFonts w:ascii="仿宋" w:eastAsia="仿宋" w:hAnsi="仿宋" w:cs="仿宋" w:hint="eastAsia"/>
          <w:sz w:val="32"/>
          <w:szCs w:val="32"/>
        </w:rPr>
        <w:t>需要在报告中列出的试验数据及结果见附件中试验方法的相应部分</w:t>
      </w:r>
      <w:r w:rsidR="00EC13FE" w:rsidRPr="009434F5">
        <w:rPr>
          <w:rFonts w:ascii="仿宋" w:eastAsia="仿宋" w:hAnsi="仿宋" w:cs="仿宋" w:hint="eastAsia"/>
          <w:sz w:val="32"/>
          <w:szCs w:val="32"/>
        </w:rPr>
        <w:t>。</w:t>
      </w:r>
    </w:p>
    <w:p w14:paraId="52DE2EA8" w14:textId="77777777" w:rsidR="00E5691B" w:rsidRPr="009434F5" w:rsidRDefault="00540C45" w:rsidP="000C65B0">
      <w:pPr>
        <w:snapToGrid w:val="0"/>
        <w:spacing w:line="360" w:lineRule="auto"/>
        <w:ind w:firstLineChars="200" w:firstLine="640"/>
        <w:jc w:val="both"/>
        <w:rPr>
          <w:rFonts w:ascii="仿宋" w:eastAsia="仿宋" w:hAnsi="仿宋" w:cs="仿宋"/>
          <w:sz w:val="32"/>
          <w:szCs w:val="32"/>
        </w:rPr>
      </w:pPr>
      <w:r w:rsidRPr="009434F5">
        <w:rPr>
          <w:rFonts w:ascii="仿宋" w:eastAsia="仿宋" w:hAnsi="仿宋" w:cs="仿宋" w:hint="eastAsia"/>
          <w:sz w:val="32"/>
          <w:szCs w:val="32"/>
        </w:rPr>
        <w:t>数据和结果以表格形式进行总结，并</w:t>
      </w:r>
      <w:r w:rsidR="00EC13FE" w:rsidRPr="009434F5">
        <w:rPr>
          <w:rFonts w:ascii="仿宋" w:eastAsia="仿宋" w:hAnsi="仿宋" w:cs="仿宋" w:hint="eastAsia"/>
          <w:sz w:val="32"/>
          <w:szCs w:val="32"/>
        </w:rPr>
        <w:t>采用合适的、可接受的统计方法进行评估，注意区分统计学意义和生物学意义。应能估计NOAEL剂量水</w:t>
      </w:r>
      <w:r w:rsidR="00EC13FE" w:rsidRPr="009434F5">
        <w:rPr>
          <w:rFonts w:ascii="仿宋" w:eastAsia="仿宋" w:hAnsi="仿宋" w:cs="仿宋" w:hint="eastAsia"/>
          <w:sz w:val="32"/>
          <w:szCs w:val="32"/>
        </w:rPr>
        <w:lastRenderedPageBreak/>
        <w:t>平，并对受试物在生殖、分娩、哺乳及出生后发育(包括生长和性发育)的不利影响尽可能充分暴露。</w:t>
      </w:r>
    </w:p>
    <w:p w14:paraId="30B0BF0B" w14:textId="77777777" w:rsidR="00E5691B" w:rsidRPr="009434F5" w:rsidRDefault="00EC13FE" w:rsidP="000C480C">
      <w:pPr>
        <w:widowControl w:val="0"/>
        <w:autoSpaceDE w:val="0"/>
        <w:autoSpaceDN w:val="0"/>
        <w:adjustRightInd w:val="0"/>
        <w:spacing w:line="360" w:lineRule="auto"/>
        <w:ind w:firstLineChars="200" w:firstLine="640"/>
        <w:jc w:val="both"/>
        <w:outlineLvl w:val="0"/>
        <w:rPr>
          <w:rFonts w:ascii="黑体" w:eastAsia="黑体" w:hAnsi="黑体" w:cs="黑体"/>
          <w:color w:val="000000" w:themeColor="text1"/>
          <w:sz w:val="32"/>
          <w:szCs w:val="32"/>
        </w:rPr>
      </w:pPr>
      <w:bookmarkStart w:id="147" w:name="_Toc4325"/>
      <w:bookmarkStart w:id="148" w:name="_Toc18543"/>
      <w:bookmarkStart w:id="149" w:name="_Toc77475540"/>
      <w:bookmarkStart w:id="150" w:name="_Toc3452"/>
      <w:bookmarkStart w:id="151" w:name="_Toc19989"/>
      <w:bookmarkStart w:id="152" w:name="_Toc8137"/>
      <w:bookmarkStart w:id="153" w:name="_Toc30164"/>
      <w:bookmarkStart w:id="154" w:name="_Toc31013"/>
      <w:bookmarkStart w:id="155" w:name="_Toc19405"/>
      <w:bookmarkStart w:id="156" w:name="_Toc6331"/>
      <w:bookmarkStart w:id="157" w:name="_Toc17433"/>
      <w:bookmarkStart w:id="158" w:name="_Toc16597"/>
      <w:bookmarkStart w:id="159" w:name="_Toc19845"/>
      <w:bookmarkStart w:id="160" w:name="_Toc1310"/>
      <w:bookmarkStart w:id="161" w:name="_Toc144910435"/>
      <w:r w:rsidRPr="009434F5">
        <w:rPr>
          <w:rFonts w:ascii="黑体" w:eastAsia="黑体" w:hAnsi="黑体" w:cs="黑体" w:hint="eastAsia"/>
          <w:color w:val="000000" w:themeColor="text1"/>
          <w:sz w:val="32"/>
          <w:szCs w:val="32"/>
        </w:rPr>
        <w:t>五、参考文献</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079DE4F0" w14:textId="77777777" w:rsidR="00E5691B" w:rsidRPr="009434F5" w:rsidRDefault="00EC13FE" w:rsidP="006515EE">
      <w:pPr>
        <w:snapToGrid w:val="0"/>
        <w:spacing w:line="360" w:lineRule="auto"/>
        <w:ind w:firstLineChars="200" w:firstLine="640"/>
        <w:jc w:val="both"/>
        <w:rPr>
          <w:rFonts w:eastAsia="仿宋"/>
          <w:sz w:val="32"/>
          <w:szCs w:val="32"/>
        </w:rPr>
      </w:pPr>
      <w:bookmarkStart w:id="162" w:name="_Hlk83829334"/>
      <w:r w:rsidRPr="009434F5">
        <w:rPr>
          <w:rFonts w:eastAsia="仿宋"/>
          <w:sz w:val="32"/>
          <w:szCs w:val="32"/>
        </w:rPr>
        <w:t>1</w:t>
      </w:r>
      <w:r w:rsidRPr="009434F5">
        <w:rPr>
          <w:rFonts w:eastAsia="仿宋"/>
          <w:sz w:val="32"/>
          <w:szCs w:val="32"/>
        </w:rPr>
        <w:t>．</w:t>
      </w:r>
      <w:r w:rsidRPr="009434F5">
        <w:rPr>
          <w:rFonts w:eastAsia="仿宋"/>
          <w:sz w:val="32"/>
          <w:szCs w:val="32"/>
        </w:rPr>
        <w:t>OECD. OECD Guideline for the testing of chemicals: Two-Generation Reproduction Toxicity Study. 2001.</w:t>
      </w:r>
      <w:bookmarkEnd w:id="162"/>
      <w:r w:rsidRPr="009434F5">
        <w:rPr>
          <w:rFonts w:eastAsia="仿宋"/>
          <w:sz w:val="32"/>
          <w:szCs w:val="32"/>
        </w:rPr>
        <w:t>1.</w:t>
      </w:r>
    </w:p>
    <w:p w14:paraId="4F6479CB" w14:textId="77777777" w:rsidR="00E5691B" w:rsidRPr="006515EE" w:rsidRDefault="00EC13FE" w:rsidP="006515EE">
      <w:pPr>
        <w:snapToGrid w:val="0"/>
        <w:spacing w:line="360" w:lineRule="auto"/>
        <w:ind w:firstLineChars="200" w:firstLine="640"/>
        <w:jc w:val="both"/>
        <w:rPr>
          <w:rFonts w:eastAsia="仿宋"/>
          <w:sz w:val="32"/>
          <w:szCs w:val="32"/>
        </w:rPr>
      </w:pPr>
      <w:r w:rsidRPr="009434F5">
        <w:rPr>
          <w:rFonts w:eastAsia="仿宋"/>
          <w:sz w:val="32"/>
          <w:szCs w:val="32"/>
        </w:rPr>
        <w:t>2. OECD. OECD Guideline for the testing of chemicals: EXTENDED</w:t>
      </w:r>
      <w:r w:rsidRPr="006515EE">
        <w:rPr>
          <w:rFonts w:eastAsia="仿宋"/>
          <w:sz w:val="32"/>
          <w:szCs w:val="32"/>
        </w:rPr>
        <w:t xml:space="preserve"> ONE-GENERATION REPRODUCTIVE TOXICITY STUDY. 2018.1.</w:t>
      </w:r>
    </w:p>
    <w:p w14:paraId="5CA139D6" w14:textId="77777777" w:rsidR="00E5691B" w:rsidRPr="006515EE" w:rsidRDefault="00EC13FE" w:rsidP="006515EE">
      <w:pPr>
        <w:snapToGrid w:val="0"/>
        <w:spacing w:line="360" w:lineRule="auto"/>
        <w:ind w:firstLineChars="200" w:firstLine="640"/>
        <w:jc w:val="both"/>
        <w:rPr>
          <w:rFonts w:eastAsia="仿宋"/>
          <w:sz w:val="32"/>
          <w:szCs w:val="32"/>
        </w:rPr>
      </w:pPr>
      <w:r w:rsidRPr="006515EE">
        <w:rPr>
          <w:rFonts w:eastAsia="仿宋"/>
          <w:sz w:val="32"/>
          <w:szCs w:val="32"/>
        </w:rPr>
        <w:t>3. OECD. OECD Guideline for the testing of chemicals: Reproduction/Developmental Toxicity Screening Test. 2016.1.</w:t>
      </w:r>
    </w:p>
    <w:p w14:paraId="30349F75" w14:textId="77777777" w:rsidR="00E5691B" w:rsidRPr="006515EE" w:rsidRDefault="00EC13FE" w:rsidP="006515EE">
      <w:pPr>
        <w:snapToGrid w:val="0"/>
        <w:spacing w:line="360" w:lineRule="auto"/>
        <w:ind w:firstLineChars="200" w:firstLine="640"/>
        <w:jc w:val="both"/>
        <w:rPr>
          <w:rFonts w:eastAsia="仿宋"/>
          <w:sz w:val="32"/>
          <w:szCs w:val="32"/>
        </w:rPr>
      </w:pPr>
      <w:r w:rsidRPr="006515EE">
        <w:rPr>
          <w:rFonts w:eastAsia="仿宋"/>
          <w:sz w:val="32"/>
          <w:szCs w:val="32"/>
        </w:rPr>
        <w:t>4. GUIDANCE DOCUMENT 117 ON THE CURRENT IMPLEMENTATION OF INTERNAL TRIGGERS IN TEST GUIDELINE 443 FOR AN EXTENDED ONE GENERATION REPRODUCTIVE TOXICITY STUDY, IN THE UNITED STATES AND CANADA No. 117, OECD. ENV/JM/MONO (2011).</w:t>
      </w:r>
    </w:p>
    <w:p w14:paraId="6DD627BD" w14:textId="77777777" w:rsidR="00E5691B" w:rsidRPr="006515EE" w:rsidRDefault="00EC13FE" w:rsidP="006515EE">
      <w:pPr>
        <w:snapToGrid w:val="0"/>
        <w:spacing w:line="360" w:lineRule="auto"/>
        <w:ind w:firstLineChars="200" w:firstLine="640"/>
        <w:jc w:val="both"/>
        <w:rPr>
          <w:rFonts w:eastAsia="仿宋"/>
          <w:sz w:val="32"/>
          <w:szCs w:val="32"/>
        </w:rPr>
      </w:pPr>
      <w:r w:rsidRPr="006515EE">
        <w:rPr>
          <w:rFonts w:eastAsia="仿宋"/>
          <w:sz w:val="32"/>
          <w:szCs w:val="32"/>
        </w:rPr>
        <w:t xml:space="preserve">5. United Nations Globally Harmonized System of Classification and Labelling of Chemicals (GHS), ST/SG/AC.10/30, UN New York and Geneva. </w:t>
      </w:r>
    </w:p>
    <w:p w14:paraId="4BBF6E80" w14:textId="77777777" w:rsidR="00E5691B" w:rsidRPr="006515EE" w:rsidRDefault="00EC13FE" w:rsidP="006515EE">
      <w:pPr>
        <w:snapToGrid w:val="0"/>
        <w:spacing w:line="360" w:lineRule="auto"/>
        <w:ind w:firstLineChars="200" w:firstLine="640"/>
        <w:jc w:val="both"/>
        <w:rPr>
          <w:rFonts w:eastAsia="仿宋"/>
          <w:sz w:val="32"/>
          <w:szCs w:val="32"/>
        </w:rPr>
      </w:pPr>
      <w:r w:rsidRPr="006515EE">
        <w:rPr>
          <w:rFonts w:eastAsia="仿宋"/>
          <w:sz w:val="32"/>
          <w:szCs w:val="32"/>
        </w:rPr>
        <w:lastRenderedPageBreak/>
        <w:t>6. Gallavan, R.H. Jr, J.F. Holson, D.G. Stump, J.F. Knapp and V.L. Reynolds (1999), “Interpreting the Toxicologic Significance of Alterations in Anogenital Distance: Potential for Confounding Effects of Progeny Body Weights”, Reproductive Toxicology, 13: 383-390.</w:t>
      </w:r>
    </w:p>
    <w:p w14:paraId="09FF139F" w14:textId="77777777" w:rsidR="00E5691B" w:rsidRPr="006515EE" w:rsidRDefault="00EC13FE" w:rsidP="006515EE">
      <w:pPr>
        <w:snapToGrid w:val="0"/>
        <w:spacing w:line="360" w:lineRule="auto"/>
        <w:ind w:firstLineChars="200" w:firstLine="640"/>
        <w:jc w:val="both"/>
        <w:rPr>
          <w:rFonts w:eastAsia="仿宋"/>
          <w:sz w:val="32"/>
          <w:szCs w:val="32"/>
        </w:rPr>
      </w:pPr>
      <w:r w:rsidRPr="006515EE">
        <w:rPr>
          <w:rFonts w:eastAsia="仿宋"/>
          <w:sz w:val="32"/>
          <w:szCs w:val="32"/>
        </w:rPr>
        <w:t>7. Nigel P. Moore, Manon Beekhuijzen, et al (2016),  “Guidance on the selection of cohorts for the extended one-generation reproduction toxicity study (OECD test guideline 443)”, Regulatory Toxicology and Pharmacology, 80: 32-40.</w:t>
      </w:r>
    </w:p>
    <w:p w14:paraId="19A07C8D" w14:textId="77777777" w:rsidR="00E5691B" w:rsidRPr="006515EE" w:rsidRDefault="00EC13FE" w:rsidP="006515EE">
      <w:pPr>
        <w:snapToGrid w:val="0"/>
        <w:spacing w:line="360" w:lineRule="auto"/>
        <w:ind w:firstLineChars="200" w:firstLine="640"/>
        <w:jc w:val="both"/>
        <w:rPr>
          <w:rFonts w:eastAsia="仿宋"/>
          <w:sz w:val="32"/>
          <w:szCs w:val="32"/>
        </w:rPr>
      </w:pPr>
      <w:r w:rsidRPr="006515EE">
        <w:rPr>
          <w:rFonts w:eastAsia="仿宋"/>
          <w:sz w:val="32"/>
          <w:szCs w:val="32"/>
        </w:rPr>
        <w:t>8. GUIDANCE DOCUMENT SUPPORTING OECD TEST GUIDELINE 443 ON THE EXTENDED ONEGENERATION REPRODUCTIVE TOXICITY TEST NO.151, OECD. ENV/JM/MONO(2013).</w:t>
      </w:r>
    </w:p>
    <w:p w14:paraId="3CD6F322" w14:textId="77777777" w:rsidR="00E5691B" w:rsidRPr="006515EE" w:rsidRDefault="00EC13FE" w:rsidP="006515EE">
      <w:pPr>
        <w:pStyle w:val="a6"/>
        <w:widowControl w:val="0"/>
        <w:snapToGrid w:val="0"/>
        <w:spacing w:line="360" w:lineRule="auto"/>
        <w:ind w:firstLine="640"/>
        <w:jc w:val="both"/>
        <w:rPr>
          <w:rFonts w:eastAsia="仿宋"/>
          <w:sz w:val="32"/>
          <w:szCs w:val="32"/>
        </w:rPr>
      </w:pPr>
      <w:r w:rsidRPr="006515EE">
        <w:rPr>
          <w:rFonts w:eastAsia="仿宋"/>
          <w:color w:val="212121"/>
          <w:sz w:val="32"/>
          <w:szCs w:val="32"/>
          <w:shd w:val="clear" w:color="auto" w:fill="FFFFFF"/>
        </w:rPr>
        <w:t xml:space="preserve">9. </w:t>
      </w:r>
      <w:r w:rsidRPr="006515EE">
        <w:rPr>
          <w:rFonts w:eastAsia="仿宋"/>
          <w:sz w:val="32"/>
          <w:szCs w:val="32"/>
        </w:rPr>
        <w:t>国家食品药品监督管理局，化妆品安全技术规范（</w:t>
      </w:r>
      <w:r w:rsidRPr="006515EE">
        <w:rPr>
          <w:rFonts w:eastAsia="仿宋"/>
          <w:sz w:val="32"/>
          <w:szCs w:val="32"/>
        </w:rPr>
        <w:t>2015</w:t>
      </w:r>
      <w:r w:rsidRPr="006515EE">
        <w:rPr>
          <w:rFonts w:eastAsia="仿宋"/>
          <w:sz w:val="32"/>
          <w:szCs w:val="32"/>
        </w:rPr>
        <w:t>年版），</w:t>
      </w:r>
      <w:r w:rsidRPr="006515EE">
        <w:rPr>
          <w:rFonts w:eastAsia="仿宋"/>
          <w:sz w:val="32"/>
          <w:szCs w:val="32"/>
        </w:rPr>
        <w:t>2015.12</w:t>
      </w:r>
    </w:p>
    <w:p w14:paraId="1D3A24E3" w14:textId="77777777" w:rsidR="00E5691B" w:rsidRPr="006515EE" w:rsidRDefault="00EC13FE" w:rsidP="006515EE">
      <w:pPr>
        <w:pStyle w:val="a6"/>
        <w:widowControl w:val="0"/>
        <w:snapToGrid w:val="0"/>
        <w:spacing w:line="360" w:lineRule="auto"/>
        <w:ind w:firstLine="640"/>
        <w:jc w:val="both"/>
        <w:rPr>
          <w:rFonts w:eastAsia="仿宋"/>
          <w:sz w:val="32"/>
          <w:szCs w:val="32"/>
        </w:rPr>
      </w:pPr>
      <w:r w:rsidRPr="006515EE">
        <w:rPr>
          <w:rFonts w:eastAsia="仿宋"/>
          <w:sz w:val="32"/>
          <w:szCs w:val="32"/>
        </w:rPr>
        <w:t xml:space="preserve">10. </w:t>
      </w:r>
      <w:r w:rsidRPr="006515EE">
        <w:rPr>
          <w:rFonts w:eastAsia="仿宋"/>
          <w:sz w:val="32"/>
          <w:szCs w:val="32"/>
        </w:rPr>
        <w:t>国家食品药品监督管理局，化妆品安全评估技术导则（</w:t>
      </w:r>
      <w:r w:rsidRPr="006515EE">
        <w:rPr>
          <w:rFonts w:eastAsia="仿宋"/>
          <w:sz w:val="32"/>
          <w:szCs w:val="32"/>
        </w:rPr>
        <w:t>2021</w:t>
      </w:r>
      <w:r w:rsidRPr="006515EE">
        <w:rPr>
          <w:rFonts w:eastAsia="仿宋"/>
          <w:sz w:val="32"/>
          <w:szCs w:val="32"/>
        </w:rPr>
        <w:t>年版），</w:t>
      </w:r>
      <w:r w:rsidRPr="006515EE">
        <w:rPr>
          <w:rFonts w:eastAsia="仿宋"/>
          <w:sz w:val="32"/>
          <w:szCs w:val="32"/>
        </w:rPr>
        <w:t>2021.4</w:t>
      </w:r>
    </w:p>
    <w:p w14:paraId="5AA5E185" w14:textId="12BC771A" w:rsidR="00E5691B" w:rsidRPr="009434F5" w:rsidRDefault="00EC13FE" w:rsidP="000C480C">
      <w:pPr>
        <w:widowControl w:val="0"/>
        <w:autoSpaceDE w:val="0"/>
        <w:autoSpaceDN w:val="0"/>
        <w:adjustRightInd w:val="0"/>
        <w:spacing w:line="360" w:lineRule="auto"/>
        <w:ind w:firstLineChars="200" w:firstLine="640"/>
        <w:jc w:val="both"/>
        <w:outlineLvl w:val="0"/>
        <w:rPr>
          <w:rFonts w:ascii="黑体" w:eastAsia="黑体" w:hAnsi="黑体" w:cs="黑体"/>
          <w:color w:val="000000" w:themeColor="text1"/>
          <w:sz w:val="32"/>
          <w:szCs w:val="32"/>
        </w:rPr>
      </w:pPr>
      <w:bookmarkStart w:id="163" w:name="_Toc26979"/>
      <w:bookmarkStart w:id="164" w:name="_Toc6650"/>
      <w:bookmarkStart w:id="165" w:name="_Toc10040"/>
      <w:bookmarkStart w:id="166" w:name="_Toc28859"/>
      <w:bookmarkStart w:id="167" w:name="_Toc19418"/>
      <w:bookmarkStart w:id="168" w:name="_Toc14120"/>
      <w:bookmarkStart w:id="169" w:name="_Toc10394"/>
      <w:bookmarkStart w:id="170" w:name="_Toc20821"/>
      <w:bookmarkStart w:id="171" w:name="_Toc32095"/>
      <w:bookmarkStart w:id="172" w:name="_Toc25319"/>
      <w:bookmarkStart w:id="173" w:name="_Toc11443"/>
      <w:bookmarkStart w:id="174" w:name="_Toc20355"/>
      <w:bookmarkStart w:id="175" w:name="_Toc26311"/>
      <w:bookmarkStart w:id="176" w:name="_Toc12628"/>
      <w:bookmarkStart w:id="177" w:name="_Toc6863"/>
      <w:bookmarkStart w:id="178" w:name="_Toc32580"/>
      <w:bookmarkStart w:id="179" w:name="_Toc144910436"/>
      <w:r w:rsidRPr="009434F5">
        <w:rPr>
          <w:rFonts w:ascii="黑体" w:eastAsia="黑体" w:hAnsi="黑体" w:cs="黑体" w:hint="eastAsia"/>
          <w:color w:val="000000" w:themeColor="text1"/>
          <w:sz w:val="32"/>
          <w:szCs w:val="32"/>
        </w:rPr>
        <w:t>六、</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00B362D3" w:rsidRPr="009434F5">
        <w:rPr>
          <w:rFonts w:ascii="黑体" w:eastAsia="黑体" w:hAnsi="黑体" w:cs="黑体" w:hint="eastAsia"/>
          <w:color w:val="000000" w:themeColor="text1"/>
          <w:sz w:val="32"/>
          <w:szCs w:val="32"/>
        </w:rPr>
        <w:t>术语和</w:t>
      </w:r>
      <w:r w:rsidR="002278F1" w:rsidRPr="009434F5">
        <w:rPr>
          <w:rFonts w:ascii="黑体" w:eastAsia="黑体" w:hAnsi="黑体" w:cs="黑体" w:hint="eastAsia"/>
          <w:color w:val="000000" w:themeColor="text1"/>
          <w:sz w:val="32"/>
          <w:szCs w:val="32"/>
        </w:rPr>
        <w:t>释义</w:t>
      </w:r>
      <w:bookmarkEnd w:id="179"/>
    </w:p>
    <w:p w14:paraId="28C988FA" w14:textId="77777777" w:rsidR="00E5691B" w:rsidRPr="006515EE" w:rsidRDefault="00EC13FE" w:rsidP="006515EE">
      <w:pPr>
        <w:pStyle w:val="a6"/>
        <w:widowControl w:val="0"/>
        <w:snapToGrid w:val="0"/>
        <w:spacing w:line="360" w:lineRule="auto"/>
        <w:ind w:firstLine="640"/>
        <w:jc w:val="both"/>
        <w:rPr>
          <w:rFonts w:ascii="仿宋" w:eastAsia="仿宋" w:hAnsi="仿宋" w:cs="仿宋"/>
          <w:sz w:val="32"/>
          <w:szCs w:val="32"/>
        </w:rPr>
      </w:pPr>
      <w:r w:rsidRPr="006515EE">
        <w:rPr>
          <w:rFonts w:ascii="仿宋" w:eastAsia="仿宋" w:hAnsi="仿宋" w:cs="仿宋" w:hint="eastAsia"/>
          <w:sz w:val="32"/>
          <w:szCs w:val="32"/>
        </w:rPr>
        <w:t>生殖毒性（reproductive toxicity）：对后代产生有害作用，并损伤雄性和雌性的生殖功能和生殖能力。</w:t>
      </w:r>
    </w:p>
    <w:p w14:paraId="5698BA9B" w14:textId="77777777" w:rsidR="00E5691B" w:rsidRPr="006515EE" w:rsidRDefault="00EC13FE" w:rsidP="006515EE">
      <w:pPr>
        <w:pStyle w:val="a6"/>
        <w:widowControl w:val="0"/>
        <w:snapToGrid w:val="0"/>
        <w:spacing w:line="360" w:lineRule="auto"/>
        <w:ind w:firstLine="640"/>
        <w:jc w:val="both"/>
        <w:rPr>
          <w:rFonts w:ascii="仿宋" w:eastAsia="仿宋" w:hAnsi="仿宋" w:cs="仿宋"/>
          <w:sz w:val="32"/>
          <w:szCs w:val="32"/>
        </w:rPr>
      </w:pPr>
      <w:r w:rsidRPr="006515EE">
        <w:rPr>
          <w:rFonts w:ascii="仿宋" w:eastAsia="仿宋" w:hAnsi="仿宋" w:cs="仿宋" w:hint="eastAsia"/>
          <w:sz w:val="32"/>
          <w:szCs w:val="32"/>
        </w:rPr>
        <w:lastRenderedPageBreak/>
        <w:t>发育毒性（developmental toxicity）：生殖毒性的表现，具体表现为后代在产前、围产期、产后发生的结构和功能紊乱。</w:t>
      </w:r>
    </w:p>
    <w:p w14:paraId="3C3BB9B4" w14:textId="77777777" w:rsidR="00E5691B" w:rsidRPr="006515EE" w:rsidRDefault="00EC13FE" w:rsidP="006515EE">
      <w:pPr>
        <w:snapToGrid w:val="0"/>
        <w:spacing w:line="360" w:lineRule="auto"/>
        <w:ind w:firstLineChars="200" w:firstLine="640"/>
        <w:jc w:val="both"/>
        <w:rPr>
          <w:rFonts w:ascii="仿宋" w:eastAsia="仿宋" w:hAnsi="仿宋" w:cs="仿宋"/>
          <w:sz w:val="32"/>
          <w:szCs w:val="32"/>
        </w:rPr>
      </w:pPr>
      <w:r w:rsidRPr="006515EE">
        <w:rPr>
          <w:rFonts w:ascii="仿宋" w:eastAsia="仿宋" w:hAnsi="仿宋" w:cs="仿宋" w:hint="eastAsia"/>
          <w:sz w:val="32"/>
          <w:szCs w:val="32"/>
        </w:rPr>
        <w:t>神经发育毒性（</w:t>
      </w:r>
      <w:bookmarkStart w:id="180" w:name="OLE_LINK2"/>
      <w:r w:rsidRPr="006515EE">
        <w:rPr>
          <w:rFonts w:ascii="仿宋" w:eastAsia="仿宋" w:hAnsi="仿宋" w:cs="仿宋"/>
          <w:sz w:val="32"/>
          <w:szCs w:val="32"/>
        </w:rPr>
        <w:t>developmental neurotoxicity</w:t>
      </w:r>
      <w:bookmarkEnd w:id="180"/>
      <w:r w:rsidRPr="006515EE">
        <w:rPr>
          <w:rFonts w:ascii="仿宋" w:eastAsia="仿宋" w:hAnsi="仿宋" w:cs="仿宋" w:hint="eastAsia"/>
          <w:sz w:val="32"/>
          <w:szCs w:val="32"/>
        </w:rPr>
        <w:t>）：个体在发育过程中暴露于受试物后引起的神经系统结构和功能的异常改变，这种改变可以发生在生命周期的任何阶段。</w:t>
      </w:r>
    </w:p>
    <w:p w14:paraId="5A500FB9" w14:textId="77777777" w:rsidR="00E5691B" w:rsidRPr="006515EE" w:rsidRDefault="00EC13FE" w:rsidP="006515EE">
      <w:pPr>
        <w:snapToGrid w:val="0"/>
        <w:spacing w:line="360" w:lineRule="auto"/>
        <w:ind w:firstLineChars="200" w:firstLine="640"/>
        <w:jc w:val="both"/>
        <w:rPr>
          <w:b/>
          <w:bCs/>
          <w:sz w:val="32"/>
          <w:szCs w:val="32"/>
        </w:rPr>
      </w:pPr>
      <w:r w:rsidRPr="006515EE">
        <w:rPr>
          <w:rFonts w:ascii="仿宋" w:eastAsia="仿宋" w:hAnsi="仿宋" w:cs="仿宋" w:hint="eastAsia"/>
          <w:sz w:val="32"/>
          <w:szCs w:val="32"/>
        </w:rPr>
        <w:t>发育免疫毒性（</w:t>
      </w:r>
      <w:r w:rsidRPr="006515EE">
        <w:rPr>
          <w:rFonts w:ascii="仿宋" w:eastAsia="仿宋" w:hAnsi="仿宋" w:cs="仿宋"/>
          <w:sz w:val="32"/>
          <w:szCs w:val="32"/>
        </w:rPr>
        <w:t>developmental immunotoxicity</w:t>
      </w:r>
      <w:r w:rsidRPr="006515EE">
        <w:rPr>
          <w:rFonts w:ascii="仿宋" w:eastAsia="仿宋" w:hAnsi="仿宋" w:cs="仿宋" w:hint="eastAsia"/>
          <w:sz w:val="32"/>
          <w:szCs w:val="32"/>
        </w:rPr>
        <w:t>）：</w:t>
      </w:r>
      <w:bookmarkStart w:id="181" w:name="_Toc7285"/>
      <w:bookmarkStart w:id="182" w:name="_Toc24322"/>
      <w:bookmarkStart w:id="183" w:name="_Toc29115"/>
      <w:bookmarkStart w:id="184" w:name="_Toc77475541"/>
      <w:bookmarkStart w:id="185" w:name="_Toc29740"/>
      <w:bookmarkStart w:id="186" w:name="_Toc32513"/>
      <w:bookmarkStart w:id="187" w:name="_Toc8323"/>
      <w:bookmarkStart w:id="188" w:name="_Toc8126"/>
      <w:bookmarkStart w:id="189" w:name="_Toc11722"/>
      <w:bookmarkStart w:id="190" w:name="_Toc32592"/>
      <w:bookmarkStart w:id="191" w:name="_Toc7806"/>
      <w:r w:rsidRPr="006515EE">
        <w:rPr>
          <w:rFonts w:ascii="仿宋" w:eastAsia="仿宋" w:hAnsi="仿宋" w:cs="仿宋" w:hint="eastAsia"/>
          <w:sz w:val="32"/>
          <w:szCs w:val="32"/>
        </w:rPr>
        <w:t>个体在其生命早期发育过程中（尤其是出生前后）暴露于受试物后导致的免疫系统发育受到影响、功能出现障碍，而这些影响在成年个体暴露时未被发现或持续时间较短。</w:t>
      </w:r>
    </w:p>
    <w:p w14:paraId="4C78042C" w14:textId="77777777" w:rsidR="00E5691B" w:rsidRPr="006515EE" w:rsidRDefault="00EC13FE" w:rsidP="006515EE">
      <w:pPr>
        <w:snapToGrid w:val="0"/>
        <w:spacing w:line="360" w:lineRule="auto"/>
        <w:ind w:firstLineChars="200" w:firstLine="640"/>
        <w:jc w:val="both"/>
        <w:rPr>
          <w:rFonts w:ascii="仿宋" w:eastAsia="仿宋" w:hAnsi="仿宋" w:cs="仿宋"/>
          <w:sz w:val="32"/>
          <w:szCs w:val="32"/>
        </w:rPr>
      </w:pPr>
      <w:r w:rsidRPr="006515EE">
        <w:rPr>
          <w:rFonts w:ascii="仿宋" w:eastAsia="仿宋" w:hAnsi="仿宋" w:cs="仿宋" w:hint="eastAsia"/>
          <w:sz w:val="32"/>
          <w:szCs w:val="32"/>
        </w:rPr>
        <w:t>母体毒性（maternal toxicity）：受试物引起亲代雌性妊娠动物直接或间接的健康损害效应，表现为增重减少、功能异常、毒性反应、甚至死亡。</w:t>
      </w:r>
    </w:p>
    <w:p w14:paraId="3344EF44" w14:textId="77777777" w:rsidR="00E5691B" w:rsidRPr="006515EE" w:rsidRDefault="00EC13FE" w:rsidP="006515EE">
      <w:pPr>
        <w:snapToGrid w:val="0"/>
        <w:spacing w:line="360" w:lineRule="auto"/>
        <w:ind w:firstLineChars="200" w:firstLine="640"/>
        <w:jc w:val="both"/>
        <w:rPr>
          <w:rFonts w:ascii="仿宋" w:eastAsia="仿宋" w:hAnsi="仿宋" w:cs="仿宋"/>
          <w:sz w:val="32"/>
          <w:szCs w:val="32"/>
        </w:rPr>
      </w:pPr>
      <w:r w:rsidRPr="006515EE">
        <w:rPr>
          <w:rFonts w:ascii="仿宋" w:eastAsia="仿宋" w:hAnsi="仿宋" w:cs="仿宋" w:hint="eastAsia"/>
          <w:sz w:val="32"/>
          <w:szCs w:val="32"/>
        </w:rPr>
        <w:t>未观察到有害作用剂量（no-observed-adverse effect level, NOAEL）：通过动物试验，以现有的技术手段和检测指标未观察到任何与受试物相关的毒性作用的最大剂量。</w:t>
      </w:r>
    </w:p>
    <w:p w14:paraId="769BD107" w14:textId="77777777" w:rsidR="00E5691B" w:rsidRPr="006515EE" w:rsidRDefault="00EC13FE" w:rsidP="006515EE">
      <w:pPr>
        <w:snapToGrid w:val="0"/>
        <w:spacing w:line="360" w:lineRule="auto"/>
        <w:ind w:firstLineChars="200" w:firstLine="640"/>
        <w:jc w:val="both"/>
        <w:rPr>
          <w:rFonts w:ascii="仿宋" w:eastAsia="仿宋" w:hAnsi="仿宋" w:cs="仿宋"/>
          <w:sz w:val="32"/>
          <w:szCs w:val="32"/>
        </w:rPr>
      </w:pPr>
      <w:r w:rsidRPr="006515EE">
        <w:rPr>
          <w:rFonts w:ascii="仿宋" w:eastAsia="仿宋" w:hAnsi="仿宋" w:cs="仿宋" w:hint="eastAsia"/>
          <w:sz w:val="32"/>
          <w:szCs w:val="32"/>
        </w:rPr>
        <w:lastRenderedPageBreak/>
        <w:t>观察到有害作用的最低剂量（</w:t>
      </w:r>
      <w:r w:rsidRPr="006515EE">
        <w:rPr>
          <w:rFonts w:ascii="仿宋" w:eastAsia="仿宋" w:hAnsi="仿宋" w:cs="仿宋"/>
          <w:sz w:val="32"/>
          <w:szCs w:val="32"/>
        </w:rPr>
        <w:t>lowest</w:t>
      </w:r>
      <w:r w:rsidRPr="006515EE">
        <w:rPr>
          <w:rFonts w:ascii="仿宋" w:eastAsia="仿宋" w:hAnsi="仿宋" w:cs="仿宋" w:hint="eastAsia"/>
          <w:sz w:val="32"/>
          <w:szCs w:val="32"/>
        </w:rPr>
        <w:t>-</w:t>
      </w:r>
      <w:r w:rsidRPr="006515EE">
        <w:rPr>
          <w:rFonts w:ascii="仿宋" w:eastAsia="仿宋" w:hAnsi="仿宋" w:cs="仿宋"/>
          <w:sz w:val="32"/>
          <w:szCs w:val="32"/>
        </w:rPr>
        <w:t>observed</w:t>
      </w:r>
      <w:r w:rsidRPr="006515EE">
        <w:rPr>
          <w:rFonts w:ascii="仿宋" w:eastAsia="仿宋" w:hAnsi="仿宋" w:cs="仿宋" w:hint="eastAsia"/>
          <w:sz w:val="32"/>
          <w:szCs w:val="32"/>
        </w:rPr>
        <w:t>-</w:t>
      </w:r>
      <w:r w:rsidRPr="006515EE">
        <w:rPr>
          <w:rFonts w:ascii="仿宋" w:eastAsia="仿宋" w:hAnsi="仿宋" w:cs="仿宋"/>
          <w:sz w:val="32"/>
          <w:szCs w:val="32"/>
        </w:rPr>
        <w:t>adverse effect level</w:t>
      </w:r>
      <w:r w:rsidRPr="006515EE">
        <w:rPr>
          <w:rFonts w:ascii="仿宋" w:eastAsia="仿宋" w:hAnsi="仿宋" w:cs="仿宋" w:hint="eastAsia"/>
          <w:sz w:val="32"/>
          <w:szCs w:val="32"/>
        </w:rPr>
        <w:t>, LOAEL）：在规定的条件下，受试物引起实验动物组织形态、功能、生长发育等有害效应的最小作用剂量。</w:t>
      </w:r>
    </w:p>
    <w:p w14:paraId="52AEE4C4" w14:textId="77777777" w:rsidR="00E5691B" w:rsidRPr="006515EE" w:rsidRDefault="00E5691B">
      <w:pPr>
        <w:spacing w:line="360" w:lineRule="auto"/>
        <w:jc w:val="both"/>
        <w:rPr>
          <w:b/>
          <w:bCs/>
          <w:sz w:val="32"/>
          <w:szCs w:val="32"/>
        </w:rPr>
      </w:pPr>
    </w:p>
    <w:p w14:paraId="1A8B0A59" w14:textId="77777777" w:rsidR="00E5691B" w:rsidRPr="00874C03" w:rsidRDefault="00EC13FE">
      <w:pPr>
        <w:spacing w:line="360" w:lineRule="auto"/>
        <w:jc w:val="both"/>
        <w:outlineLvl w:val="0"/>
        <w:rPr>
          <w:sz w:val="32"/>
          <w:szCs w:val="32"/>
        </w:rPr>
      </w:pPr>
      <w:bookmarkStart w:id="192" w:name="_Toc15101"/>
      <w:bookmarkStart w:id="193" w:name="_Toc13904"/>
      <w:bookmarkStart w:id="194" w:name="_Toc2857"/>
      <w:bookmarkStart w:id="195" w:name="_Toc25431"/>
      <w:bookmarkStart w:id="196" w:name="_Toc2855"/>
      <w:bookmarkStart w:id="197" w:name="_Toc30221"/>
      <w:r>
        <w:rPr>
          <w:b/>
          <w:bCs/>
          <w:sz w:val="24"/>
        </w:rPr>
        <w:br w:type="page"/>
      </w:r>
      <w:bookmarkStart w:id="198" w:name="_Toc144910437"/>
      <w:r w:rsidRPr="00874C03">
        <w:rPr>
          <w:b/>
          <w:bCs/>
          <w:sz w:val="32"/>
          <w:szCs w:val="32"/>
        </w:rPr>
        <w:lastRenderedPageBreak/>
        <w:t>附录</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6318B552" w14:textId="77777777" w:rsidR="00E5691B" w:rsidRPr="00874C03" w:rsidRDefault="00EC13FE">
      <w:pPr>
        <w:spacing w:beforeLines="50" w:before="156" w:afterLines="50" w:after="156" w:line="300" w:lineRule="auto"/>
        <w:jc w:val="center"/>
        <w:rPr>
          <w:rFonts w:eastAsia="黑体"/>
          <w:sz w:val="32"/>
          <w:szCs w:val="32"/>
        </w:rPr>
      </w:pPr>
      <w:r w:rsidRPr="00874C03">
        <w:rPr>
          <w:rFonts w:eastAsia="黑体"/>
          <w:sz w:val="32"/>
          <w:szCs w:val="32"/>
        </w:rPr>
        <w:t>扩展一代生殖发育毒性试验</w:t>
      </w:r>
    </w:p>
    <w:p w14:paraId="45F10572" w14:textId="77777777" w:rsidR="00E5691B" w:rsidRPr="00874C03" w:rsidRDefault="00EC13FE">
      <w:pPr>
        <w:pStyle w:val="af3"/>
        <w:widowControl w:val="0"/>
        <w:numPr>
          <w:ilvl w:val="0"/>
          <w:numId w:val="1"/>
        </w:numPr>
        <w:spacing w:beforeLines="50" w:before="156" w:afterLines="50" w:after="156" w:line="300" w:lineRule="auto"/>
        <w:ind w:hangingChars="200"/>
        <w:jc w:val="both"/>
        <w:rPr>
          <w:rFonts w:ascii="黑体" w:eastAsia="黑体" w:hAnsi="黑体"/>
          <w:szCs w:val="21"/>
        </w:rPr>
      </w:pPr>
      <w:r w:rsidRPr="00874C03">
        <w:rPr>
          <w:rFonts w:ascii="黑体" w:eastAsia="黑体" w:hAnsi="黑体"/>
          <w:szCs w:val="21"/>
        </w:rPr>
        <w:t>范围</w:t>
      </w:r>
    </w:p>
    <w:p w14:paraId="4A6ACD84"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本规范规定了扩展一代生殖发育毒性试验基本原则，试验方法和技术要求。</w:t>
      </w:r>
    </w:p>
    <w:p w14:paraId="7E5B1864"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本规范用于检测化妆品原料的生殖发育毒性。</w:t>
      </w:r>
    </w:p>
    <w:p w14:paraId="07C3B38F" w14:textId="77777777" w:rsidR="00E5691B" w:rsidRPr="00874C03" w:rsidRDefault="00EC13FE">
      <w:pPr>
        <w:pStyle w:val="af3"/>
        <w:widowControl w:val="0"/>
        <w:numPr>
          <w:ilvl w:val="0"/>
          <w:numId w:val="1"/>
        </w:numPr>
        <w:spacing w:beforeLines="50" w:before="156" w:afterLines="50" w:after="156" w:line="300" w:lineRule="auto"/>
        <w:ind w:hangingChars="200"/>
        <w:jc w:val="both"/>
        <w:rPr>
          <w:rFonts w:ascii="黑体" w:eastAsia="黑体" w:hAnsi="黑体"/>
          <w:szCs w:val="21"/>
        </w:rPr>
      </w:pPr>
      <w:r w:rsidRPr="00874C03">
        <w:rPr>
          <w:rFonts w:ascii="黑体" w:eastAsia="黑体" w:hAnsi="黑体"/>
          <w:szCs w:val="21"/>
        </w:rPr>
        <w:t>试验目的</w:t>
      </w:r>
    </w:p>
    <w:p w14:paraId="79CC38E8"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提供关于受试物产前、产后暴露对雌性、雄性动物生殖功能、生育力及子代发育影响的确切信息。</w:t>
      </w:r>
    </w:p>
    <w:p w14:paraId="2AB012D2" w14:textId="77777777" w:rsidR="00E5691B" w:rsidRPr="00874C03" w:rsidRDefault="00EC13FE">
      <w:pPr>
        <w:pStyle w:val="af3"/>
        <w:widowControl w:val="0"/>
        <w:numPr>
          <w:ilvl w:val="0"/>
          <w:numId w:val="1"/>
        </w:numPr>
        <w:spacing w:beforeLines="50" w:before="156" w:afterLines="50" w:after="156" w:line="300" w:lineRule="auto"/>
        <w:ind w:hangingChars="200"/>
        <w:jc w:val="both"/>
        <w:rPr>
          <w:rFonts w:ascii="黑体" w:eastAsia="黑体" w:hAnsi="黑体"/>
          <w:szCs w:val="21"/>
        </w:rPr>
      </w:pPr>
      <w:r w:rsidRPr="00874C03">
        <w:rPr>
          <w:rFonts w:ascii="黑体" w:eastAsia="黑体" w:hAnsi="黑体"/>
          <w:szCs w:val="21"/>
        </w:rPr>
        <w:t>定义</w:t>
      </w:r>
    </w:p>
    <w:p w14:paraId="3FCEC38D" w14:textId="3312536F" w:rsidR="00E5691B" w:rsidRPr="00A00F74" w:rsidRDefault="00EC13FE">
      <w:pPr>
        <w:pStyle w:val="af3"/>
        <w:widowControl w:val="0"/>
        <w:numPr>
          <w:ilvl w:val="1"/>
          <w:numId w:val="1"/>
        </w:numPr>
        <w:tabs>
          <w:tab w:val="clear" w:pos="284"/>
          <w:tab w:val="left" w:pos="567"/>
        </w:tabs>
        <w:spacing w:beforeLines="50" w:before="156" w:afterLines="50" w:after="156" w:line="300" w:lineRule="auto"/>
        <w:ind w:left="0" w:firstLineChars="0" w:firstLine="0"/>
        <w:jc w:val="both"/>
        <w:rPr>
          <w:rFonts w:ascii="宋体" w:hAnsi="宋体"/>
          <w:szCs w:val="21"/>
        </w:rPr>
      </w:pPr>
      <w:r w:rsidRPr="00A00F74">
        <w:rPr>
          <w:rFonts w:ascii="宋体" w:hAnsi="宋体"/>
          <w:szCs w:val="21"/>
        </w:rPr>
        <w:t>生殖毒性</w:t>
      </w:r>
      <w:r w:rsidR="002D276D" w:rsidRPr="00A00F74">
        <w:rPr>
          <w:rFonts w:ascii="宋体" w:hAnsi="宋体" w:hint="eastAsia"/>
          <w:szCs w:val="21"/>
        </w:rPr>
        <w:t>（Reproduction</w:t>
      </w:r>
      <w:r w:rsidR="002D276D" w:rsidRPr="00A00F74">
        <w:rPr>
          <w:rFonts w:ascii="宋体" w:hAnsi="宋体"/>
          <w:szCs w:val="21"/>
        </w:rPr>
        <w:t xml:space="preserve"> </w:t>
      </w:r>
      <w:r w:rsidR="002D276D" w:rsidRPr="00A00F74">
        <w:rPr>
          <w:rFonts w:ascii="宋体" w:hAnsi="宋体" w:hint="eastAsia"/>
          <w:szCs w:val="21"/>
        </w:rPr>
        <w:t>Toxicity）</w:t>
      </w:r>
    </w:p>
    <w:p w14:paraId="7A30DA13"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对后代产生有害作用，并损伤雄性和雌性的生殖功能和生殖能力。</w:t>
      </w:r>
    </w:p>
    <w:p w14:paraId="3F2B13A6" w14:textId="25FDA6B2" w:rsidR="00E5691B" w:rsidRPr="00A00F74" w:rsidRDefault="00EC13FE">
      <w:pPr>
        <w:pStyle w:val="af3"/>
        <w:widowControl w:val="0"/>
        <w:numPr>
          <w:ilvl w:val="1"/>
          <w:numId w:val="1"/>
        </w:numPr>
        <w:tabs>
          <w:tab w:val="clear" w:pos="284"/>
          <w:tab w:val="left" w:pos="567"/>
        </w:tabs>
        <w:spacing w:beforeLines="50" w:before="156" w:afterLines="50" w:after="156" w:line="300" w:lineRule="auto"/>
        <w:ind w:left="0" w:firstLineChars="0" w:firstLine="0"/>
        <w:jc w:val="both"/>
        <w:rPr>
          <w:rFonts w:ascii="宋体" w:hAnsi="宋体"/>
          <w:szCs w:val="21"/>
        </w:rPr>
      </w:pPr>
      <w:r w:rsidRPr="00A00F74">
        <w:rPr>
          <w:rFonts w:ascii="宋体" w:hAnsi="宋体"/>
          <w:szCs w:val="21"/>
        </w:rPr>
        <w:t>发育毒性</w:t>
      </w:r>
      <w:r w:rsidR="002D276D" w:rsidRPr="00A00F74">
        <w:rPr>
          <w:rFonts w:ascii="宋体" w:hAnsi="宋体" w:hint="eastAsia"/>
          <w:szCs w:val="21"/>
        </w:rPr>
        <w:t>（Developmental</w:t>
      </w:r>
      <w:r w:rsidR="002D276D" w:rsidRPr="00A00F74">
        <w:rPr>
          <w:rFonts w:ascii="宋体" w:hAnsi="宋体"/>
          <w:szCs w:val="21"/>
        </w:rPr>
        <w:t xml:space="preserve"> </w:t>
      </w:r>
      <w:r w:rsidR="002D276D" w:rsidRPr="00A00F74">
        <w:rPr>
          <w:rFonts w:ascii="宋体" w:hAnsi="宋体" w:hint="eastAsia"/>
          <w:szCs w:val="21"/>
        </w:rPr>
        <w:t>toxicity）</w:t>
      </w:r>
    </w:p>
    <w:p w14:paraId="729D8DCF"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生殖毒性的表现，具体表现为后代在产前、围产期、产后发生的结构和功能紊乱。</w:t>
      </w:r>
    </w:p>
    <w:p w14:paraId="21563B7B" w14:textId="76A6640E" w:rsidR="00E5691B" w:rsidRPr="00874C03" w:rsidRDefault="00EC13FE">
      <w:pPr>
        <w:pStyle w:val="af3"/>
        <w:widowControl w:val="0"/>
        <w:numPr>
          <w:ilvl w:val="1"/>
          <w:numId w:val="1"/>
        </w:numPr>
        <w:tabs>
          <w:tab w:val="clear" w:pos="284"/>
          <w:tab w:val="left" w:pos="567"/>
        </w:tabs>
        <w:spacing w:beforeLines="50" w:before="156" w:afterLines="50" w:after="156" w:line="300" w:lineRule="auto"/>
        <w:ind w:left="0" w:firstLineChars="0" w:firstLine="0"/>
        <w:jc w:val="both"/>
        <w:rPr>
          <w:rFonts w:ascii="宋体" w:hAnsi="宋体"/>
          <w:szCs w:val="21"/>
        </w:rPr>
      </w:pPr>
      <w:r w:rsidRPr="00874C03">
        <w:rPr>
          <w:rFonts w:ascii="宋体" w:hAnsi="宋体"/>
          <w:szCs w:val="21"/>
        </w:rPr>
        <w:t>神经发育毒性</w:t>
      </w:r>
      <w:r w:rsidR="002D276D">
        <w:rPr>
          <w:rFonts w:ascii="宋体" w:hAnsi="宋体" w:hint="eastAsia"/>
          <w:szCs w:val="21"/>
        </w:rPr>
        <w:t>（D</w:t>
      </w:r>
      <w:r w:rsidR="002D276D">
        <w:rPr>
          <w:rFonts w:ascii="宋体" w:hAnsi="宋体"/>
          <w:szCs w:val="21"/>
        </w:rPr>
        <w:t>evelop</w:t>
      </w:r>
      <w:r w:rsidR="00A00F74">
        <w:rPr>
          <w:rFonts w:ascii="宋体" w:hAnsi="宋体"/>
          <w:szCs w:val="21"/>
        </w:rPr>
        <w:t>mental neurotoxicity</w:t>
      </w:r>
      <w:r w:rsidR="002D276D">
        <w:rPr>
          <w:rFonts w:ascii="宋体" w:hAnsi="宋体" w:hint="eastAsia"/>
          <w:szCs w:val="21"/>
        </w:rPr>
        <w:t>）</w:t>
      </w:r>
    </w:p>
    <w:p w14:paraId="0434AC23"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个体在发育过程中暴露于受试物后引起的神经系统结构和功能的异常改变，这种改变可以发生在生命周期的任何阶段。</w:t>
      </w:r>
    </w:p>
    <w:p w14:paraId="73BC7502" w14:textId="57D74D1F" w:rsidR="00E5691B" w:rsidRPr="00A00F74" w:rsidRDefault="00EC13FE">
      <w:pPr>
        <w:pStyle w:val="af3"/>
        <w:widowControl w:val="0"/>
        <w:numPr>
          <w:ilvl w:val="1"/>
          <w:numId w:val="1"/>
        </w:numPr>
        <w:tabs>
          <w:tab w:val="clear" w:pos="284"/>
          <w:tab w:val="left" w:pos="567"/>
        </w:tabs>
        <w:spacing w:beforeLines="50" w:before="156" w:afterLines="50" w:after="156" w:line="300" w:lineRule="auto"/>
        <w:ind w:left="0" w:firstLineChars="0" w:firstLine="0"/>
        <w:jc w:val="both"/>
        <w:rPr>
          <w:rFonts w:ascii="宋体" w:hAnsi="宋体"/>
          <w:szCs w:val="21"/>
        </w:rPr>
      </w:pPr>
      <w:r w:rsidRPr="00A00F74">
        <w:rPr>
          <w:rFonts w:ascii="宋体" w:hAnsi="宋体"/>
          <w:szCs w:val="21"/>
        </w:rPr>
        <w:t>发育免疫毒性</w:t>
      </w:r>
      <w:r w:rsidR="00A00F74" w:rsidRPr="00A00F74">
        <w:rPr>
          <w:rFonts w:ascii="宋体" w:hAnsi="宋体" w:hint="eastAsia"/>
          <w:szCs w:val="21"/>
        </w:rPr>
        <w:t>（D</w:t>
      </w:r>
      <w:r w:rsidR="00A00F74" w:rsidRPr="00A00F74">
        <w:rPr>
          <w:rFonts w:ascii="宋体" w:hAnsi="宋体"/>
          <w:szCs w:val="21"/>
        </w:rPr>
        <w:t>evelopmental immunotoxicity</w:t>
      </w:r>
      <w:r w:rsidR="00A00F74" w:rsidRPr="00A00F74">
        <w:rPr>
          <w:rFonts w:ascii="宋体" w:hAnsi="宋体" w:hint="eastAsia"/>
          <w:szCs w:val="21"/>
        </w:rPr>
        <w:t>）</w:t>
      </w:r>
    </w:p>
    <w:p w14:paraId="1FE1B3B5"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lastRenderedPageBreak/>
        <w:t>个体在其生命早期发育过程中（尤其是出生前后）暴露于受试物后导致的免疫系统发育受到影响、功能出现障碍，而这些影响在成年个体暴露时未被发现或持续时间较短。</w:t>
      </w:r>
    </w:p>
    <w:p w14:paraId="30B7E279" w14:textId="0B7B2136" w:rsidR="00E5691B" w:rsidRPr="00874C03" w:rsidRDefault="00EC13FE">
      <w:pPr>
        <w:pStyle w:val="af3"/>
        <w:widowControl w:val="0"/>
        <w:numPr>
          <w:ilvl w:val="1"/>
          <w:numId w:val="1"/>
        </w:numPr>
        <w:tabs>
          <w:tab w:val="clear" w:pos="284"/>
          <w:tab w:val="left" w:pos="567"/>
        </w:tabs>
        <w:spacing w:beforeLines="50" w:before="156" w:afterLines="50" w:after="156" w:line="300" w:lineRule="auto"/>
        <w:ind w:left="0" w:firstLineChars="0" w:firstLine="0"/>
        <w:jc w:val="both"/>
        <w:rPr>
          <w:rFonts w:ascii="宋体" w:hAnsi="宋体"/>
          <w:szCs w:val="21"/>
        </w:rPr>
      </w:pPr>
      <w:r w:rsidRPr="00874C03">
        <w:rPr>
          <w:rFonts w:ascii="宋体" w:hAnsi="宋体"/>
          <w:szCs w:val="21"/>
        </w:rPr>
        <w:t>母体毒性</w:t>
      </w:r>
      <w:r w:rsidR="002D276D">
        <w:rPr>
          <w:rFonts w:ascii="宋体" w:hAnsi="宋体" w:hint="eastAsia"/>
          <w:szCs w:val="21"/>
        </w:rPr>
        <w:t>（M</w:t>
      </w:r>
      <w:r w:rsidR="002D276D">
        <w:rPr>
          <w:rFonts w:ascii="宋体" w:hAnsi="宋体"/>
          <w:szCs w:val="21"/>
        </w:rPr>
        <w:t>aternal toxicity</w:t>
      </w:r>
      <w:r w:rsidR="002D276D">
        <w:rPr>
          <w:rFonts w:ascii="宋体" w:hAnsi="宋体" w:hint="eastAsia"/>
          <w:szCs w:val="21"/>
        </w:rPr>
        <w:t>）</w:t>
      </w:r>
    </w:p>
    <w:p w14:paraId="19780CE2"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受试物引起亲代雌性妊娠动物直接或间接的健康损害效应，表现为增重减少、功能异常、毒性反应、甚至死亡。</w:t>
      </w:r>
    </w:p>
    <w:p w14:paraId="2D92F42C" w14:textId="77777777" w:rsidR="00E5691B" w:rsidRPr="00874C03" w:rsidRDefault="00EC13FE">
      <w:pPr>
        <w:pStyle w:val="af3"/>
        <w:widowControl w:val="0"/>
        <w:numPr>
          <w:ilvl w:val="1"/>
          <w:numId w:val="1"/>
        </w:numPr>
        <w:tabs>
          <w:tab w:val="clear" w:pos="284"/>
          <w:tab w:val="left" w:pos="567"/>
        </w:tabs>
        <w:spacing w:beforeLines="50" w:before="156" w:afterLines="50" w:after="156" w:line="300" w:lineRule="auto"/>
        <w:ind w:left="0" w:firstLineChars="0" w:firstLine="0"/>
        <w:jc w:val="both"/>
        <w:rPr>
          <w:rFonts w:ascii="宋体" w:hAnsi="宋体"/>
          <w:szCs w:val="21"/>
        </w:rPr>
      </w:pPr>
      <w:r w:rsidRPr="00874C03">
        <w:rPr>
          <w:rFonts w:ascii="宋体" w:hAnsi="宋体" w:hint="eastAsia"/>
          <w:szCs w:val="21"/>
        </w:rPr>
        <w:t>未观察到有害作用剂量</w:t>
      </w:r>
      <w:r w:rsidRPr="00874C03">
        <w:rPr>
          <w:rFonts w:ascii="宋体" w:hAnsi="宋体"/>
          <w:szCs w:val="21"/>
        </w:rPr>
        <w:t>（NOAEL）</w:t>
      </w:r>
    </w:p>
    <w:p w14:paraId="79AE0D0E"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通过动物试验，以现有的技术手段和检测指标未观察到任何与受试物相关的毒性作用的最大剂量。</w:t>
      </w:r>
    </w:p>
    <w:p w14:paraId="2537C075" w14:textId="77777777" w:rsidR="00E5691B" w:rsidRPr="00874C03" w:rsidRDefault="00EC13FE">
      <w:pPr>
        <w:pStyle w:val="af3"/>
        <w:widowControl w:val="0"/>
        <w:numPr>
          <w:ilvl w:val="1"/>
          <w:numId w:val="1"/>
        </w:numPr>
        <w:tabs>
          <w:tab w:val="clear" w:pos="284"/>
          <w:tab w:val="left" w:pos="567"/>
        </w:tabs>
        <w:spacing w:beforeLines="50" w:before="156" w:afterLines="50" w:after="156" w:line="300" w:lineRule="auto"/>
        <w:ind w:left="0" w:firstLineChars="0" w:firstLine="0"/>
        <w:jc w:val="both"/>
        <w:rPr>
          <w:rFonts w:ascii="宋体" w:hAnsi="宋体"/>
          <w:szCs w:val="21"/>
        </w:rPr>
      </w:pPr>
      <w:r w:rsidRPr="00874C03">
        <w:rPr>
          <w:rFonts w:ascii="宋体" w:hAnsi="宋体" w:hint="eastAsia"/>
          <w:szCs w:val="21"/>
        </w:rPr>
        <w:t>观察到有害作用的最低剂量</w:t>
      </w:r>
      <w:r w:rsidRPr="00874C03">
        <w:rPr>
          <w:rFonts w:ascii="宋体" w:hAnsi="宋体"/>
          <w:szCs w:val="21"/>
        </w:rPr>
        <w:t>（LOAEL）</w:t>
      </w:r>
    </w:p>
    <w:p w14:paraId="66DF1168"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在规定的条件下，受试物引起实验动物组织形态、功能、生长发育等有害效应的最小作用剂量。</w:t>
      </w:r>
    </w:p>
    <w:p w14:paraId="16ABB8DF" w14:textId="77777777" w:rsidR="00E5691B" w:rsidRPr="009B24BA" w:rsidRDefault="00EC13FE">
      <w:pPr>
        <w:pStyle w:val="af3"/>
        <w:widowControl w:val="0"/>
        <w:numPr>
          <w:ilvl w:val="0"/>
          <w:numId w:val="1"/>
        </w:numPr>
        <w:spacing w:beforeLines="50" w:before="156" w:afterLines="50" w:after="156" w:line="300" w:lineRule="auto"/>
        <w:ind w:hangingChars="200"/>
        <w:jc w:val="both"/>
        <w:rPr>
          <w:rFonts w:ascii="黑体" w:eastAsia="黑体" w:hAnsi="黑体"/>
          <w:szCs w:val="21"/>
        </w:rPr>
      </w:pPr>
      <w:r w:rsidRPr="009B24BA">
        <w:rPr>
          <w:rFonts w:ascii="黑体" w:eastAsia="黑体" w:hAnsi="黑体"/>
          <w:szCs w:val="21"/>
        </w:rPr>
        <w:t>试验的基本原则</w:t>
      </w:r>
    </w:p>
    <w:p w14:paraId="54E000AD"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通过对实验动物以受试物暴露，考察其对雄性和雌性动物生殖功能、生育力及生殖系统形态的影响。若该暴露（直接或间接）持续至子代，则还可以继续考察受试物对子代发育，甚至子代生殖功能和生育力的影响。</w:t>
      </w:r>
    </w:p>
    <w:p w14:paraId="3086D97F" w14:textId="77777777" w:rsidR="00E5691B" w:rsidRPr="009B24BA" w:rsidRDefault="00EC13FE">
      <w:pPr>
        <w:pStyle w:val="af3"/>
        <w:widowControl w:val="0"/>
        <w:numPr>
          <w:ilvl w:val="0"/>
          <w:numId w:val="1"/>
        </w:numPr>
        <w:spacing w:beforeLines="50" w:before="156" w:afterLines="50" w:after="156" w:line="300" w:lineRule="auto"/>
        <w:ind w:hangingChars="200"/>
        <w:jc w:val="both"/>
        <w:rPr>
          <w:rFonts w:ascii="黑体" w:eastAsia="黑体" w:hAnsi="黑体"/>
          <w:szCs w:val="21"/>
        </w:rPr>
      </w:pPr>
      <w:r w:rsidRPr="009B24BA">
        <w:rPr>
          <w:rFonts w:ascii="黑体" w:eastAsia="黑体" w:hAnsi="黑体"/>
          <w:szCs w:val="21"/>
        </w:rPr>
        <w:t>受试物配制</w:t>
      </w:r>
    </w:p>
    <w:p w14:paraId="40529F26"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化妆品原料一般采用经口、经皮或吸入方式给予受试物，溶媒对照应采用相同的给予途径。若设置阳性对照，其处理方式可以不同于受试物处理组。</w:t>
      </w:r>
    </w:p>
    <w:p w14:paraId="3CB04F9E"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lastRenderedPageBreak/>
        <w:t>一般情况下首选水作为溶媒，可以是水溶液也可以是混悬液，其次可以选择玉米油作为溶媒配制成乳浊液，也可以将其与水混合配制成油溶液。使用水以外的其它溶媒，应阐明其毒性并保证所配制溶液的稳定性。</w:t>
      </w:r>
    </w:p>
    <w:p w14:paraId="52EB3FEE"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其它应纳入考虑的因素包括：溶媒是否影响受试物化学特征继而改变受试物毒性；溶媒是否影响受试物的吸收、代谢、分布和蓄积；溶媒是否影响动物食物和饮水摄入继而影响营养状况；溶媒本身是否有潜在毒性。</w:t>
      </w:r>
    </w:p>
    <w:p w14:paraId="26007E01"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经口灌胃时，以大鼠为例，水溶性液体的灌胃体积一般不超过10 mL/kg体重，最大不超过20 mL/kg体重；油溶性液体的灌胃体积不超过4 mL/kg体重。</w:t>
      </w:r>
    </w:p>
    <w:p w14:paraId="7BEEBF75"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经饲料或饮水给予时，应充分考虑溶媒添加量和动物热量的摄入。若使用溶媒，那么对照组应按受试物组的最高使用量添加；若不使用溶媒，且受试物会造成摄食量或食物利用率的降低，那么可以通过将其饲喂未交配动物作为配对对照组，但是，如有资料表明食物消耗的降低并不影响生殖相关参数，可以不设置配对对照。</w:t>
      </w:r>
    </w:p>
    <w:p w14:paraId="1133D634"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经皮给予受试物时，应考虑受试物浓度对皮肤的刺激性。若在既定剂量下的浓度产生较为严重的皮肤刺激性，应将浓度适当降低。当然，这种降低可能也伴随剂量的降低。如果因浓度过高，在早期就出现皮肤严重受损的情况下，应终止试验并选择合适的浓度重新开始。受试物皮肤暴露面积应达到动物全身皮肤的10%，毒性过高的受试物也可以小于10%。可以采用纱布和无刺激性胶带将受试物固定在皮肤表面，需要保证每天6小时的接触时长，同时也可以采用非保定方式</w:t>
      </w:r>
      <w:r w:rsidR="0036096B" w:rsidRPr="00874C03">
        <w:rPr>
          <w:rFonts w:ascii="宋体" w:hAnsi="宋体" w:hint="eastAsia"/>
          <w:szCs w:val="21"/>
        </w:rPr>
        <w:t>（如防抓咬保护脖套）</w:t>
      </w:r>
      <w:r w:rsidRPr="00874C03">
        <w:rPr>
          <w:rFonts w:ascii="宋体" w:hAnsi="宋体"/>
          <w:szCs w:val="21"/>
        </w:rPr>
        <w:t>防止动物摄入受试物或弄掉封闭胶带。</w:t>
      </w:r>
    </w:p>
    <w:p w14:paraId="0CAD558C"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lastRenderedPageBreak/>
        <w:t>经吸入给予受试物时，一般采用气体、蒸汽、气溶胶或以上混合形态进行受试物暴露。吸入受试物所采用的暴露物态应根据其理化性质、拟定浓度和/或其实际应用时的物态加以确定。不论采用头鼻暴露还是全身暴露，均需将气流中的氧气浓度控制在至少19%，二氧化碳浓度控制在不高于1%，同时确保受试物浓度稳定。</w:t>
      </w:r>
    </w:p>
    <w:p w14:paraId="70B7885D" w14:textId="77777777" w:rsidR="00E5691B" w:rsidRPr="009B24BA" w:rsidRDefault="00EC13FE">
      <w:pPr>
        <w:pStyle w:val="af3"/>
        <w:widowControl w:val="0"/>
        <w:numPr>
          <w:ilvl w:val="0"/>
          <w:numId w:val="1"/>
        </w:numPr>
        <w:spacing w:beforeLines="50" w:before="156" w:afterLines="50" w:after="156" w:line="300" w:lineRule="auto"/>
        <w:ind w:hangingChars="200"/>
        <w:jc w:val="both"/>
        <w:rPr>
          <w:rFonts w:ascii="黑体" w:eastAsia="黑体" w:hAnsi="黑体"/>
          <w:szCs w:val="21"/>
        </w:rPr>
      </w:pPr>
      <w:r w:rsidRPr="009B24BA">
        <w:rPr>
          <w:rFonts w:ascii="黑体" w:eastAsia="黑体" w:hAnsi="黑体"/>
          <w:szCs w:val="21"/>
        </w:rPr>
        <w:t>实验动物和饲养环境</w:t>
      </w:r>
    </w:p>
    <w:p w14:paraId="4BF753F1" w14:textId="77777777" w:rsidR="00E5691B" w:rsidRPr="00874C03" w:rsidRDefault="00EC13FE">
      <w:pPr>
        <w:pStyle w:val="af3"/>
        <w:widowControl w:val="0"/>
        <w:numPr>
          <w:ilvl w:val="1"/>
          <w:numId w:val="1"/>
        </w:numPr>
        <w:tabs>
          <w:tab w:val="clear" w:pos="284"/>
          <w:tab w:val="left" w:pos="567"/>
        </w:tabs>
        <w:spacing w:beforeLines="50" w:before="156" w:afterLines="50" w:after="156" w:line="300" w:lineRule="auto"/>
        <w:ind w:left="0" w:firstLineChars="0" w:firstLine="0"/>
        <w:jc w:val="both"/>
        <w:rPr>
          <w:rFonts w:ascii="宋体" w:hAnsi="宋体"/>
          <w:szCs w:val="21"/>
        </w:rPr>
      </w:pPr>
      <w:r w:rsidRPr="00874C03">
        <w:rPr>
          <w:rFonts w:ascii="宋体" w:hAnsi="宋体"/>
          <w:szCs w:val="21"/>
        </w:rPr>
        <w:t>实验动物选择</w:t>
      </w:r>
    </w:p>
    <w:p w14:paraId="6A5C1DA3"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首选种属为大鼠，若选择其它种属动物应有合理理由，同时应避免选择生育力低且具有明显发育缺陷的动物种属。所选动物应健康且未经历任何试验，其中雌性动物应为未经产或未孕动物。受试物处理前，动物体重应控制在同性别平均体重的20%范围内，若有必要还应基于发情周期筛选动物，将发情周期正常的雌性纳入试验。动物开始交配的周龄在12-14周龄较为合适。</w:t>
      </w:r>
    </w:p>
    <w:p w14:paraId="6AE9F54A" w14:textId="77777777" w:rsidR="00E5691B" w:rsidRPr="00874C03" w:rsidRDefault="00EC13FE">
      <w:pPr>
        <w:pStyle w:val="af3"/>
        <w:widowControl w:val="0"/>
        <w:numPr>
          <w:ilvl w:val="1"/>
          <w:numId w:val="1"/>
        </w:numPr>
        <w:tabs>
          <w:tab w:val="clear" w:pos="284"/>
          <w:tab w:val="left" w:pos="567"/>
        </w:tabs>
        <w:spacing w:beforeLines="50" w:before="156" w:afterLines="50" w:after="156" w:line="300" w:lineRule="auto"/>
        <w:ind w:left="0" w:firstLineChars="0" w:firstLine="0"/>
        <w:jc w:val="both"/>
        <w:rPr>
          <w:rFonts w:ascii="宋体" w:hAnsi="宋体"/>
          <w:szCs w:val="21"/>
        </w:rPr>
      </w:pPr>
      <w:r w:rsidRPr="00874C03">
        <w:rPr>
          <w:rFonts w:ascii="宋体" w:hAnsi="宋体"/>
          <w:szCs w:val="21"/>
        </w:rPr>
        <w:t>动物数量</w:t>
      </w:r>
    </w:p>
    <w:p w14:paraId="2C741A7C"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应保证每组至少有20只怀孕雌性动物，在极端情况下，未能产生足够的怀孕动物时，不表明研究数据无效，需个案分析。雄性动物数量推荐与雌性动物保持一致。</w:t>
      </w:r>
    </w:p>
    <w:p w14:paraId="7D28D199" w14:textId="77777777" w:rsidR="00E5691B" w:rsidRPr="00874C03" w:rsidRDefault="00EC13FE">
      <w:pPr>
        <w:pStyle w:val="af3"/>
        <w:widowControl w:val="0"/>
        <w:numPr>
          <w:ilvl w:val="1"/>
          <w:numId w:val="1"/>
        </w:numPr>
        <w:tabs>
          <w:tab w:val="clear" w:pos="284"/>
          <w:tab w:val="left" w:pos="567"/>
        </w:tabs>
        <w:spacing w:beforeLines="50" w:before="156" w:afterLines="50" w:after="156" w:line="300" w:lineRule="auto"/>
        <w:ind w:left="0" w:firstLineChars="0" w:firstLine="0"/>
        <w:jc w:val="both"/>
        <w:rPr>
          <w:rFonts w:ascii="宋体" w:hAnsi="宋体"/>
          <w:szCs w:val="21"/>
        </w:rPr>
      </w:pPr>
      <w:r w:rsidRPr="00874C03">
        <w:rPr>
          <w:rFonts w:ascii="宋体" w:hAnsi="宋体"/>
          <w:szCs w:val="21"/>
        </w:rPr>
        <w:t>动物的准备和饲养</w:t>
      </w:r>
    </w:p>
    <w:p w14:paraId="21FDD085"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动物抵达实验设施后，应有不少于5天的环境适应期。饲养环境应符合国标相关要求。动物自由采食和饮水，但应注意饮食中植物雌激素的含量，避免影响某些生殖终点。所用批次饲料留样并适当保存至报告完成，以便在某些情况下进行回溯分析。</w:t>
      </w:r>
    </w:p>
    <w:p w14:paraId="21355490"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lastRenderedPageBreak/>
        <w:t>动物交配前可以多只动物饲养于一笼，雌性动物交配成功后（检查到阴栓或阴道涂片阳性）应单笼饲养于含垫料的笼具内，其所产F1代同笼饲养至离乳。离乳后的F1代应按组别、性别分笼饲养，如有合理理由亦可单笼饲养。</w:t>
      </w:r>
    </w:p>
    <w:p w14:paraId="15F9CE6A" w14:textId="77777777" w:rsidR="00E5691B" w:rsidRPr="00874C03" w:rsidRDefault="00EC13FE">
      <w:pPr>
        <w:pStyle w:val="af3"/>
        <w:widowControl w:val="0"/>
        <w:numPr>
          <w:ilvl w:val="0"/>
          <w:numId w:val="1"/>
        </w:numPr>
        <w:spacing w:beforeLines="50" w:before="156" w:afterLines="50" w:after="156" w:line="300" w:lineRule="auto"/>
        <w:ind w:hangingChars="200"/>
        <w:jc w:val="both"/>
        <w:rPr>
          <w:rFonts w:ascii="宋体" w:hAnsi="宋体"/>
          <w:szCs w:val="21"/>
        </w:rPr>
      </w:pPr>
      <w:r w:rsidRPr="00874C03">
        <w:rPr>
          <w:rFonts w:ascii="宋体" w:hAnsi="宋体"/>
          <w:szCs w:val="21"/>
        </w:rPr>
        <w:t>暴露途径选择</w:t>
      </w:r>
    </w:p>
    <w:p w14:paraId="2B707188"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应选择与人的可能暴露途径最接近的方式。可根据受试物的物化特性选择合适的暴露途径。</w:t>
      </w:r>
    </w:p>
    <w:p w14:paraId="13C02AA7" w14:textId="77777777" w:rsidR="00E5691B" w:rsidRPr="00874C03" w:rsidRDefault="00EC13FE">
      <w:pPr>
        <w:pStyle w:val="af3"/>
        <w:widowControl w:val="0"/>
        <w:numPr>
          <w:ilvl w:val="0"/>
          <w:numId w:val="1"/>
        </w:numPr>
        <w:spacing w:beforeLines="50" w:before="156" w:afterLines="50" w:after="156" w:line="300" w:lineRule="auto"/>
        <w:ind w:hangingChars="200"/>
        <w:jc w:val="both"/>
        <w:rPr>
          <w:rFonts w:ascii="宋体" w:hAnsi="宋体"/>
          <w:szCs w:val="21"/>
        </w:rPr>
      </w:pPr>
      <w:r w:rsidRPr="00874C03">
        <w:rPr>
          <w:rFonts w:ascii="宋体" w:hAnsi="宋体"/>
          <w:szCs w:val="21"/>
        </w:rPr>
        <w:t>受试物资料分析</w:t>
      </w:r>
    </w:p>
    <w:p w14:paraId="4E30FDA4"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在开始试验前，充分了解受试物的相关信息，如物化性质，毒代动力学（Toxicokinetics, TK，包括物种特异性代谢）特征，毒性效应特征，结构-活性关系，体外代谢过程，已有毒性研究结果和结构类似物等，对于决定受试物的暴露途径、溶媒选择、实验动物种属选择、剂量选择等具有重要意义。</w:t>
      </w:r>
    </w:p>
    <w:p w14:paraId="487F6687" w14:textId="77777777" w:rsidR="00E5691B" w:rsidRPr="00874C03" w:rsidRDefault="00EC13FE">
      <w:pPr>
        <w:spacing w:line="300" w:lineRule="auto"/>
        <w:ind w:firstLineChars="200" w:firstLine="420"/>
        <w:rPr>
          <w:rFonts w:ascii="宋体" w:hAnsi="宋体"/>
          <w:color w:val="2A2B2E"/>
          <w:szCs w:val="21"/>
          <w:shd w:val="clear" w:color="auto" w:fill="FFFFFF"/>
        </w:rPr>
      </w:pPr>
      <w:r w:rsidRPr="00874C03">
        <w:rPr>
          <w:rFonts w:ascii="宋体" w:hAnsi="宋体"/>
          <w:color w:val="2A2B2E"/>
          <w:szCs w:val="21"/>
          <w:shd w:val="clear" w:color="auto" w:fill="FFFFFF"/>
        </w:rPr>
        <w:t>参考先前剂量探索研究中的TK数据对于选择剂量水平和解释结果非常有用。包括：</w:t>
      </w:r>
    </w:p>
    <w:p w14:paraId="5A8D1CBD" w14:textId="157B14B1" w:rsidR="00E5691B" w:rsidRPr="00874C03" w:rsidRDefault="00EC13FE">
      <w:pPr>
        <w:pStyle w:val="af3"/>
        <w:widowControl w:val="0"/>
        <w:numPr>
          <w:ilvl w:val="0"/>
          <w:numId w:val="2"/>
        </w:numPr>
        <w:spacing w:line="300" w:lineRule="auto"/>
        <w:ind w:firstLineChars="0"/>
        <w:jc w:val="both"/>
        <w:rPr>
          <w:rFonts w:ascii="宋体" w:hAnsi="宋体"/>
          <w:szCs w:val="21"/>
        </w:rPr>
      </w:pPr>
      <w:r w:rsidRPr="00874C03">
        <w:rPr>
          <w:rFonts w:ascii="宋体" w:hAnsi="宋体"/>
          <w:color w:val="2A2B2E"/>
          <w:szCs w:val="21"/>
          <w:shd w:val="clear" w:color="auto" w:fill="FFFFFF"/>
        </w:rPr>
        <w:t>已经明确了的关于发育中胎儿和幼</w:t>
      </w:r>
      <w:r w:rsidR="00AB1694" w:rsidRPr="00874C03">
        <w:rPr>
          <w:rFonts w:ascii="宋体" w:hAnsi="宋体"/>
          <w:color w:val="2A2B2E"/>
          <w:szCs w:val="21"/>
          <w:shd w:val="clear" w:color="auto" w:fill="FFFFFF"/>
        </w:rPr>
        <w:t>仔</w:t>
      </w:r>
      <w:r w:rsidRPr="00874C03">
        <w:rPr>
          <w:rFonts w:ascii="宋体" w:hAnsi="宋体"/>
          <w:color w:val="2A2B2E"/>
          <w:szCs w:val="21"/>
          <w:shd w:val="clear" w:color="auto" w:fill="FFFFFF"/>
        </w:rPr>
        <w:t>暴露于受试物</w:t>
      </w:r>
      <w:r w:rsidR="00411AF6" w:rsidRPr="00874C03">
        <w:rPr>
          <w:rFonts w:ascii="宋体" w:hAnsi="宋体"/>
          <w:color w:val="2A2B2E"/>
          <w:szCs w:val="21"/>
          <w:shd w:val="clear" w:color="auto" w:fill="FFFFFF"/>
        </w:rPr>
        <w:t>或其</w:t>
      </w:r>
      <w:r w:rsidRPr="00874C03">
        <w:rPr>
          <w:rFonts w:ascii="宋体" w:hAnsi="宋体"/>
          <w:color w:val="2A2B2E"/>
          <w:szCs w:val="21"/>
          <w:shd w:val="clear" w:color="auto" w:fill="FFFFFF"/>
        </w:rPr>
        <w:t>相关代谢产物的资料；</w:t>
      </w:r>
    </w:p>
    <w:p w14:paraId="72945460" w14:textId="77777777" w:rsidR="00E5691B" w:rsidRPr="00874C03" w:rsidRDefault="00EC13FE">
      <w:pPr>
        <w:pStyle w:val="af3"/>
        <w:widowControl w:val="0"/>
        <w:numPr>
          <w:ilvl w:val="0"/>
          <w:numId w:val="2"/>
        </w:numPr>
        <w:spacing w:line="300" w:lineRule="auto"/>
        <w:ind w:firstLineChars="0"/>
        <w:jc w:val="both"/>
        <w:rPr>
          <w:rFonts w:ascii="宋体" w:hAnsi="宋体"/>
          <w:szCs w:val="21"/>
        </w:rPr>
      </w:pPr>
      <w:r w:rsidRPr="00874C03">
        <w:rPr>
          <w:rFonts w:ascii="宋体" w:hAnsi="宋体"/>
          <w:color w:val="2A2B2E"/>
          <w:szCs w:val="21"/>
          <w:shd w:val="clear" w:color="auto" w:fill="FFFFFF"/>
        </w:rPr>
        <w:t>提供的体内剂量估计值；</w:t>
      </w:r>
    </w:p>
    <w:p w14:paraId="3F75DF49" w14:textId="2DD57709" w:rsidR="00E5691B" w:rsidRPr="00874C03" w:rsidRDefault="00EC13FE">
      <w:pPr>
        <w:pStyle w:val="af3"/>
        <w:widowControl w:val="0"/>
        <w:numPr>
          <w:ilvl w:val="0"/>
          <w:numId w:val="2"/>
        </w:numPr>
        <w:spacing w:line="300" w:lineRule="auto"/>
        <w:ind w:firstLineChars="0"/>
        <w:jc w:val="both"/>
        <w:rPr>
          <w:rFonts w:ascii="宋体" w:hAnsi="宋体"/>
          <w:szCs w:val="21"/>
        </w:rPr>
      </w:pPr>
      <w:r w:rsidRPr="00874C03">
        <w:rPr>
          <w:rFonts w:ascii="宋体" w:hAnsi="宋体"/>
          <w:color w:val="2A2B2E"/>
          <w:szCs w:val="21"/>
          <w:shd w:val="clear" w:color="auto" w:fill="FFFFFF"/>
        </w:rPr>
        <w:t>对潜在的剂量依赖性饱和动力学过程的评估资料。</w:t>
      </w:r>
    </w:p>
    <w:p w14:paraId="2803C977"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如果有其他的TK数据，如代谢物谱、浓度-时间曲线等，也应予以考虑。总的来说，对于设计扩展一代生殖发育毒性试验具有重要参考价值的TK数据来源如下：</w:t>
      </w:r>
    </w:p>
    <w:p w14:paraId="34549AD2" w14:textId="77777777" w:rsidR="00E5691B" w:rsidRPr="00874C03" w:rsidRDefault="00EC13FE">
      <w:pPr>
        <w:pStyle w:val="af3"/>
        <w:widowControl w:val="0"/>
        <w:numPr>
          <w:ilvl w:val="0"/>
          <w:numId w:val="3"/>
        </w:numPr>
        <w:spacing w:line="300" w:lineRule="auto"/>
        <w:ind w:firstLineChars="0"/>
        <w:jc w:val="both"/>
        <w:rPr>
          <w:rFonts w:ascii="宋体" w:hAnsi="宋体"/>
          <w:szCs w:val="21"/>
        </w:rPr>
      </w:pPr>
      <w:r w:rsidRPr="00874C03">
        <w:rPr>
          <w:rFonts w:ascii="宋体" w:hAnsi="宋体"/>
          <w:szCs w:val="21"/>
        </w:rPr>
        <w:t>妊娠晚期（例如GD20）母体和胎儿血样；</w:t>
      </w:r>
    </w:p>
    <w:p w14:paraId="2CC433CC" w14:textId="77777777" w:rsidR="00E5691B" w:rsidRPr="00874C03" w:rsidRDefault="00EC13FE">
      <w:pPr>
        <w:pStyle w:val="af3"/>
        <w:widowControl w:val="0"/>
        <w:numPr>
          <w:ilvl w:val="0"/>
          <w:numId w:val="3"/>
        </w:numPr>
        <w:spacing w:line="300" w:lineRule="auto"/>
        <w:ind w:firstLineChars="0"/>
        <w:jc w:val="both"/>
        <w:rPr>
          <w:rFonts w:ascii="宋体" w:hAnsi="宋体"/>
          <w:szCs w:val="21"/>
        </w:rPr>
      </w:pPr>
      <w:r w:rsidRPr="00874C03">
        <w:rPr>
          <w:rFonts w:ascii="宋体" w:hAnsi="宋体"/>
          <w:szCs w:val="21"/>
        </w:rPr>
        <w:t>哺乳中期（例如PND10）母体和幼仔血样或乳汁；</w:t>
      </w:r>
    </w:p>
    <w:p w14:paraId="7E03D3DA" w14:textId="77777777" w:rsidR="00E5691B" w:rsidRPr="00874C03" w:rsidRDefault="00EC13FE">
      <w:pPr>
        <w:pStyle w:val="af3"/>
        <w:widowControl w:val="0"/>
        <w:numPr>
          <w:ilvl w:val="0"/>
          <w:numId w:val="3"/>
        </w:numPr>
        <w:spacing w:line="300" w:lineRule="auto"/>
        <w:ind w:firstLineChars="0"/>
        <w:jc w:val="both"/>
        <w:rPr>
          <w:rFonts w:ascii="宋体" w:hAnsi="宋体"/>
          <w:szCs w:val="21"/>
        </w:rPr>
      </w:pPr>
      <w:r w:rsidRPr="00874C03">
        <w:rPr>
          <w:rFonts w:ascii="宋体" w:hAnsi="宋体"/>
          <w:szCs w:val="21"/>
        </w:rPr>
        <w:t>离乳早期（离乳PND28）离乳血样。</w:t>
      </w:r>
    </w:p>
    <w:p w14:paraId="73E33B9E" w14:textId="7144589A" w:rsidR="00E5691B" w:rsidRPr="00874C03" w:rsidRDefault="00EC13FE">
      <w:pPr>
        <w:spacing w:line="300" w:lineRule="auto"/>
        <w:ind w:firstLineChars="200" w:firstLine="420"/>
        <w:rPr>
          <w:rFonts w:ascii="宋体" w:hAnsi="宋体"/>
          <w:szCs w:val="21"/>
        </w:rPr>
      </w:pPr>
      <w:r w:rsidRPr="00874C03">
        <w:rPr>
          <w:rFonts w:ascii="宋体" w:hAnsi="宋体"/>
          <w:szCs w:val="21"/>
        </w:rPr>
        <w:lastRenderedPageBreak/>
        <w:t>参考TK数据时，应灵活分析。需注意数据是来自</w:t>
      </w:r>
      <w:r w:rsidR="00CA55B0" w:rsidRPr="00874C03">
        <w:rPr>
          <w:rFonts w:ascii="宋体" w:hAnsi="宋体" w:hint="eastAsia"/>
          <w:szCs w:val="21"/>
        </w:rPr>
        <w:t>受试物</w:t>
      </w:r>
      <w:r w:rsidR="00411AF6" w:rsidRPr="00874C03">
        <w:rPr>
          <w:rFonts w:ascii="宋体" w:hAnsi="宋体" w:hint="eastAsia"/>
          <w:szCs w:val="21"/>
        </w:rPr>
        <w:t>原物</w:t>
      </w:r>
      <w:r w:rsidRPr="00874C03">
        <w:rPr>
          <w:rFonts w:ascii="宋体" w:hAnsi="宋体"/>
          <w:szCs w:val="21"/>
        </w:rPr>
        <w:t>还是代谢产物，基于多少个采样点得出，其暴露途径如何等。</w:t>
      </w:r>
    </w:p>
    <w:p w14:paraId="6F730C1D" w14:textId="77777777" w:rsidR="00E5691B" w:rsidRPr="00874C03" w:rsidRDefault="00EC13FE">
      <w:pPr>
        <w:pStyle w:val="af3"/>
        <w:widowControl w:val="0"/>
        <w:numPr>
          <w:ilvl w:val="0"/>
          <w:numId w:val="1"/>
        </w:numPr>
        <w:spacing w:beforeLines="50" w:before="156" w:afterLines="50" w:after="156" w:line="300" w:lineRule="auto"/>
        <w:ind w:hangingChars="200"/>
        <w:jc w:val="both"/>
        <w:rPr>
          <w:rFonts w:ascii="宋体" w:hAnsi="宋体"/>
          <w:szCs w:val="21"/>
        </w:rPr>
      </w:pPr>
      <w:r w:rsidRPr="00874C03">
        <w:rPr>
          <w:rFonts w:ascii="宋体" w:hAnsi="宋体"/>
          <w:szCs w:val="21"/>
        </w:rPr>
        <w:t>剂量和分组</w:t>
      </w:r>
    </w:p>
    <w:p w14:paraId="2BA4AE25" w14:textId="77777777" w:rsidR="00E5691B" w:rsidRPr="00874C03" w:rsidRDefault="00EC13FE">
      <w:pPr>
        <w:pStyle w:val="af3"/>
        <w:widowControl w:val="0"/>
        <w:numPr>
          <w:ilvl w:val="1"/>
          <w:numId w:val="1"/>
        </w:numPr>
        <w:tabs>
          <w:tab w:val="clear" w:pos="284"/>
          <w:tab w:val="left" w:pos="567"/>
        </w:tabs>
        <w:spacing w:beforeLines="50" w:before="156" w:afterLines="50" w:after="156" w:line="300" w:lineRule="auto"/>
        <w:ind w:left="0" w:firstLineChars="0" w:firstLine="0"/>
        <w:jc w:val="both"/>
        <w:rPr>
          <w:rFonts w:ascii="宋体" w:hAnsi="宋体"/>
          <w:szCs w:val="21"/>
        </w:rPr>
      </w:pPr>
      <w:r w:rsidRPr="00874C03">
        <w:rPr>
          <w:rFonts w:ascii="宋体" w:hAnsi="宋体"/>
          <w:szCs w:val="21"/>
        </w:rPr>
        <w:t>常规剂量设计</w:t>
      </w:r>
    </w:p>
    <w:p w14:paraId="67B993C9"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通常情况下，设置3个剂量组和1个溶媒对照组较为合适。剂量水平的选择应参考已有毒理资料，如非妊娠动物的TK数据，受试物的血乳屏障透过率，人体暴露估计等。在有</w:t>
      </w:r>
      <w:bookmarkStart w:id="199" w:name="OLE_LINK3"/>
      <w:r w:rsidRPr="00874C03">
        <w:rPr>
          <w:rFonts w:ascii="宋体" w:hAnsi="宋体"/>
          <w:szCs w:val="21"/>
        </w:rPr>
        <w:t>TK</w:t>
      </w:r>
      <w:bookmarkEnd w:id="199"/>
      <w:r w:rsidRPr="00874C03">
        <w:rPr>
          <w:rFonts w:ascii="宋体" w:hAnsi="宋体"/>
          <w:szCs w:val="21"/>
        </w:rPr>
        <w:t>数据的情况下，若受试物具有剂量依赖性饱和特征且人的暴露量远低于此，那么所选高剂量应避免出现饱和，比较合适的高剂量应为向非线性转变的拐点。在缺乏TK数据支持的情况下，剂量水平的选择应基于受试物的毒性，如高剂量应产生一定程度的全身毒性，但不致死或造成动物严重的痛苦。</w:t>
      </w:r>
    </w:p>
    <w:p w14:paraId="556777C2"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在高剂量以下按等比关系设置中低剂量，低剂量应能够确定NOAEL或可以用于推导基准剂量（Bench mark dose, BMD）。为避免NOAELs和LOAELs间距过宽，2-4倍的剂量间距较为合适，不宜采用过大的间距，如拟设间距超过10，则应采用增加剂量组的方法以降低间距。</w:t>
      </w:r>
    </w:p>
    <w:p w14:paraId="7D6A4356"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若有溶媒对照，溶媒对照应采用受试物处理组用到的最大体积作为本组动物的给予体积。</w:t>
      </w:r>
    </w:p>
    <w:p w14:paraId="70A62FBA" w14:textId="77777777" w:rsidR="00E5691B" w:rsidRPr="00874C03" w:rsidRDefault="00EC13FE">
      <w:pPr>
        <w:pStyle w:val="af3"/>
        <w:widowControl w:val="0"/>
        <w:numPr>
          <w:ilvl w:val="1"/>
          <w:numId w:val="1"/>
        </w:numPr>
        <w:tabs>
          <w:tab w:val="clear" w:pos="284"/>
          <w:tab w:val="left" w:pos="567"/>
        </w:tabs>
        <w:spacing w:beforeLines="50" w:before="156" w:afterLines="50" w:after="156" w:line="300" w:lineRule="auto"/>
        <w:ind w:left="0" w:firstLineChars="0" w:firstLine="0"/>
        <w:jc w:val="both"/>
        <w:rPr>
          <w:rFonts w:ascii="宋体" w:hAnsi="宋体"/>
          <w:szCs w:val="21"/>
        </w:rPr>
      </w:pPr>
      <w:r w:rsidRPr="00874C03">
        <w:rPr>
          <w:rFonts w:ascii="宋体" w:hAnsi="宋体"/>
          <w:szCs w:val="21"/>
        </w:rPr>
        <w:t>限制剂量试验</w:t>
      </w:r>
    </w:p>
    <w:p w14:paraId="3281EB95" w14:textId="77777777" w:rsidR="00E5691B" w:rsidRPr="00874C03" w:rsidRDefault="00EC13FE">
      <w:pPr>
        <w:spacing w:line="300" w:lineRule="auto"/>
        <w:ind w:firstLineChars="200" w:firstLine="420"/>
        <w:rPr>
          <w:rFonts w:ascii="宋体" w:hAnsi="宋体"/>
          <w:szCs w:val="21"/>
        </w:rPr>
      </w:pPr>
      <w:r w:rsidRPr="00874C03">
        <w:rPr>
          <w:rFonts w:ascii="宋体" w:hAnsi="宋体" w:hint="eastAsia"/>
          <w:szCs w:val="21"/>
        </w:rPr>
        <w:t>人的可能暴露水平低于</w:t>
      </w:r>
      <w:r w:rsidRPr="00874C03">
        <w:rPr>
          <w:rFonts w:ascii="宋体" w:hAnsi="宋体"/>
          <w:szCs w:val="21"/>
        </w:rPr>
        <w:t>1000 mg/kg</w:t>
      </w:r>
      <w:r w:rsidR="00B1346D" w:rsidRPr="00874C03">
        <w:rPr>
          <w:rFonts w:ascii="宋体" w:hAnsi="宋体" w:hint="eastAsia"/>
          <w:szCs w:val="21"/>
        </w:rPr>
        <w:t>是开展</w:t>
      </w:r>
      <w:r w:rsidRPr="00874C03">
        <w:rPr>
          <w:rFonts w:ascii="宋体" w:hAnsi="宋体" w:hint="eastAsia"/>
          <w:szCs w:val="21"/>
        </w:rPr>
        <w:t>限制剂量试验</w:t>
      </w:r>
      <w:r w:rsidR="00B1346D" w:rsidRPr="00874C03">
        <w:rPr>
          <w:rFonts w:ascii="宋体" w:hAnsi="宋体" w:hint="eastAsia"/>
          <w:szCs w:val="21"/>
        </w:rPr>
        <w:t>的前提条件</w:t>
      </w:r>
      <w:r w:rsidRPr="00874C03">
        <w:rPr>
          <w:rFonts w:ascii="宋体" w:hAnsi="宋体" w:hint="eastAsia"/>
          <w:szCs w:val="21"/>
        </w:rPr>
        <w:t>。</w:t>
      </w:r>
      <w:r w:rsidRPr="00874C03">
        <w:rPr>
          <w:rFonts w:ascii="宋体" w:hAnsi="宋体"/>
          <w:szCs w:val="21"/>
        </w:rPr>
        <w:t>在重复剂量毒性试验中低于1000 mg/kg的情况下无毒性表征，或者无结构或代谢类似物的相关资料，那么仅设计1000 mg/kg的单剂量水平已足够。若在此剂量水平观察到生殖发育毒性，则需要在更低剂量水平确定NOAEL。</w:t>
      </w:r>
    </w:p>
    <w:p w14:paraId="3D377418" w14:textId="77777777" w:rsidR="00E5691B" w:rsidRPr="00874C03" w:rsidRDefault="00EC13FE">
      <w:pPr>
        <w:pStyle w:val="af3"/>
        <w:widowControl w:val="0"/>
        <w:numPr>
          <w:ilvl w:val="0"/>
          <w:numId w:val="1"/>
        </w:numPr>
        <w:spacing w:beforeLines="50" w:before="156" w:afterLines="50" w:after="156" w:line="300" w:lineRule="auto"/>
        <w:ind w:hangingChars="200"/>
        <w:jc w:val="both"/>
        <w:rPr>
          <w:rFonts w:ascii="宋体" w:hAnsi="宋体"/>
          <w:szCs w:val="21"/>
        </w:rPr>
      </w:pPr>
      <w:r w:rsidRPr="00874C03">
        <w:rPr>
          <w:rFonts w:ascii="宋体" w:hAnsi="宋体"/>
          <w:szCs w:val="21"/>
        </w:rPr>
        <w:lastRenderedPageBreak/>
        <w:t>试验内容</w:t>
      </w:r>
    </w:p>
    <w:p w14:paraId="136D82B4" w14:textId="77777777" w:rsidR="00E5691B" w:rsidRPr="00874C03" w:rsidRDefault="00EC13FE">
      <w:pPr>
        <w:pStyle w:val="af3"/>
        <w:widowControl w:val="0"/>
        <w:numPr>
          <w:ilvl w:val="1"/>
          <w:numId w:val="1"/>
        </w:numPr>
        <w:tabs>
          <w:tab w:val="clear" w:pos="284"/>
          <w:tab w:val="left" w:pos="567"/>
        </w:tabs>
        <w:spacing w:beforeLines="50" w:before="156" w:afterLines="50" w:after="156" w:line="300" w:lineRule="auto"/>
        <w:ind w:left="0" w:firstLineChars="0" w:firstLine="0"/>
        <w:jc w:val="both"/>
        <w:rPr>
          <w:rFonts w:ascii="宋体" w:hAnsi="宋体"/>
          <w:szCs w:val="21"/>
        </w:rPr>
      </w:pPr>
      <w:r w:rsidRPr="00874C03">
        <w:rPr>
          <w:rFonts w:ascii="宋体" w:hAnsi="宋体"/>
          <w:szCs w:val="21"/>
        </w:rPr>
        <w:t>试验步骤</w:t>
      </w:r>
    </w:p>
    <w:p w14:paraId="6B3BFFE4"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F0的雌雄动物均应于交配前2周开始接受受试物处理，并一直持续至子一代（F1）离乳。其中，用于评价精子活力、睾丸和附睾组织病理变化的F0雄性动物应至少保证10周的暴露期。（流程见附图）</w:t>
      </w:r>
    </w:p>
    <w:p w14:paraId="77D4B91F" w14:textId="16A3BA57" w:rsidR="00E5691B" w:rsidRPr="00874C03" w:rsidRDefault="00EC13FE">
      <w:pPr>
        <w:spacing w:line="300" w:lineRule="auto"/>
        <w:ind w:firstLineChars="200" w:firstLine="420"/>
        <w:rPr>
          <w:rFonts w:ascii="宋体" w:hAnsi="宋体"/>
          <w:szCs w:val="21"/>
        </w:rPr>
      </w:pPr>
      <w:r w:rsidRPr="00874C03">
        <w:rPr>
          <w:rFonts w:ascii="宋体" w:hAnsi="宋体"/>
          <w:szCs w:val="21"/>
        </w:rPr>
        <w:t>F1代动物一般情况下在离乳时接受受试物处理，但是如果有资料显示受试物具有较差的血乳屏障透过率或不能明确受试物</w:t>
      </w:r>
      <w:r w:rsidR="00CA55B0" w:rsidRPr="00874C03">
        <w:rPr>
          <w:rFonts w:ascii="宋体" w:hAnsi="宋体" w:hint="eastAsia"/>
          <w:szCs w:val="21"/>
        </w:rPr>
        <w:t>是否</w:t>
      </w:r>
      <w:r w:rsidRPr="00874C03">
        <w:rPr>
          <w:rFonts w:ascii="宋体" w:hAnsi="宋体"/>
          <w:szCs w:val="21"/>
        </w:rPr>
        <w:t>能透过血乳屏障，则应考虑在哺乳期直接对F1代动物进行受试物处理并一直持续至解剖。F1代动物在离乳时（PND21）随机从每窝选取一雌一雄用于初步评估F1的生殖系统毒性和全身毒性（序列1A）。在满足触发条件的情况下，需要额外选取F1开展其它子代潜在毒性测试，如：潜在生殖毒性的追加评价（1B）、潜在神经发育毒性（2A&amp;2B）、潜在发育免疫毒性（3）。</w:t>
      </w:r>
    </w:p>
    <w:p w14:paraId="36CEDEA9"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序列1A用于初步评估F1生殖系统和全身毒性，每窝一雌一雄；</w:t>
      </w:r>
    </w:p>
    <w:p w14:paraId="3940D1BC"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序列1B在需要开展进一步生殖毒性研究时，交配产生F2 以在受试物具有疑似生殖或内分泌毒性的情况下，或当队列1A的结果不明确时，获得额外的组织病理学数据，每窝一雌一雄。</w:t>
      </w:r>
    </w:p>
    <w:p w14:paraId="06BAF90F"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序列2A用于神经行为学及神经组织病理研究，每窝一雌一雄；</w:t>
      </w:r>
    </w:p>
    <w:p w14:paraId="4DF16D2B"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序列2B用于离乳时的神经组织病理研究，每窝一雌一雄；</w:t>
      </w:r>
    </w:p>
    <w:p w14:paraId="41F5F7B8"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序列3用于发育免疫毒性研究，每窝一雌一雄。</w:t>
      </w:r>
    </w:p>
    <w:p w14:paraId="142D134E"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试验流程见附图。以上序列中1A为必选，其余序列均有对应的触发条件，具体见附表。</w:t>
      </w:r>
    </w:p>
    <w:p w14:paraId="204A596D" w14:textId="77777777" w:rsidR="00E5691B" w:rsidRPr="00874C03" w:rsidRDefault="00EC13FE">
      <w:pPr>
        <w:pStyle w:val="af3"/>
        <w:widowControl w:val="0"/>
        <w:numPr>
          <w:ilvl w:val="1"/>
          <w:numId w:val="1"/>
        </w:numPr>
        <w:tabs>
          <w:tab w:val="clear" w:pos="284"/>
          <w:tab w:val="left" w:pos="567"/>
        </w:tabs>
        <w:spacing w:beforeLines="50" w:before="156" w:afterLines="50" w:after="156" w:line="300" w:lineRule="auto"/>
        <w:ind w:left="0" w:firstLineChars="0" w:firstLine="0"/>
        <w:jc w:val="both"/>
        <w:rPr>
          <w:rFonts w:ascii="宋体" w:hAnsi="宋体"/>
          <w:szCs w:val="21"/>
        </w:rPr>
      </w:pPr>
      <w:r w:rsidRPr="00874C03">
        <w:rPr>
          <w:rFonts w:ascii="宋体" w:hAnsi="宋体"/>
          <w:szCs w:val="21"/>
        </w:rPr>
        <w:t>交配</w:t>
      </w:r>
    </w:p>
    <w:p w14:paraId="5F556604"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lastRenderedPageBreak/>
        <w:t>同剂量组的雌雄大鼠按1:1进行交配，交配最多持续2周。通过在早晨检查阴栓或阴道涂片来确定交配成功与否，一旦确定交配成功的雌性应单独饲养，并把发现交配成功的当天定为妊娠第0天（G0）。如若交配不成功，应选择同组已成功交配的其它雄性继续交配，配对信息应准确记录。</w:t>
      </w:r>
    </w:p>
    <w:p w14:paraId="6A3782DD"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在离乳动物中，从每窝选取至少一雌一雄在性成熟后进行交配且交配应在同组不同窝间开展。F1的选取应遵循随机原则，但体重不应低于每窝平均体重两个标准差。</w:t>
      </w:r>
    </w:p>
    <w:p w14:paraId="6EA44933"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通常情况下不推荐进行二次交配，因为二次交配将丢失着床信息。但是，如出现受试物相关的窝产仔数变化或第一次交配中观察到可疑的结果，仍建议F0或F1再次交配。同时，也建议将未成功怀孕的雌性动物与能正常生育的雄性进行二次交配，以确证雌性生育力。二次交配的时间应选在最后一胎离乳后大约一周左右。</w:t>
      </w:r>
    </w:p>
    <w:p w14:paraId="2F991F77" w14:textId="77777777" w:rsidR="00E5691B" w:rsidRPr="00874C03" w:rsidRDefault="00EC13FE">
      <w:pPr>
        <w:pStyle w:val="af3"/>
        <w:widowControl w:val="0"/>
        <w:numPr>
          <w:ilvl w:val="1"/>
          <w:numId w:val="1"/>
        </w:numPr>
        <w:tabs>
          <w:tab w:val="clear" w:pos="284"/>
          <w:tab w:val="left" w:pos="567"/>
        </w:tabs>
        <w:spacing w:beforeLines="50" w:before="156" w:afterLines="50" w:after="156" w:line="300" w:lineRule="auto"/>
        <w:ind w:left="0" w:firstLineChars="0" w:firstLine="0"/>
        <w:jc w:val="both"/>
        <w:rPr>
          <w:rFonts w:ascii="宋体" w:hAnsi="宋体"/>
          <w:szCs w:val="21"/>
        </w:rPr>
      </w:pPr>
      <w:r w:rsidRPr="00874C03">
        <w:rPr>
          <w:rFonts w:ascii="宋体" w:hAnsi="宋体"/>
          <w:szCs w:val="21"/>
        </w:rPr>
        <w:t>窝的标准化</w:t>
      </w:r>
    </w:p>
    <w:p w14:paraId="2058EE7A"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在出生后第4天，通过随机选择调整窝的大小，尽可能达到每窝每性别5只，若难以达到，做部分调整也可接受（例如：4只雌性和6只雄性）。窝的标准化应注意不以体重及肛殖距（AGD）为依据。</w:t>
      </w:r>
    </w:p>
    <w:p w14:paraId="0EC1746C" w14:textId="77777777" w:rsidR="00E5691B" w:rsidRPr="00874C03" w:rsidRDefault="00EC13FE">
      <w:pPr>
        <w:pStyle w:val="af3"/>
        <w:widowControl w:val="0"/>
        <w:numPr>
          <w:ilvl w:val="1"/>
          <w:numId w:val="1"/>
        </w:numPr>
        <w:tabs>
          <w:tab w:val="clear" w:pos="284"/>
          <w:tab w:val="left" w:pos="567"/>
        </w:tabs>
        <w:spacing w:beforeLines="50" w:before="156" w:afterLines="50" w:after="156" w:line="300" w:lineRule="auto"/>
        <w:ind w:left="0" w:firstLineChars="0" w:firstLine="0"/>
        <w:jc w:val="both"/>
        <w:rPr>
          <w:rFonts w:ascii="宋体" w:hAnsi="宋体"/>
          <w:szCs w:val="21"/>
        </w:rPr>
      </w:pPr>
      <w:r w:rsidRPr="00874C03">
        <w:rPr>
          <w:rFonts w:ascii="宋体" w:hAnsi="宋体"/>
          <w:szCs w:val="21"/>
        </w:rPr>
        <w:t>临床观察</w:t>
      </w:r>
    </w:p>
    <w:p w14:paraId="2E9C0C42"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每天至少1次临床观察，观察的时机应考虑与血浆峰浓度相关的毒性症状出现的时间，观察内容包括但不限于行为改变，难产或分娩时间过长，妊娠天数及其它毒性症状。离乳后，每周至少1次更为详细的临床观察可在称重时进行，观察内容包括但不限于：皮肤、毛发、眼睛、粘膜的变化，分泌、排泄的发生以及自主活动情况，步态、姿势、对外界刺激的反应，是否有痉挛、肌肉强直，刻板症等。每天至少2次的笼旁观察主要观察动物严重的毒性反应、患病和死亡。</w:t>
      </w:r>
    </w:p>
    <w:p w14:paraId="338EFC38"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lastRenderedPageBreak/>
        <w:t>出生当天，尽快进行检查幼仔的数量、性别、存活与否以及是否存在明显外观异常（包括腭裂、皮下出血、皮肤颜色或质地异常、脐带存在与否、腹部奶斑、是否存在干结分泌物）。此外，新生幼仔的初次临床检查应包括体温、活动状态和对刺激的反应。对死亡幼仔应检查可能存在的缺陷和死亡原因。</w:t>
      </w:r>
    </w:p>
    <w:p w14:paraId="0F6ECBAF"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存活幼仔在PND0到PND4期间测量一次肛殖距（AGD）并定期测量体重，至少应在PND0（PND1）、PND4、PND7、PNF14、PND21各测量1次。肛殖距的测量最好选在体重测量的同一天进行，以减少对幼仔的影响，同时用肛殖距除以体重立方根以标准化该数据。PND12或PND13检查幼仔是否出现乳头或乳晕。</w:t>
      </w:r>
    </w:p>
    <w:p w14:paraId="2888BC29"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从PND0（PND1）开始，每天至少1次临床观察，观察的时机应考虑与血药峰浓度相关的毒性症状出现的时间，观察内容包括但不限于行为改变，难产或分娩时间过长，其它毒性症状。离乳后，每周至少1次更为详细的临床观察可在称重时进行，观察内容包括但不限于：皮肤、毛发、眼睛、粘膜的变化，分泌、排泄的发生以及自主活动情况，步态、姿势、对外界刺激的反应，是否有痉挛、肌肉强直，刻板症等。每天至少2次的笼旁观察主要观察动物严重的毒性反应、患病和死亡。</w:t>
      </w:r>
    </w:p>
    <w:p w14:paraId="20A74497"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所有选入序列的F1动物应观察其包皮龟头分离和阴道口张开的日期，通过时间长短比较性成熟是否提前，同时结合年龄和体重分析，以反映F1身体发育与性成熟是否相称。动物成长过程中观察到的任何的生殖器官异常均应被记录。</w:t>
      </w:r>
    </w:p>
    <w:p w14:paraId="4BFF2A93" w14:textId="77777777" w:rsidR="00E5691B" w:rsidRPr="00874C03" w:rsidRDefault="00EC13FE">
      <w:pPr>
        <w:pStyle w:val="af3"/>
        <w:widowControl w:val="0"/>
        <w:numPr>
          <w:ilvl w:val="1"/>
          <w:numId w:val="1"/>
        </w:numPr>
        <w:tabs>
          <w:tab w:val="clear" w:pos="284"/>
          <w:tab w:val="left" w:pos="567"/>
        </w:tabs>
        <w:spacing w:beforeLines="50" w:before="156" w:afterLines="50" w:after="156" w:line="300" w:lineRule="auto"/>
        <w:ind w:left="0" w:firstLineChars="0" w:firstLine="0"/>
        <w:jc w:val="both"/>
        <w:rPr>
          <w:rFonts w:ascii="宋体" w:hAnsi="宋体"/>
          <w:szCs w:val="21"/>
        </w:rPr>
      </w:pPr>
      <w:r w:rsidRPr="00874C03">
        <w:rPr>
          <w:rFonts w:ascii="宋体" w:hAnsi="宋体"/>
          <w:szCs w:val="21"/>
        </w:rPr>
        <w:t>体重、摄食及饮水测量</w:t>
      </w:r>
    </w:p>
    <w:p w14:paraId="17111B74"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首次给予受试物当天和最终解剖前应称重一次，试验期间每周称重一次。需注意的是，哺乳期的雌性动物称重应与子代称重安排在同一天，其中PND4亲代可以不称重。试验期间，每周称重当天测量食物消耗，若通过饮水给予受试物则还应测量饮水消耗，但动物合笼期间可以不测量。</w:t>
      </w:r>
    </w:p>
    <w:p w14:paraId="0656E0A6"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lastRenderedPageBreak/>
        <w:t>离乳当天称重（PND21）所有存活F1，之后分别在PND4、PND7、PND14、PND21称重，其中几个重要节点均需称重，包括雄性包皮龟头分离、雌性阴道口张开及解剖当日。试验期间，每周称重当天测量食物消耗。若通过饮水给予受试物则还应测量饮水消耗，但动物合笼期间可以不测量。</w:t>
      </w:r>
    </w:p>
    <w:p w14:paraId="4DF4F9ED" w14:textId="77777777" w:rsidR="00E5691B" w:rsidRPr="00874C03" w:rsidRDefault="00EC13FE">
      <w:pPr>
        <w:pStyle w:val="af3"/>
        <w:widowControl w:val="0"/>
        <w:numPr>
          <w:ilvl w:val="1"/>
          <w:numId w:val="1"/>
        </w:numPr>
        <w:tabs>
          <w:tab w:val="clear" w:pos="284"/>
          <w:tab w:val="left" w:pos="567"/>
        </w:tabs>
        <w:spacing w:beforeLines="50" w:before="156" w:afterLines="50" w:after="156" w:line="300" w:lineRule="auto"/>
        <w:ind w:left="0" w:firstLineChars="0" w:firstLine="0"/>
        <w:jc w:val="both"/>
        <w:rPr>
          <w:rFonts w:ascii="宋体" w:hAnsi="宋体"/>
          <w:szCs w:val="21"/>
        </w:rPr>
      </w:pPr>
      <w:r w:rsidRPr="00874C03">
        <w:rPr>
          <w:rFonts w:ascii="宋体" w:hAnsi="宋体"/>
          <w:szCs w:val="21"/>
        </w:rPr>
        <w:t>动情周期</w:t>
      </w:r>
    </w:p>
    <w:p w14:paraId="4A24C6B9"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动情周期通过阴道涂片反映。若在接受受试物处理前经过动情周期的筛查，则从接受受试物处理开始直至确认交配成功或交配期结束每日检查阴道涂片，但是，如果可能存在非特异性影响（如急性应激或摄食减少），则可将首次受试物处理前移2周。需要注意的是，若雌性首次受试物处理前移2周，则雄性也相应的需要前移2周。</w:t>
      </w:r>
    </w:p>
    <w:p w14:paraId="7FE887F0" w14:textId="6607FEF5" w:rsidR="00E5691B" w:rsidRPr="00874C03" w:rsidRDefault="00EC13FE">
      <w:pPr>
        <w:spacing w:line="300" w:lineRule="auto"/>
        <w:ind w:firstLineChars="200" w:firstLine="420"/>
        <w:rPr>
          <w:rFonts w:ascii="宋体" w:hAnsi="宋体"/>
          <w:szCs w:val="21"/>
        </w:rPr>
      </w:pPr>
      <w:r w:rsidRPr="00874C03">
        <w:rPr>
          <w:rFonts w:ascii="宋体" w:hAnsi="宋体"/>
          <w:szCs w:val="21"/>
        </w:rPr>
        <w:t>1A序列的雌性动物从阴道口张开后开始观察阴道涂片，直至在阴道涂片中观察到角化上皮为止，以记录整个时间段长度。另外，为监测动情周期，从PND 75左右开始进行为期两周的阴道涂片观察。</w:t>
      </w:r>
      <w:r w:rsidR="00411AF6" w:rsidRPr="00874C03">
        <w:rPr>
          <w:rFonts w:ascii="宋体" w:hAnsi="宋体"/>
          <w:szCs w:val="21"/>
        </w:rPr>
        <w:t>1B</w:t>
      </w:r>
      <w:r w:rsidRPr="00874C03">
        <w:rPr>
          <w:rFonts w:ascii="宋体" w:hAnsi="宋体"/>
          <w:szCs w:val="21"/>
        </w:rPr>
        <w:t>序列的雌性动物在需要交配以产生F2的情况下，从交配期开始，直到发现交配成功或2周的交配期结束为止也需要持续观察阴道涂片以监测动情周期。</w:t>
      </w:r>
    </w:p>
    <w:p w14:paraId="16B3EF23" w14:textId="77777777" w:rsidR="00E5691B" w:rsidRPr="00874C03" w:rsidRDefault="00EC13FE">
      <w:pPr>
        <w:pStyle w:val="af3"/>
        <w:widowControl w:val="0"/>
        <w:numPr>
          <w:ilvl w:val="1"/>
          <w:numId w:val="1"/>
        </w:numPr>
        <w:tabs>
          <w:tab w:val="clear" w:pos="284"/>
          <w:tab w:val="left" w:pos="567"/>
        </w:tabs>
        <w:spacing w:beforeLines="50" w:before="156" w:afterLines="50" w:after="156" w:line="300" w:lineRule="auto"/>
        <w:ind w:left="0" w:firstLineChars="0" w:firstLine="0"/>
        <w:jc w:val="both"/>
        <w:rPr>
          <w:rFonts w:ascii="宋体" w:hAnsi="宋体"/>
          <w:szCs w:val="21"/>
        </w:rPr>
      </w:pPr>
      <w:r w:rsidRPr="00874C03">
        <w:rPr>
          <w:rFonts w:ascii="宋体" w:hAnsi="宋体"/>
          <w:szCs w:val="21"/>
        </w:rPr>
        <w:t>血液学及血生化</w:t>
      </w:r>
    </w:p>
    <w:p w14:paraId="0FE9C964"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解剖前1天开始禁食，至解剖时禁食约16 hr。推荐采用麻醉后放血的安乐死方法，以便采集血样检测相关指标。动物麻醉后从腹主动脉进针采血，各组至少随机选取10份（雌雄各半）血样分别用于血液学（至少包括：红细胞压积，血红蛋白浓度，红细胞计数，总白细胞计数和白细胞分类计数，血小板计数和凝血时间/趋势）、血生化（至少应包括：葡萄糖、总胆固醇、尿素、肌酐、总蛋白、白蛋白和至少两种肝功能酶（如丙氨酸转氨酶、天冬氨酸转氨酶、碱性磷酸酶、谷氨酰转肽酶和山梨醇脱氢酶）及甲状腺素/促甲</w:t>
      </w:r>
      <w:r w:rsidRPr="00874C03">
        <w:rPr>
          <w:rFonts w:ascii="宋体" w:hAnsi="宋体"/>
          <w:szCs w:val="21"/>
        </w:rPr>
        <w:lastRenderedPageBreak/>
        <w:t>状腺素（T4/TSH）分析，剩余血样经适当的处理后可予以保存，以便在需要对相关结果进行确证时可以再次检测。若已知受试物能诱导血液其它相关改变，也可以增加考察内容。若需要进行第二次交配，血样采集应安排在交配前进行。</w:t>
      </w:r>
    </w:p>
    <w:p w14:paraId="16DFB33C" w14:textId="77777777" w:rsidR="00E5691B" w:rsidRPr="00874C03" w:rsidRDefault="00EC13FE">
      <w:pPr>
        <w:pStyle w:val="af3"/>
        <w:widowControl w:val="0"/>
        <w:numPr>
          <w:ilvl w:val="1"/>
          <w:numId w:val="1"/>
        </w:numPr>
        <w:tabs>
          <w:tab w:val="clear" w:pos="284"/>
          <w:tab w:val="left" w:pos="567"/>
        </w:tabs>
        <w:spacing w:beforeLines="50" w:before="156" w:afterLines="50" w:after="156" w:line="300" w:lineRule="auto"/>
        <w:ind w:left="0" w:firstLineChars="0" w:firstLine="0"/>
        <w:jc w:val="both"/>
        <w:rPr>
          <w:rFonts w:ascii="宋体" w:hAnsi="宋体"/>
          <w:szCs w:val="21"/>
        </w:rPr>
      </w:pPr>
      <w:r w:rsidRPr="00874C03">
        <w:rPr>
          <w:rFonts w:ascii="宋体" w:hAnsi="宋体"/>
          <w:szCs w:val="21"/>
        </w:rPr>
        <w:t>尿液分析</w:t>
      </w:r>
    </w:p>
    <w:p w14:paraId="1EEBB73A"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在解剖前收集尿液或在解剖时从膀胱收集尿液分析，具体参数包括：尿量、颜色、透明度、渗透性、比重、pH值、蛋白质、葡萄糖、隐血、血细胞、细胞碎片。除检测以上参数外，收集的尿液也可用于分析受试物的代谢和排泄。若重复毒性研究中已明确受试物不改变尿液参数，则可以不分析尿液。</w:t>
      </w:r>
    </w:p>
    <w:p w14:paraId="53E0E8E9" w14:textId="77777777" w:rsidR="00E5691B" w:rsidRPr="00874C03" w:rsidRDefault="00EC13FE">
      <w:pPr>
        <w:pStyle w:val="af3"/>
        <w:widowControl w:val="0"/>
        <w:numPr>
          <w:ilvl w:val="1"/>
          <w:numId w:val="1"/>
        </w:numPr>
        <w:tabs>
          <w:tab w:val="clear" w:pos="284"/>
          <w:tab w:val="left" w:pos="567"/>
        </w:tabs>
        <w:spacing w:beforeLines="50" w:before="156" w:afterLines="50" w:after="156" w:line="300" w:lineRule="auto"/>
        <w:ind w:left="0" w:firstLineChars="0" w:firstLine="0"/>
        <w:jc w:val="both"/>
        <w:rPr>
          <w:rFonts w:ascii="宋体" w:hAnsi="宋体"/>
          <w:szCs w:val="21"/>
        </w:rPr>
      </w:pPr>
      <w:r w:rsidRPr="00874C03">
        <w:rPr>
          <w:rFonts w:ascii="宋体" w:hAnsi="宋体"/>
          <w:szCs w:val="21"/>
        </w:rPr>
        <w:t>精子参数</w:t>
      </w:r>
    </w:p>
    <w:p w14:paraId="76541F5D"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所有雄性均应检测精子参数，但是有90天的研究资料表明受试物对精子参数无影响，则可以免除检测。解剖时，将附睾称重后，一侧附睾留作组织病理检查，从另一侧附睾的尾部取精子样本用于精子计数、精子活力及形态分析。其中，用于精子形态分析的样本可以是湿样本，也可以是固定样本。精子形态分析应至少观察200个精子，将其分为正常（头、颈、尾均正常）和异常（头部融合、断头、头部异形、尾部异形）。</w:t>
      </w:r>
    </w:p>
    <w:p w14:paraId="14442222"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所有1A序列的雄性F1均应检测精子参数。解剖时，附睾称重后，一侧附睾留作组织病理检查，从另一侧附睾的尾部取精子样本用于精子计数、精子活力及形态分析。其中，用于精子形态分析的样本可以是湿样本，也可以是固定样本。精子形态分析应至少观察200个精子，将其分为正常（头、颈、尾均正常）和异常（头部融合、断头、头部异形、尾部异形）。</w:t>
      </w:r>
    </w:p>
    <w:p w14:paraId="14DE22D5"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lastRenderedPageBreak/>
        <w:t>若拟分析精子样本来自于解剖时及时冻存的样本或固定后的涂片，抑或直接采用精子分析仪等计算机辅助系统及时采集样本图像分析，那么精子参数的分析可仅限于高剂量组和对照组，仅在有受试物相关性时拓展至更低的剂量组。</w:t>
      </w:r>
    </w:p>
    <w:p w14:paraId="28EB0CDD" w14:textId="77777777" w:rsidR="00E5691B" w:rsidRPr="00874C03" w:rsidRDefault="00EC13FE">
      <w:pPr>
        <w:pStyle w:val="af3"/>
        <w:widowControl w:val="0"/>
        <w:numPr>
          <w:ilvl w:val="1"/>
          <w:numId w:val="1"/>
        </w:numPr>
        <w:tabs>
          <w:tab w:val="clear" w:pos="284"/>
          <w:tab w:val="left" w:pos="567"/>
        </w:tabs>
        <w:spacing w:beforeLines="50" w:before="156" w:afterLines="50" w:after="156" w:line="300" w:lineRule="auto"/>
        <w:ind w:left="0" w:firstLineChars="0" w:firstLine="0"/>
        <w:jc w:val="both"/>
        <w:rPr>
          <w:rFonts w:ascii="宋体" w:hAnsi="宋体"/>
          <w:szCs w:val="21"/>
        </w:rPr>
      </w:pPr>
      <w:r w:rsidRPr="00874C03">
        <w:rPr>
          <w:rFonts w:ascii="宋体" w:hAnsi="宋体"/>
          <w:szCs w:val="21"/>
        </w:rPr>
        <w:t>解剖及病理</w:t>
      </w:r>
    </w:p>
    <w:p w14:paraId="5C5938B3"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F0称重并安乐死后，摘取以下脏器并称重：</w:t>
      </w:r>
    </w:p>
    <w:p w14:paraId="65E110A1"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子宫（含输卵管和子宫颈）、卵巢；</w:t>
      </w:r>
    </w:p>
    <w:p w14:paraId="0647D605"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睾丸、附睾（整个）；</w:t>
      </w:r>
    </w:p>
    <w:p w14:paraId="0CEA3604"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前列腺（包含背外侧、复侧部）；</w:t>
      </w:r>
    </w:p>
    <w:p w14:paraId="1026F3C6"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精囊腺和凝固腺；</w:t>
      </w:r>
    </w:p>
    <w:p w14:paraId="4162AEDF"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跟给药途径相关淋巴结和远端淋巴结；</w:t>
      </w:r>
    </w:p>
    <w:p w14:paraId="01DB86D8"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脑、肝、肾、心、脾、胸腺、垂体、甲状腺（固定后）、肾上腺及其它已知毒性靶器官或组织。</w:t>
      </w:r>
    </w:p>
    <w:p w14:paraId="5DD0BA2C"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此外，不需称重但需要保存的组织脏器包括：外周神经、肌肉、脊髓、眼及视神经、胃肠道、膀胱、肺、气管（含甲状腺和甲状旁腺）、骨髓、输精管、乳腺（雌雄均需保存）、阴道。</w:t>
      </w:r>
    </w:p>
    <w:p w14:paraId="2B83228C"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高剂量组和对照组动物以上所列组织脏器应开展的完整组织病理学检查。当观察到受试物相关变化时，应将组织病理检查拓展至更低剂量组。此外，在试验中交配不成功，未孕，后代异常，动情周期异常，精子计数、活力或形态异常动物的生殖器官均需进行组织病理学检查。</w:t>
      </w:r>
    </w:p>
    <w:p w14:paraId="60D1294D"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序列1A动物应在性成熟后解剖。解剖前，安乐死并称重所有动物，摘取以下脏器并称重：</w:t>
      </w:r>
    </w:p>
    <w:p w14:paraId="532A6403"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子宫（含输卵管和子宫颈）、卵巢；</w:t>
      </w:r>
    </w:p>
    <w:p w14:paraId="1C4B964B"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lastRenderedPageBreak/>
        <w:t>睾丸、附睾（整个）；</w:t>
      </w:r>
    </w:p>
    <w:p w14:paraId="1AD16E80"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前列腺（包含背外侧、复侧部）；</w:t>
      </w:r>
    </w:p>
    <w:p w14:paraId="6F88E144"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精囊腺和凝固腺；</w:t>
      </w:r>
    </w:p>
    <w:p w14:paraId="7136D374"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跟给药途径相关淋巴结和远端淋巴结；</w:t>
      </w:r>
    </w:p>
    <w:p w14:paraId="5F5AFCC1"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脑、肝、肾、心、脾、胸腺、垂体、甲状腺（固定后）、肾上腺及其它已知毒性靶器官或组织。</w:t>
      </w:r>
    </w:p>
    <w:p w14:paraId="409F5C71"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此外，不需称重但需要保存的组织脏器包括：外周神经、肌肉、脊髓、眼及视神经、胃肠道、膀胱、肺、气管（含甲状腺和甲状旁腺）、骨髓、输精管、乳腺（雌雄均需保存）、阴道。</w:t>
      </w:r>
    </w:p>
    <w:p w14:paraId="3CAA3D35"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以上所列所有1A组织脏器均需做组织病理检查。</w:t>
      </w:r>
    </w:p>
    <w:p w14:paraId="69FAF224"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对照组和各剂量组的淋巴结、骨髓、胸腺、脾脏（一半用以组织病理，一半用于淋巴细胞亚群分析，包括CD4+/CD8+T淋巴细胞、B淋巴细胞、自然杀伤细胞）、肾上腺，雄性的睾丸、附睾（至少一侧）和雌性的卵巢均需做组织病理学检查，除此之外的其它脏器和组织仅需在高剂量和对照组做组织病理学检查。对于有受试物相关改变或肉眼可见损伤的组织/脏器应在中、低剂量中继续观察，以确定NOAEL。F1雌性卵巢的组织病理评价应包含对原始卵泡、生长卵泡和黄体的定量分析，并且应先在对照组和高剂量进行，如果高剂量组表现出不良反应则应继续观察中低剂量组。F1雄性睾丸的组织病理学检查应包含对睾丸分化、发育和精子发生的评价。可能的情况下，可以检查睾丸网，附睾头、体、尾及输精管的发育及亲代雄性检查中包含的其它参数。</w:t>
      </w:r>
    </w:p>
    <w:p w14:paraId="5B2851C0"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序列1B动物的以下脏器应称重，并制成蜡块：</w:t>
      </w:r>
    </w:p>
    <w:p w14:paraId="34D52A90"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阴道（不称重）；</w:t>
      </w:r>
    </w:p>
    <w:p w14:paraId="70CE9ACB"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子宫带子宫颈；</w:t>
      </w:r>
    </w:p>
    <w:p w14:paraId="41155EB3"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lastRenderedPageBreak/>
        <w:t>卵巢；</w:t>
      </w:r>
    </w:p>
    <w:p w14:paraId="6BDEC3BA"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睾丸（至少一侧制成蜡块）；</w:t>
      </w:r>
    </w:p>
    <w:p w14:paraId="5C07BA71"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附睾；</w:t>
      </w:r>
    </w:p>
    <w:p w14:paraId="2F887544"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精囊腺和凝固腺；</w:t>
      </w:r>
    </w:p>
    <w:p w14:paraId="210780FB"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前列腺；</w:t>
      </w:r>
    </w:p>
    <w:p w14:paraId="37EBD767"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垂体；</w:t>
      </w:r>
    </w:p>
    <w:p w14:paraId="6DB3696D"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已明确的其它靶器官。</w:t>
      </w:r>
    </w:p>
    <w:p w14:paraId="16E060BA"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当序列1A结果可疑或怀疑有生殖或内分泌毒性时，以上蜡块应制成切片并开展组织病理评价。</w:t>
      </w:r>
    </w:p>
    <w:p w14:paraId="38EB893A" w14:textId="77777777" w:rsidR="00E5691B" w:rsidRPr="00874C03" w:rsidRDefault="00EC13FE">
      <w:pPr>
        <w:pStyle w:val="af3"/>
        <w:widowControl w:val="0"/>
        <w:numPr>
          <w:ilvl w:val="1"/>
          <w:numId w:val="1"/>
        </w:numPr>
        <w:tabs>
          <w:tab w:val="clear" w:pos="284"/>
          <w:tab w:val="left" w:pos="567"/>
        </w:tabs>
        <w:spacing w:beforeLines="50" w:before="156" w:afterLines="50" w:after="156" w:line="300" w:lineRule="auto"/>
        <w:ind w:left="0" w:firstLineChars="0" w:firstLine="0"/>
        <w:jc w:val="both"/>
        <w:rPr>
          <w:rFonts w:ascii="宋体" w:hAnsi="宋体"/>
          <w:szCs w:val="21"/>
        </w:rPr>
      </w:pPr>
      <w:r w:rsidRPr="00874C03">
        <w:rPr>
          <w:rFonts w:ascii="宋体" w:hAnsi="宋体"/>
          <w:szCs w:val="21"/>
        </w:rPr>
        <w:t>潜在生殖毒性的追加评价</w:t>
      </w:r>
    </w:p>
    <w:p w14:paraId="3EFC3EC0"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当序列1B满足触发条件后，需交配以产生F2。序列1B动物持续处理至PND 90以后，可以选择同一剂量组不同窝的雌雄动物合笼2周以产生F2代。合笼时间应在从PND90开始，最迟不晚于PND120，合笼程序与F0相似。所产生的F2在PND4终止已足够用以分析潜在的生殖毒性，而不一定非得持续至离乳或离乳后。</w:t>
      </w:r>
    </w:p>
    <w:p w14:paraId="6E002CEE" w14:textId="77777777" w:rsidR="00E5691B" w:rsidRPr="00874C03" w:rsidRDefault="00EC13FE">
      <w:pPr>
        <w:pStyle w:val="af3"/>
        <w:widowControl w:val="0"/>
        <w:numPr>
          <w:ilvl w:val="1"/>
          <w:numId w:val="1"/>
        </w:numPr>
        <w:tabs>
          <w:tab w:val="clear" w:pos="284"/>
          <w:tab w:val="left" w:pos="567"/>
        </w:tabs>
        <w:spacing w:beforeLines="50" w:before="156" w:afterLines="50" w:after="156" w:line="300" w:lineRule="auto"/>
        <w:ind w:left="0" w:firstLineChars="0" w:firstLine="0"/>
        <w:jc w:val="both"/>
        <w:rPr>
          <w:rFonts w:ascii="宋体" w:hAnsi="宋体"/>
          <w:szCs w:val="21"/>
        </w:rPr>
      </w:pPr>
      <w:r w:rsidRPr="00874C03">
        <w:rPr>
          <w:rFonts w:ascii="宋体" w:hAnsi="宋体"/>
          <w:szCs w:val="21"/>
        </w:rPr>
        <w:t>潜在的神经发育毒性</w:t>
      </w:r>
    </w:p>
    <w:p w14:paraId="17C896DB"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当序列2A和2B被触发后，可在离乳后至成年前分阶段开展以下试验内容。</w:t>
      </w:r>
    </w:p>
    <w:p w14:paraId="055014B9"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t>在PND24天左右（±1天），2A序列所有动物进行听觉惊吓试验。测试期间，保证测试条件稳定，并将受试物组和对照组交叉进行。所有检测动物均需测试50次，10次测试为一组数据，每只动物共5组数据，记录每组测试动物平均反应振幅。</w:t>
      </w:r>
    </w:p>
    <w:p w14:paraId="6C37A36B" w14:textId="77777777" w:rsidR="00E5691B" w:rsidRPr="00874C03" w:rsidRDefault="00EC13FE">
      <w:pPr>
        <w:spacing w:line="300" w:lineRule="auto"/>
        <w:ind w:firstLineChars="200" w:firstLine="420"/>
        <w:rPr>
          <w:rFonts w:ascii="宋体" w:hAnsi="宋体"/>
          <w:szCs w:val="21"/>
        </w:rPr>
      </w:pPr>
      <w:r w:rsidRPr="00874C03">
        <w:rPr>
          <w:rFonts w:ascii="宋体" w:hAnsi="宋体"/>
          <w:szCs w:val="21"/>
        </w:rPr>
        <w:lastRenderedPageBreak/>
        <w:t>在PND63至PND75期间，2A序列所有动物进行功能组合测试，观察内容如下表：</w:t>
      </w:r>
    </w:p>
    <w:p w14:paraId="2D853223" w14:textId="77777777" w:rsidR="00E5691B" w:rsidRPr="009B24BA" w:rsidRDefault="00EC13FE">
      <w:pPr>
        <w:spacing w:beforeLines="50" w:before="156" w:afterLines="50" w:after="156" w:line="300" w:lineRule="auto"/>
        <w:jc w:val="center"/>
        <w:rPr>
          <w:rFonts w:eastAsia="黑体"/>
          <w:szCs w:val="21"/>
        </w:rPr>
      </w:pPr>
      <w:r w:rsidRPr="009B24BA">
        <w:rPr>
          <w:rFonts w:eastAsia="黑体"/>
          <w:szCs w:val="21"/>
        </w:rPr>
        <w:t>表</w:t>
      </w:r>
      <w:r w:rsidRPr="009B24BA">
        <w:rPr>
          <w:rFonts w:eastAsia="黑体"/>
          <w:szCs w:val="21"/>
        </w:rPr>
        <w:t xml:space="preserve">1 </w:t>
      </w:r>
      <w:r w:rsidRPr="009B24BA">
        <w:rPr>
          <w:rFonts w:eastAsia="黑体"/>
          <w:szCs w:val="21"/>
        </w:rPr>
        <w:t>功能组合测试内容</w:t>
      </w:r>
    </w:p>
    <w:tbl>
      <w:tblPr>
        <w:tblStyle w:val="ae"/>
        <w:tblW w:w="0" w:type="auto"/>
        <w:jc w:val="center"/>
        <w:tblLook w:val="04A0" w:firstRow="1" w:lastRow="0" w:firstColumn="1" w:lastColumn="0" w:noHBand="0" w:noVBand="1"/>
      </w:tblPr>
      <w:tblGrid>
        <w:gridCol w:w="1843"/>
        <w:gridCol w:w="6379"/>
      </w:tblGrid>
      <w:tr w:rsidR="00E5691B" w14:paraId="10537827" w14:textId="77777777">
        <w:trPr>
          <w:jc w:val="center"/>
        </w:trPr>
        <w:tc>
          <w:tcPr>
            <w:tcW w:w="1843" w:type="dxa"/>
            <w:vAlign w:val="center"/>
          </w:tcPr>
          <w:p w14:paraId="69E142B4" w14:textId="77777777" w:rsidR="00E5691B" w:rsidRDefault="00EC13FE">
            <w:pPr>
              <w:spacing w:line="300" w:lineRule="auto"/>
              <w:jc w:val="center"/>
            </w:pPr>
            <w:r>
              <w:t>观察项目</w:t>
            </w:r>
          </w:p>
        </w:tc>
        <w:tc>
          <w:tcPr>
            <w:tcW w:w="6379" w:type="dxa"/>
            <w:vAlign w:val="center"/>
          </w:tcPr>
          <w:p w14:paraId="01C8D301" w14:textId="77777777" w:rsidR="00E5691B" w:rsidRDefault="00EC13FE">
            <w:pPr>
              <w:spacing w:line="300" w:lineRule="auto"/>
              <w:jc w:val="center"/>
            </w:pPr>
            <w:r>
              <w:t>检测指标</w:t>
            </w:r>
          </w:p>
        </w:tc>
      </w:tr>
      <w:tr w:rsidR="00E5691B" w14:paraId="2E89D894" w14:textId="77777777">
        <w:trPr>
          <w:jc w:val="center"/>
        </w:trPr>
        <w:tc>
          <w:tcPr>
            <w:tcW w:w="1843" w:type="dxa"/>
            <w:vAlign w:val="center"/>
          </w:tcPr>
          <w:p w14:paraId="6D3518C7" w14:textId="77777777" w:rsidR="00E5691B" w:rsidRDefault="00EC13FE">
            <w:pPr>
              <w:spacing w:line="300" w:lineRule="auto"/>
              <w:jc w:val="center"/>
            </w:pPr>
            <w:r>
              <w:t>笼内或开放场地观察</w:t>
            </w:r>
          </w:p>
        </w:tc>
        <w:tc>
          <w:tcPr>
            <w:tcW w:w="6379" w:type="dxa"/>
          </w:tcPr>
          <w:p w14:paraId="29048C5F" w14:textId="77777777" w:rsidR="00E5691B" w:rsidRDefault="00EC13FE">
            <w:pPr>
              <w:spacing w:line="300" w:lineRule="auto"/>
              <w:jc w:val="center"/>
            </w:pPr>
            <w:r>
              <w:t>姿势、阵挛、强直、眼睑闭合、竖毛、流涎、流泪、发声、犬坐、步态异常、唤醒反射、刻板症、特异行为、被毛污秽、呼吸异常。</w:t>
            </w:r>
          </w:p>
        </w:tc>
      </w:tr>
      <w:tr w:rsidR="00E5691B" w14:paraId="0DD781AF" w14:textId="77777777">
        <w:trPr>
          <w:jc w:val="center"/>
        </w:trPr>
        <w:tc>
          <w:tcPr>
            <w:tcW w:w="1843" w:type="dxa"/>
            <w:vAlign w:val="center"/>
          </w:tcPr>
          <w:p w14:paraId="794664DA" w14:textId="77777777" w:rsidR="00E5691B" w:rsidRDefault="00EC13FE">
            <w:pPr>
              <w:spacing w:line="300" w:lineRule="auto"/>
              <w:jc w:val="center"/>
            </w:pPr>
            <w:r>
              <w:t>自主控制</w:t>
            </w:r>
          </w:p>
        </w:tc>
        <w:tc>
          <w:tcPr>
            <w:tcW w:w="6379" w:type="dxa"/>
          </w:tcPr>
          <w:p w14:paraId="1C97FD27" w14:textId="77777777" w:rsidR="00E5691B" w:rsidRDefault="00EC13FE">
            <w:pPr>
              <w:spacing w:line="300" w:lineRule="auto"/>
              <w:jc w:val="center"/>
            </w:pPr>
            <w:r>
              <w:t>易于挣脱、易于保定、肌张力、趋向反射、触感反射、听觉反射、夹尾反射、反正反射、着地姿势、</w:t>
            </w:r>
            <w:r>
              <w:rPr>
                <w:color w:val="2A2B2E"/>
                <w:szCs w:val="21"/>
                <w:shd w:val="clear" w:color="auto" w:fill="FFFFFF"/>
              </w:rPr>
              <w:t>前肢</w:t>
            </w:r>
            <w:r>
              <w:t>握力、后</w:t>
            </w:r>
            <w:r>
              <w:rPr>
                <w:color w:val="2A2B2E"/>
                <w:szCs w:val="21"/>
                <w:shd w:val="clear" w:color="auto" w:fill="FFFFFF"/>
              </w:rPr>
              <w:t>肢</w:t>
            </w:r>
            <w:r>
              <w:t>握力。</w:t>
            </w:r>
          </w:p>
        </w:tc>
      </w:tr>
      <w:tr w:rsidR="00E5691B" w14:paraId="0C60EE1C" w14:textId="77777777">
        <w:trPr>
          <w:jc w:val="center"/>
        </w:trPr>
        <w:tc>
          <w:tcPr>
            <w:tcW w:w="1843" w:type="dxa"/>
            <w:vAlign w:val="center"/>
          </w:tcPr>
          <w:p w14:paraId="1F96D91D" w14:textId="77777777" w:rsidR="00E5691B" w:rsidRDefault="00EC13FE">
            <w:pPr>
              <w:spacing w:line="300" w:lineRule="auto"/>
              <w:jc w:val="center"/>
            </w:pPr>
            <w:r>
              <w:t>生理指标</w:t>
            </w:r>
          </w:p>
        </w:tc>
        <w:tc>
          <w:tcPr>
            <w:tcW w:w="6379" w:type="dxa"/>
          </w:tcPr>
          <w:p w14:paraId="7913EC66" w14:textId="77777777" w:rsidR="00E5691B" w:rsidRDefault="00EC13FE">
            <w:pPr>
              <w:spacing w:line="300" w:lineRule="auto"/>
              <w:jc w:val="center"/>
            </w:pPr>
            <w:r>
              <w:t>体温、体重、瞳孔反射、瞳孔大小。</w:t>
            </w:r>
          </w:p>
        </w:tc>
      </w:tr>
    </w:tbl>
    <w:p w14:paraId="7D9B4EC2" w14:textId="77777777" w:rsidR="00E5691B" w:rsidRDefault="00E5691B">
      <w:pPr>
        <w:spacing w:line="300" w:lineRule="auto"/>
        <w:ind w:firstLineChars="200" w:firstLine="420"/>
      </w:pPr>
    </w:p>
    <w:p w14:paraId="4A295738" w14:textId="77777777" w:rsidR="00E5691B" w:rsidRPr="009B24BA" w:rsidRDefault="00EC13FE">
      <w:pPr>
        <w:spacing w:line="300" w:lineRule="auto"/>
        <w:ind w:firstLineChars="200" w:firstLine="420"/>
        <w:rPr>
          <w:rFonts w:ascii="宋体" w:hAnsi="宋体"/>
          <w:szCs w:val="21"/>
        </w:rPr>
      </w:pPr>
      <w:r w:rsidRPr="009B24BA">
        <w:rPr>
          <w:rFonts w:ascii="宋体" w:hAnsi="宋体"/>
          <w:szCs w:val="21"/>
        </w:rPr>
        <w:t>可以采用自动生理遥测系统对动物的运动活动进行测试，但需要注意选择好基线值以准确区分活动度增加或降低。</w:t>
      </w:r>
    </w:p>
    <w:p w14:paraId="2F03EB2B" w14:textId="77777777" w:rsidR="00E5691B" w:rsidRPr="009B24BA" w:rsidRDefault="00EC13FE">
      <w:pPr>
        <w:spacing w:line="300" w:lineRule="auto"/>
        <w:ind w:firstLineChars="200" w:firstLine="420"/>
        <w:rPr>
          <w:rFonts w:ascii="宋体" w:hAnsi="宋体"/>
          <w:szCs w:val="21"/>
        </w:rPr>
      </w:pPr>
      <w:r w:rsidRPr="009B24BA">
        <w:rPr>
          <w:rFonts w:ascii="宋体" w:hAnsi="宋体"/>
          <w:szCs w:val="21"/>
        </w:rPr>
        <w:t>2A和2B在完成行为学评价之后（PND75之后不超过PND90）和PND21（或PND22），解剖后取脑和疑似靶器官，其中脑需称重。所有的对照组和高剂量组的上述组织应开展完全的组织病理检查，当在高剂量组发现有受试物相关改变时，应继续检查中低剂量组。脑组织的检查应包含嗅球、大脑皮层、海马、基底神经节、丘脑、下丘脑、中脑(顶盖、被盖和大脑脚)、脑干和小脑，序列2A还应检查眼（视网膜和视神经）、周围神经、肌肉和脊髓。推荐以上每个脑区至少准备3个连续切面并从中选出最同源的进行评价，最好能做定量分析，如用立体定位分析特定脑区的体积或细胞数量。序列2A动物脑组织要求灌注固定，2B动物则可选择灌注固定，且序列2动物数量不足时应优先保证2A。虽然要求每组全部动物脑组织均需取材进行组织病理评价，不过数量偏少也可接受，但最少不应低于6只/性别/组。</w:t>
      </w:r>
    </w:p>
    <w:p w14:paraId="446192B5" w14:textId="5BCCF650" w:rsidR="00E5691B" w:rsidRPr="009B24BA" w:rsidRDefault="00EC13FE">
      <w:pPr>
        <w:spacing w:line="300" w:lineRule="auto"/>
        <w:ind w:firstLineChars="200" w:firstLine="420"/>
        <w:rPr>
          <w:rFonts w:ascii="宋体" w:hAnsi="宋体"/>
          <w:szCs w:val="21"/>
        </w:rPr>
      </w:pPr>
      <w:r w:rsidRPr="009B24BA">
        <w:rPr>
          <w:rFonts w:ascii="宋体" w:hAnsi="宋体"/>
          <w:szCs w:val="21"/>
        </w:rPr>
        <w:lastRenderedPageBreak/>
        <w:t>未纳入序列的动物如无进一步研究需求，在PND22天全部解剖，经大体观察后按序列1A要求称重及保存相关组织脏器。尽可能从较多的窝中选出至少10只/性别/窝的幼仔，称重脑、脾、胸腺后固定保存。观察到大体异常的组织或脏器、靶组织以及乳腺应保存并进行组织病理检查。</w:t>
      </w:r>
    </w:p>
    <w:p w14:paraId="6E460B88" w14:textId="77777777" w:rsidR="00E5691B" w:rsidRPr="009B24BA" w:rsidRDefault="00EC13FE">
      <w:pPr>
        <w:pStyle w:val="af3"/>
        <w:widowControl w:val="0"/>
        <w:numPr>
          <w:ilvl w:val="1"/>
          <w:numId w:val="1"/>
        </w:numPr>
        <w:tabs>
          <w:tab w:val="clear" w:pos="284"/>
          <w:tab w:val="left" w:pos="567"/>
        </w:tabs>
        <w:spacing w:beforeLines="50" w:before="156" w:afterLines="50" w:after="156" w:line="300" w:lineRule="auto"/>
        <w:ind w:left="0" w:firstLineChars="0" w:firstLine="0"/>
        <w:jc w:val="both"/>
        <w:rPr>
          <w:rFonts w:ascii="宋体" w:hAnsi="宋体"/>
          <w:szCs w:val="21"/>
        </w:rPr>
      </w:pPr>
      <w:r w:rsidRPr="009B24BA">
        <w:rPr>
          <w:rFonts w:ascii="宋体" w:hAnsi="宋体"/>
          <w:szCs w:val="21"/>
        </w:rPr>
        <w:t>潜在发育免疫毒性评价</w:t>
      </w:r>
    </w:p>
    <w:p w14:paraId="1035622F" w14:textId="77777777" w:rsidR="00E5691B" w:rsidRPr="009B24BA" w:rsidRDefault="00EC13FE">
      <w:pPr>
        <w:spacing w:line="300" w:lineRule="auto"/>
        <w:ind w:firstLineChars="200" w:firstLine="420"/>
        <w:rPr>
          <w:rFonts w:ascii="宋体" w:hAnsi="宋体"/>
          <w:szCs w:val="21"/>
        </w:rPr>
      </w:pPr>
      <w:r w:rsidRPr="009B24BA">
        <w:rPr>
          <w:rFonts w:ascii="宋体" w:hAnsi="宋体"/>
          <w:szCs w:val="21"/>
        </w:rPr>
        <w:t>当序列3被触发后，在PND56（±3）天时，将动物用于T细胞依赖性抗原（可以选择绵羊红细胞或钥孔戚血蓝蛋白）抗体反应（TDAR）检测。具体可采用抗体生成细胞检测或IgM抗体检测，具体方法如下：</w:t>
      </w:r>
    </w:p>
    <w:p w14:paraId="6B046FA0" w14:textId="77777777" w:rsidR="00E5691B" w:rsidRPr="009B24BA" w:rsidRDefault="00EC13FE">
      <w:pPr>
        <w:spacing w:line="300" w:lineRule="auto"/>
        <w:ind w:firstLineChars="200" w:firstLine="420"/>
        <w:rPr>
          <w:rFonts w:ascii="宋体" w:hAnsi="宋体"/>
          <w:szCs w:val="21"/>
        </w:rPr>
      </w:pPr>
      <w:r w:rsidRPr="009B24BA">
        <w:rPr>
          <w:rFonts w:ascii="宋体" w:hAnsi="宋体"/>
          <w:szCs w:val="21"/>
        </w:rPr>
        <w:t>抗体生成细胞检测：通过腹腔注射绵羊红细胞（SRBC），于4天后取脾脏制成细胞悬液与一定量的SRBC混合，在补体的参与下，使分泌抗体的脾细胞周围的SRBC溶解，形成肉眼可见的空斑，该空斑可以反映抗体生成细胞数。通过按时间变量设置亚组的方式可以更容易检测到峰值，但需保证同一亚组内包含不同组别相同数量的雄性和雌性动物，且日龄一致。</w:t>
      </w:r>
    </w:p>
    <w:p w14:paraId="243B4310" w14:textId="77777777" w:rsidR="00E5691B" w:rsidRPr="009B24BA" w:rsidRDefault="00EC13FE">
      <w:pPr>
        <w:spacing w:line="300" w:lineRule="auto"/>
        <w:ind w:firstLineChars="200" w:firstLine="420"/>
        <w:rPr>
          <w:rFonts w:ascii="宋体" w:hAnsi="宋体"/>
          <w:szCs w:val="21"/>
        </w:rPr>
      </w:pPr>
      <w:r w:rsidRPr="009B24BA">
        <w:rPr>
          <w:rFonts w:ascii="宋体" w:hAnsi="宋体"/>
          <w:szCs w:val="21"/>
        </w:rPr>
        <w:t>特异性IgM抗体检测：腹腔注射SRBC或钥孔戚血蓝蛋白（KLH）5天后，用酶联免疫吸附试验（ELISA）方法检测血清中的特异性IgM抗体效价。</w:t>
      </w:r>
    </w:p>
    <w:p w14:paraId="1088930F" w14:textId="77777777" w:rsidR="00E5691B" w:rsidRPr="009B24BA" w:rsidRDefault="00EC13FE">
      <w:pPr>
        <w:pStyle w:val="af3"/>
        <w:widowControl w:val="0"/>
        <w:numPr>
          <w:ilvl w:val="0"/>
          <w:numId w:val="1"/>
        </w:numPr>
        <w:spacing w:beforeLines="50" w:before="156" w:afterLines="50" w:after="156" w:line="300" w:lineRule="auto"/>
        <w:ind w:hangingChars="200"/>
        <w:jc w:val="both"/>
        <w:rPr>
          <w:rFonts w:ascii="宋体" w:hAnsi="宋体"/>
          <w:szCs w:val="21"/>
        </w:rPr>
      </w:pPr>
      <w:r w:rsidRPr="009B24BA">
        <w:rPr>
          <w:rFonts w:ascii="宋体" w:hAnsi="宋体"/>
          <w:szCs w:val="21"/>
        </w:rPr>
        <w:t>数据处理、统计方法及结果评定</w:t>
      </w:r>
    </w:p>
    <w:p w14:paraId="627E5C8C" w14:textId="77777777" w:rsidR="00B1346D" w:rsidRPr="009B24BA" w:rsidRDefault="0032364E" w:rsidP="00851140">
      <w:pPr>
        <w:pStyle w:val="af3"/>
        <w:widowControl w:val="0"/>
        <w:numPr>
          <w:ilvl w:val="1"/>
          <w:numId w:val="1"/>
        </w:numPr>
        <w:spacing w:beforeLines="50" w:before="156" w:afterLines="50" w:after="156" w:line="300" w:lineRule="auto"/>
        <w:ind w:firstLineChars="0"/>
        <w:jc w:val="both"/>
        <w:rPr>
          <w:rFonts w:ascii="宋体" w:hAnsi="宋体"/>
          <w:szCs w:val="21"/>
        </w:rPr>
      </w:pPr>
      <w:r w:rsidRPr="009B24BA">
        <w:rPr>
          <w:rFonts w:ascii="宋体" w:hAnsi="宋体" w:hint="eastAsia"/>
          <w:szCs w:val="21"/>
        </w:rPr>
        <w:t>应获得的试验结果</w:t>
      </w:r>
    </w:p>
    <w:p w14:paraId="24B1463F" w14:textId="77777777" w:rsidR="00B1346D" w:rsidRPr="009B24BA" w:rsidRDefault="00B1346D" w:rsidP="00851140">
      <w:pPr>
        <w:spacing w:line="300" w:lineRule="auto"/>
        <w:ind w:firstLineChars="200" w:firstLine="420"/>
        <w:rPr>
          <w:rFonts w:ascii="宋体" w:hAnsi="宋体"/>
          <w:szCs w:val="21"/>
        </w:rPr>
      </w:pPr>
      <w:bookmarkStart w:id="200" w:name="OLE_LINK4"/>
      <w:bookmarkStart w:id="201" w:name="OLE_LINK5"/>
      <w:r w:rsidRPr="009B24BA">
        <w:rPr>
          <w:rFonts w:ascii="宋体" w:hAnsi="宋体" w:hint="eastAsia"/>
          <w:szCs w:val="21"/>
        </w:rPr>
        <w:t>食物消耗，饮水消耗（如有），食物利用率（每克食物增重</w:t>
      </w:r>
      <w:r w:rsidR="00ED1C14" w:rsidRPr="009B24BA">
        <w:rPr>
          <w:rFonts w:ascii="宋体" w:hAnsi="宋体" w:hint="eastAsia"/>
          <w:szCs w:val="21"/>
        </w:rPr>
        <w:t>，合笼和哺乳期除外</w:t>
      </w:r>
      <w:r w:rsidRPr="009B24BA">
        <w:rPr>
          <w:rFonts w:ascii="宋体" w:hAnsi="宋体" w:hint="eastAsia"/>
          <w:szCs w:val="21"/>
        </w:rPr>
        <w:t>）</w:t>
      </w:r>
      <w:r w:rsidR="00ED1C14" w:rsidRPr="009B24BA">
        <w:rPr>
          <w:rFonts w:ascii="宋体" w:hAnsi="宋体" w:hint="eastAsia"/>
          <w:szCs w:val="21"/>
        </w:rPr>
        <w:t>，通过饲料和饮水给予受试物的还需要计算受试物的摄入；</w:t>
      </w:r>
      <w:bookmarkEnd w:id="200"/>
      <w:bookmarkEnd w:id="201"/>
    </w:p>
    <w:p w14:paraId="3FE09B21" w14:textId="77777777" w:rsidR="00B1346D" w:rsidRPr="009B24BA" w:rsidRDefault="00B1346D" w:rsidP="00851140">
      <w:pPr>
        <w:spacing w:line="300" w:lineRule="auto"/>
        <w:ind w:firstLineChars="200" w:firstLine="420"/>
        <w:rPr>
          <w:rFonts w:ascii="宋体" w:hAnsi="宋体"/>
          <w:szCs w:val="21"/>
        </w:rPr>
      </w:pPr>
      <w:r w:rsidRPr="009B24BA">
        <w:rPr>
          <w:rFonts w:ascii="宋体" w:hAnsi="宋体" w:hint="eastAsia"/>
          <w:szCs w:val="21"/>
        </w:rPr>
        <w:t>吸收数据</w:t>
      </w:r>
      <w:r w:rsidR="00ED1C14" w:rsidRPr="009B24BA">
        <w:rPr>
          <w:rFonts w:ascii="宋体" w:hAnsi="宋体" w:hint="eastAsia"/>
          <w:szCs w:val="21"/>
        </w:rPr>
        <w:t>（如有）；</w:t>
      </w:r>
    </w:p>
    <w:p w14:paraId="26AC1C54" w14:textId="77777777" w:rsidR="00B1346D" w:rsidRPr="009B24BA" w:rsidRDefault="00ED1C14" w:rsidP="00851140">
      <w:pPr>
        <w:spacing w:line="300" w:lineRule="auto"/>
        <w:ind w:firstLineChars="200" w:firstLine="420"/>
        <w:rPr>
          <w:rFonts w:ascii="宋体" w:hAnsi="宋体"/>
          <w:szCs w:val="21"/>
        </w:rPr>
      </w:pPr>
      <w:r w:rsidRPr="009B24BA">
        <w:rPr>
          <w:rFonts w:ascii="宋体" w:hAnsi="宋体" w:hint="eastAsia"/>
          <w:szCs w:val="21"/>
        </w:rPr>
        <w:t>F0</w:t>
      </w:r>
      <w:r w:rsidR="00B1346D" w:rsidRPr="009B24BA">
        <w:rPr>
          <w:rFonts w:ascii="宋体" w:hAnsi="宋体" w:hint="eastAsia"/>
          <w:szCs w:val="21"/>
        </w:rPr>
        <w:t>动物的体重数据</w:t>
      </w:r>
      <w:r w:rsidRPr="009B24BA">
        <w:rPr>
          <w:rFonts w:ascii="宋体" w:hAnsi="宋体" w:hint="eastAsia"/>
          <w:szCs w:val="21"/>
        </w:rPr>
        <w:t>；</w:t>
      </w:r>
    </w:p>
    <w:p w14:paraId="33C7861A" w14:textId="77777777" w:rsidR="00B1346D" w:rsidRPr="009B24BA" w:rsidRDefault="00B1346D" w:rsidP="00851140">
      <w:pPr>
        <w:spacing w:line="300" w:lineRule="auto"/>
        <w:ind w:firstLineChars="200" w:firstLine="420"/>
        <w:rPr>
          <w:rFonts w:ascii="宋体" w:hAnsi="宋体"/>
          <w:szCs w:val="21"/>
        </w:rPr>
      </w:pPr>
      <w:r w:rsidRPr="009B24BA">
        <w:rPr>
          <w:rFonts w:ascii="宋体" w:hAnsi="宋体" w:hint="eastAsia"/>
          <w:szCs w:val="21"/>
        </w:rPr>
        <w:lastRenderedPageBreak/>
        <w:t>所选</w:t>
      </w:r>
      <w:r w:rsidRPr="009B24BA">
        <w:rPr>
          <w:rFonts w:ascii="宋体" w:hAnsi="宋体"/>
          <w:szCs w:val="21"/>
        </w:rPr>
        <w:t>F1</w:t>
      </w:r>
      <w:r w:rsidRPr="009B24BA">
        <w:rPr>
          <w:rFonts w:ascii="宋体" w:hAnsi="宋体" w:hint="eastAsia"/>
          <w:szCs w:val="21"/>
        </w:rPr>
        <w:t>仔鼠</w:t>
      </w:r>
      <w:r w:rsidR="00ED1C14" w:rsidRPr="009B24BA">
        <w:rPr>
          <w:rFonts w:ascii="宋体" w:hAnsi="宋体" w:hint="eastAsia"/>
          <w:szCs w:val="21"/>
        </w:rPr>
        <w:t>离乳</w:t>
      </w:r>
      <w:r w:rsidRPr="009B24BA">
        <w:rPr>
          <w:rFonts w:ascii="宋体" w:hAnsi="宋体" w:hint="eastAsia"/>
          <w:szCs w:val="21"/>
        </w:rPr>
        <w:t>后体重数据</w:t>
      </w:r>
      <w:r w:rsidR="00ED1C14" w:rsidRPr="009B24BA">
        <w:rPr>
          <w:rFonts w:ascii="宋体" w:hAnsi="宋体" w:hint="eastAsia"/>
          <w:szCs w:val="21"/>
        </w:rPr>
        <w:t>；</w:t>
      </w:r>
    </w:p>
    <w:p w14:paraId="08706725" w14:textId="77777777" w:rsidR="00B1346D" w:rsidRPr="009B24BA" w:rsidRDefault="00ED1C14" w:rsidP="00851140">
      <w:pPr>
        <w:spacing w:line="300" w:lineRule="auto"/>
        <w:ind w:firstLineChars="200" w:firstLine="420"/>
        <w:rPr>
          <w:rFonts w:ascii="宋体" w:hAnsi="宋体"/>
          <w:szCs w:val="21"/>
        </w:rPr>
      </w:pPr>
      <w:r w:rsidRPr="009B24BA">
        <w:rPr>
          <w:rFonts w:ascii="宋体" w:hAnsi="宋体" w:hint="eastAsia"/>
          <w:szCs w:val="21"/>
        </w:rPr>
        <w:t>试验期间动物死亡</w:t>
      </w:r>
      <w:r w:rsidR="00B1346D" w:rsidRPr="009B24BA">
        <w:rPr>
          <w:rFonts w:ascii="宋体" w:hAnsi="宋体" w:hint="eastAsia"/>
          <w:szCs w:val="21"/>
        </w:rPr>
        <w:t>时间或动物是否存活至</w:t>
      </w:r>
      <w:r w:rsidRPr="009B24BA">
        <w:rPr>
          <w:rFonts w:ascii="宋体" w:hAnsi="宋体" w:hint="eastAsia"/>
          <w:szCs w:val="21"/>
        </w:rPr>
        <w:t>试验结束；</w:t>
      </w:r>
    </w:p>
    <w:p w14:paraId="5B31A5CB" w14:textId="77777777" w:rsidR="00B1346D" w:rsidRPr="009B24BA" w:rsidRDefault="00ED1C14" w:rsidP="00851140">
      <w:pPr>
        <w:spacing w:line="300" w:lineRule="auto"/>
        <w:ind w:firstLineChars="200" w:firstLine="420"/>
        <w:rPr>
          <w:rFonts w:ascii="宋体" w:hAnsi="宋体"/>
          <w:szCs w:val="21"/>
        </w:rPr>
      </w:pPr>
      <w:r w:rsidRPr="009B24BA">
        <w:rPr>
          <w:rFonts w:ascii="宋体" w:hAnsi="宋体" w:hint="eastAsia"/>
          <w:szCs w:val="21"/>
        </w:rPr>
        <w:t>临床症状</w:t>
      </w:r>
      <w:r w:rsidR="00B1346D" w:rsidRPr="009B24BA">
        <w:rPr>
          <w:rFonts w:ascii="宋体" w:hAnsi="宋体" w:hint="eastAsia"/>
          <w:szCs w:val="21"/>
        </w:rPr>
        <w:t>的性质、严重程度和持续时间</w:t>
      </w:r>
      <w:r w:rsidRPr="009B24BA">
        <w:rPr>
          <w:rFonts w:ascii="宋体" w:hAnsi="宋体" w:hint="eastAsia"/>
          <w:szCs w:val="21"/>
        </w:rPr>
        <w:t>（</w:t>
      </w:r>
      <w:r w:rsidR="00B1346D" w:rsidRPr="009B24BA">
        <w:rPr>
          <w:rFonts w:ascii="宋体" w:hAnsi="宋体" w:hint="eastAsia"/>
          <w:szCs w:val="21"/>
        </w:rPr>
        <w:t>是否可逆</w:t>
      </w:r>
      <w:r w:rsidRPr="009B24BA">
        <w:rPr>
          <w:rFonts w:ascii="宋体" w:hAnsi="宋体" w:hint="eastAsia"/>
          <w:szCs w:val="21"/>
        </w:rPr>
        <w:t>）；</w:t>
      </w:r>
    </w:p>
    <w:p w14:paraId="1AB25529" w14:textId="77777777" w:rsidR="00B1346D" w:rsidRPr="009B24BA" w:rsidRDefault="00B1346D" w:rsidP="00851140">
      <w:pPr>
        <w:spacing w:line="300" w:lineRule="auto"/>
        <w:ind w:firstLineChars="200" w:firstLine="420"/>
        <w:rPr>
          <w:rFonts w:ascii="宋体" w:hAnsi="宋体"/>
          <w:szCs w:val="21"/>
        </w:rPr>
      </w:pPr>
      <w:r w:rsidRPr="009B24BA">
        <w:rPr>
          <w:rFonts w:ascii="宋体" w:hAnsi="宋体" w:hint="eastAsia"/>
          <w:szCs w:val="21"/>
        </w:rPr>
        <w:t>血液学、尿液和临床</w:t>
      </w:r>
      <w:r w:rsidR="00ED1C14" w:rsidRPr="009B24BA">
        <w:rPr>
          <w:rFonts w:ascii="宋体" w:hAnsi="宋体" w:hint="eastAsia"/>
          <w:szCs w:val="21"/>
        </w:rPr>
        <w:t>生</w:t>
      </w:r>
      <w:r w:rsidRPr="009B24BA">
        <w:rPr>
          <w:rFonts w:ascii="宋体" w:hAnsi="宋体" w:hint="eastAsia"/>
          <w:szCs w:val="21"/>
        </w:rPr>
        <w:t>化数据，包括</w:t>
      </w:r>
      <w:r w:rsidRPr="009B24BA">
        <w:rPr>
          <w:rFonts w:ascii="宋体" w:hAnsi="宋体"/>
          <w:szCs w:val="21"/>
        </w:rPr>
        <w:t>TSH</w:t>
      </w:r>
      <w:r w:rsidRPr="009B24BA">
        <w:rPr>
          <w:rFonts w:ascii="宋体" w:hAnsi="宋体" w:hint="eastAsia"/>
          <w:szCs w:val="21"/>
        </w:rPr>
        <w:t>和</w:t>
      </w:r>
      <w:r w:rsidRPr="009B24BA">
        <w:rPr>
          <w:rFonts w:ascii="宋体" w:hAnsi="宋体"/>
          <w:szCs w:val="21"/>
        </w:rPr>
        <w:t>T4</w:t>
      </w:r>
      <w:r w:rsidR="00ED1C14" w:rsidRPr="009B24BA">
        <w:rPr>
          <w:rFonts w:ascii="宋体" w:hAnsi="宋体" w:hint="eastAsia"/>
          <w:szCs w:val="21"/>
        </w:rPr>
        <w:t>；</w:t>
      </w:r>
    </w:p>
    <w:p w14:paraId="4679B566" w14:textId="77777777" w:rsidR="00B1346D" w:rsidRPr="009B24BA" w:rsidRDefault="00B1346D" w:rsidP="00851140">
      <w:pPr>
        <w:spacing w:line="300" w:lineRule="auto"/>
        <w:ind w:firstLineChars="200" w:firstLine="420"/>
        <w:rPr>
          <w:rFonts w:ascii="宋体" w:hAnsi="宋体"/>
          <w:szCs w:val="21"/>
        </w:rPr>
      </w:pPr>
      <w:r w:rsidRPr="009B24BA">
        <w:rPr>
          <w:rFonts w:ascii="宋体" w:hAnsi="宋体" w:hint="eastAsia"/>
          <w:szCs w:val="21"/>
        </w:rPr>
        <w:t>脾细胞</w:t>
      </w:r>
      <w:r w:rsidR="00ED1C14" w:rsidRPr="009B24BA">
        <w:rPr>
          <w:rFonts w:ascii="宋体" w:hAnsi="宋体" w:hint="eastAsia"/>
          <w:szCs w:val="21"/>
        </w:rPr>
        <w:t>（</w:t>
      </w:r>
      <w:r w:rsidRPr="009B24BA">
        <w:rPr>
          <w:rFonts w:ascii="宋体" w:hAnsi="宋体"/>
          <w:szCs w:val="21"/>
        </w:rPr>
        <w:t>T</w:t>
      </w:r>
      <w:r w:rsidRPr="009B24BA">
        <w:rPr>
          <w:rFonts w:ascii="宋体" w:hAnsi="宋体" w:hint="eastAsia"/>
          <w:szCs w:val="21"/>
        </w:rPr>
        <w:t>、</w:t>
      </w:r>
      <w:r w:rsidRPr="009B24BA">
        <w:rPr>
          <w:rFonts w:ascii="宋体" w:hAnsi="宋体"/>
          <w:szCs w:val="21"/>
        </w:rPr>
        <w:t>B</w:t>
      </w:r>
      <w:r w:rsidRPr="009B24BA">
        <w:rPr>
          <w:rFonts w:ascii="宋体" w:hAnsi="宋体" w:hint="eastAsia"/>
          <w:szCs w:val="21"/>
        </w:rPr>
        <w:t>、</w:t>
      </w:r>
      <w:r w:rsidR="00ED1C14" w:rsidRPr="009B24BA">
        <w:rPr>
          <w:rFonts w:ascii="宋体" w:hAnsi="宋体" w:hint="eastAsia"/>
          <w:szCs w:val="21"/>
        </w:rPr>
        <w:t>NK</w:t>
      </w:r>
      <w:r w:rsidRPr="009B24BA">
        <w:rPr>
          <w:rFonts w:ascii="宋体" w:hAnsi="宋体" w:hint="eastAsia"/>
          <w:szCs w:val="21"/>
        </w:rPr>
        <w:t>细胞</w:t>
      </w:r>
      <w:r w:rsidR="00ED1C14" w:rsidRPr="009B24BA">
        <w:rPr>
          <w:rFonts w:ascii="宋体" w:hAnsi="宋体" w:hint="eastAsia"/>
          <w:szCs w:val="21"/>
        </w:rPr>
        <w:t>）</w:t>
      </w:r>
      <w:r w:rsidRPr="009B24BA">
        <w:rPr>
          <w:rFonts w:ascii="宋体" w:hAnsi="宋体" w:hint="eastAsia"/>
          <w:szCs w:val="21"/>
        </w:rPr>
        <w:t>表型分析</w:t>
      </w:r>
      <w:r w:rsidR="00ED1C14" w:rsidRPr="009B24BA">
        <w:rPr>
          <w:rFonts w:ascii="宋体" w:hAnsi="宋体" w:hint="eastAsia"/>
          <w:szCs w:val="21"/>
        </w:rPr>
        <w:t>；</w:t>
      </w:r>
    </w:p>
    <w:p w14:paraId="4630EA0A" w14:textId="77777777" w:rsidR="00B1346D" w:rsidRPr="009B24BA" w:rsidRDefault="00B1346D" w:rsidP="00851140">
      <w:pPr>
        <w:spacing w:line="300" w:lineRule="auto"/>
        <w:ind w:firstLineChars="200" w:firstLine="420"/>
        <w:rPr>
          <w:rFonts w:ascii="宋体" w:hAnsi="宋体"/>
          <w:szCs w:val="21"/>
        </w:rPr>
      </w:pPr>
      <w:r w:rsidRPr="009B24BA">
        <w:rPr>
          <w:rFonts w:ascii="宋体" w:hAnsi="宋体" w:hint="eastAsia"/>
          <w:szCs w:val="21"/>
        </w:rPr>
        <w:t>骨髓细胞</w:t>
      </w:r>
      <w:r w:rsidR="00ED1C14" w:rsidRPr="009B24BA">
        <w:rPr>
          <w:rFonts w:ascii="宋体" w:hAnsi="宋体" w:hint="eastAsia"/>
          <w:szCs w:val="21"/>
        </w:rPr>
        <w:t>；</w:t>
      </w:r>
    </w:p>
    <w:p w14:paraId="5D8F4F42" w14:textId="77777777" w:rsidR="00B1346D" w:rsidRPr="009B24BA" w:rsidRDefault="00B1346D" w:rsidP="00851140">
      <w:pPr>
        <w:spacing w:line="300" w:lineRule="auto"/>
        <w:ind w:firstLineChars="200" w:firstLine="420"/>
        <w:rPr>
          <w:rFonts w:ascii="宋体" w:hAnsi="宋体"/>
          <w:szCs w:val="21"/>
        </w:rPr>
      </w:pPr>
      <w:r w:rsidRPr="009B24BA">
        <w:rPr>
          <w:rFonts w:ascii="宋体" w:hAnsi="宋体" w:hint="eastAsia"/>
          <w:szCs w:val="21"/>
        </w:rPr>
        <w:t>毒性反应数据</w:t>
      </w:r>
      <w:r w:rsidR="00ED1C14" w:rsidRPr="009B24BA">
        <w:rPr>
          <w:rFonts w:ascii="宋体" w:hAnsi="宋体" w:hint="eastAsia"/>
          <w:szCs w:val="21"/>
        </w:rPr>
        <w:t>；</w:t>
      </w:r>
    </w:p>
    <w:p w14:paraId="5DE077B5" w14:textId="77777777" w:rsidR="00B1346D" w:rsidRPr="009B24BA" w:rsidRDefault="00B1346D" w:rsidP="00851140">
      <w:pPr>
        <w:spacing w:line="300" w:lineRule="auto"/>
        <w:ind w:firstLineChars="200" w:firstLine="420"/>
        <w:rPr>
          <w:rFonts w:ascii="宋体" w:hAnsi="宋体"/>
          <w:szCs w:val="21"/>
        </w:rPr>
      </w:pPr>
      <w:r w:rsidRPr="009B24BA">
        <w:rPr>
          <w:rFonts w:ascii="宋体" w:hAnsi="宋体" w:hint="eastAsia"/>
          <w:szCs w:val="21"/>
        </w:rPr>
        <w:t>动情周期正常或异常的</w:t>
      </w:r>
      <w:r w:rsidR="00ED1C14" w:rsidRPr="009B24BA">
        <w:rPr>
          <w:rFonts w:ascii="宋体" w:hAnsi="宋体" w:hint="eastAsia"/>
          <w:szCs w:val="21"/>
        </w:rPr>
        <w:t>F0</w:t>
      </w:r>
      <w:r w:rsidRPr="009B24BA">
        <w:rPr>
          <w:rFonts w:ascii="宋体" w:hAnsi="宋体" w:hint="eastAsia"/>
          <w:szCs w:val="21"/>
        </w:rPr>
        <w:t>、</w:t>
      </w:r>
      <w:r w:rsidRPr="009B24BA">
        <w:rPr>
          <w:rFonts w:ascii="宋体" w:hAnsi="宋体"/>
          <w:szCs w:val="21"/>
        </w:rPr>
        <w:t>F1</w:t>
      </w:r>
      <w:r w:rsidRPr="009B24BA">
        <w:rPr>
          <w:rFonts w:ascii="宋体" w:hAnsi="宋体" w:hint="eastAsia"/>
          <w:szCs w:val="21"/>
        </w:rPr>
        <w:t>雌鼠数量及周期持续时间</w:t>
      </w:r>
      <w:r w:rsidR="00ED1C14" w:rsidRPr="009B24BA">
        <w:rPr>
          <w:rFonts w:ascii="宋体" w:hAnsi="宋体" w:hint="eastAsia"/>
          <w:szCs w:val="21"/>
        </w:rPr>
        <w:t>；</w:t>
      </w:r>
    </w:p>
    <w:p w14:paraId="075D47B4" w14:textId="77777777" w:rsidR="00B1346D" w:rsidRPr="009B24BA" w:rsidRDefault="00B1346D" w:rsidP="00851140">
      <w:pPr>
        <w:spacing w:line="300" w:lineRule="auto"/>
        <w:ind w:firstLineChars="200" w:firstLine="420"/>
        <w:rPr>
          <w:rFonts w:ascii="宋体" w:hAnsi="宋体"/>
          <w:szCs w:val="21"/>
        </w:rPr>
      </w:pPr>
      <w:r w:rsidRPr="009B24BA">
        <w:rPr>
          <w:rFonts w:ascii="宋体" w:hAnsi="宋体" w:hint="eastAsia"/>
          <w:szCs w:val="21"/>
        </w:rPr>
        <w:t>交配时间</w:t>
      </w:r>
      <w:r w:rsidR="00ED1C14" w:rsidRPr="009B24BA">
        <w:rPr>
          <w:rFonts w:ascii="宋体" w:hAnsi="宋体" w:hint="eastAsia"/>
          <w:szCs w:val="21"/>
        </w:rPr>
        <w:t>（即</w:t>
      </w:r>
      <w:r w:rsidRPr="009B24BA">
        <w:rPr>
          <w:rFonts w:ascii="宋体" w:hAnsi="宋体" w:hint="eastAsia"/>
          <w:szCs w:val="21"/>
        </w:rPr>
        <w:t>从</w:t>
      </w:r>
      <w:r w:rsidR="00ED1C14" w:rsidRPr="009B24BA">
        <w:rPr>
          <w:rFonts w:ascii="宋体" w:hAnsi="宋体" w:hint="eastAsia"/>
          <w:szCs w:val="21"/>
        </w:rPr>
        <w:t>开始合笼</w:t>
      </w:r>
      <w:r w:rsidRPr="009B24BA">
        <w:rPr>
          <w:rFonts w:ascii="宋体" w:hAnsi="宋体" w:hint="eastAsia"/>
          <w:szCs w:val="21"/>
        </w:rPr>
        <w:t>配对到交配</w:t>
      </w:r>
      <w:r w:rsidR="00ED1C14" w:rsidRPr="009B24BA">
        <w:rPr>
          <w:rFonts w:ascii="宋体" w:hAnsi="宋体" w:hint="eastAsia"/>
          <w:szCs w:val="21"/>
        </w:rPr>
        <w:t>完成</w:t>
      </w:r>
      <w:r w:rsidRPr="009B24BA">
        <w:rPr>
          <w:rFonts w:ascii="宋体" w:hAnsi="宋体" w:hint="eastAsia"/>
          <w:szCs w:val="21"/>
        </w:rPr>
        <w:t>的天数</w:t>
      </w:r>
      <w:r w:rsidR="00ED1C14" w:rsidRPr="009B24BA">
        <w:rPr>
          <w:rFonts w:ascii="宋体" w:hAnsi="宋体" w:hint="eastAsia"/>
          <w:szCs w:val="21"/>
        </w:rPr>
        <w:t>）；</w:t>
      </w:r>
    </w:p>
    <w:p w14:paraId="20947BEA" w14:textId="77777777" w:rsidR="00B1346D" w:rsidRPr="009B24BA" w:rsidRDefault="00EC5EDE" w:rsidP="00851140">
      <w:pPr>
        <w:spacing w:line="300" w:lineRule="auto"/>
        <w:ind w:firstLineChars="200" w:firstLine="420"/>
        <w:rPr>
          <w:rFonts w:ascii="宋体" w:hAnsi="宋体"/>
          <w:szCs w:val="21"/>
        </w:rPr>
      </w:pPr>
      <w:r w:rsidRPr="009B24BA">
        <w:rPr>
          <w:rFonts w:ascii="宋体" w:hAnsi="宋体" w:hint="eastAsia"/>
          <w:szCs w:val="21"/>
        </w:rPr>
        <w:t>生殖方面的毒性或其它效应</w:t>
      </w:r>
      <w:r w:rsidR="00ED1C14" w:rsidRPr="009B24BA">
        <w:rPr>
          <w:rFonts w:ascii="宋体" w:hAnsi="宋体" w:hint="eastAsia"/>
          <w:szCs w:val="21"/>
        </w:rPr>
        <w:t>，包括完成交配、妊娠、分娩和哺乳的动物数量和百分比，</w:t>
      </w:r>
      <w:r w:rsidRPr="009B24BA">
        <w:rPr>
          <w:rFonts w:ascii="宋体" w:hAnsi="宋体" w:hint="eastAsia"/>
          <w:szCs w:val="21"/>
        </w:rPr>
        <w:t>如与成功怀孕雌性配对的雄性数量及其百分比，难产、分娩延长或分娩困难的雌性数量及其百分比；</w:t>
      </w:r>
    </w:p>
    <w:p w14:paraId="7B628A55" w14:textId="77777777" w:rsidR="007649D1" w:rsidRPr="009B24BA" w:rsidRDefault="00B1346D" w:rsidP="00851140">
      <w:pPr>
        <w:spacing w:line="300" w:lineRule="auto"/>
        <w:ind w:firstLineChars="200" w:firstLine="420"/>
        <w:rPr>
          <w:rFonts w:ascii="宋体" w:hAnsi="宋体"/>
          <w:szCs w:val="21"/>
        </w:rPr>
      </w:pPr>
      <w:r w:rsidRPr="009B24BA">
        <w:rPr>
          <w:rFonts w:ascii="宋体" w:hAnsi="宋体" w:hint="eastAsia"/>
          <w:szCs w:val="21"/>
        </w:rPr>
        <w:t>妊娠</w:t>
      </w:r>
      <w:r w:rsidR="00EC5EDE" w:rsidRPr="009B24BA">
        <w:rPr>
          <w:rFonts w:ascii="宋体" w:hAnsi="宋体" w:hint="eastAsia"/>
          <w:szCs w:val="21"/>
        </w:rPr>
        <w:t>周期</w:t>
      </w:r>
      <w:r w:rsidRPr="009B24BA">
        <w:rPr>
          <w:rFonts w:ascii="宋体" w:hAnsi="宋体" w:hint="eastAsia"/>
          <w:szCs w:val="21"/>
        </w:rPr>
        <w:t>，如有条件</w:t>
      </w:r>
      <w:r w:rsidR="00EC5EDE" w:rsidRPr="009B24BA">
        <w:rPr>
          <w:rFonts w:ascii="宋体" w:hAnsi="宋体" w:hint="eastAsia"/>
          <w:szCs w:val="21"/>
        </w:rPr>
        <w:t>也可记录</w:t>
      </w:r>
      <w:r w:rsidRPr="009B24BA">
        <w:rPr>
          <w:rFonts w:ascii="宋体" w:hAnsi="宋体" w:hint="eastAsia"/>
          <w:szCs w:val="21"/>
        </w:rPr>
        <w:t>分娩时</w:t>
      </w:r>
      <w:r w:rsidR="00EC5EDE" w:rsidRPr="009B24BA">
        <w:rPr>
          <w:rFonts w:ascii="宋体" w:hAnsi="宋体" w:hint="eastAsia"/>
          <w:szCs w:val="21"/>
        </w:rPr>
        <w:t>长；</w:t>
      </w:r>
    </w:p>
    <w:p w14:paraId="0E61E647" w14:textId="77777777" w:rsidR="00EC5EDE" w:rsidRPr="009B24BA" w:rsidRDefault="00EC5EDE" w:rsidP="00EC5EDE">
      <w:pPr>
        <w:spacing w:line="300" w:lineRule="auto"/>
        <w:ind w:firstLineChars="200" w:firstLine="420"/>
        <w:rPr>
          <w:rFonts w:ascii="宋体" w:hAnsi="宋体"/>
          <w:szCs w:val="21"/>
        </w:rPr>
      </w:pPr>
      <w:r w:rsidRPr="009B24BA">
        <w:rPr>
          <w:rFonts w:ascii="宋体" w:hAnsi="宋体" w:hint="eastAsia"/>
          <w:szCs w:val="21"/>
        </w:rPr>
        <w:t>着床数、窝大小和雄性幼仔百分比；</w:t>
      </w:r>
    </w:p>
    <w:p w14:paraId="5CCBEDF5" w14:textId="77777777" w:rsidR="00EC5EDE" w:rsidRPr="009B24BA" w:rsidRDefault="00EC5EDE" w:rsidP="00EC5EDE">
      <w:pPr>
        <w:spacing w:line="300" w:lineRule="auto"/>
        <w:ind w:firstLineChars="200" w:firstLine="420"/>
        <w:rPr>
          <w:rFonts w:ascii="宋体" w:hAnsi="宋体"/>
          <w:szCs w:val="21"/>
        </w:rPr>
      </w:pPr>
      <w:r w:rsidRPr="009B24BA">
        <w:rPr>
          <w:rFonts w:ascii="宋体" w:hAnsi="宋体" w:hint="eastAsia"/>
          <w:szCs w:val="21"/>
        </w:rPr>
        <w:t>胚胎</w:t>
      </w:r>
      <w:r w:rsidR="00132E3D" w:rsidRPr="009B24BA">
        <w:rPr>
          <w:rFonts w:ascii="宋体" w:hAnsi="宋体" w:hint="eastAsia"/>
          <w:szCs w:val="21"/>
        </w:rPr>
        <w:t>着床</w:t>
      </w:r>
      <w:r w:rsidRPr="009B24BA">
        <w:rPr>
          <w:rFonts w:ascii="宋体" w:hAnsi="宋体" w:hint="eastAsia"/>
          <w:szCs w:val="21"/>
        </w:rPr>
        <w:t>后</w:t>
      </w:r>
      <w:r w:rsidR="00132E3D" w:rsidRPr="009B24BA">
        <w:rPr>
          <w:rFonts w:ascii="宋体" w:hAnsi="宋体" w:hint="eastAsia"/>
          <w:szCs w:val="21"/>
        </w:rPr>
        <w:t>丢失</w:t>
      </w:r>
      <w:r w:rsidRPr="009B24BA">
        <w:rPr>
          <w:rFonts w:ascii="宋体" w:hAnsi="宋体" w:hint="eastAsia"/>
          <w:szCs w:val="21"/>
        </w:rPr>
        <w:t>、活产和死产的数量和百分比</w:t>
      </w:r>
      <w:r w:rsidR="00132E3D" w:rsidRPr="009B24BA">
        <w:rPr>
          <w:rFonts w:ascii="宋体" w:hAnsi="宋体" w:hint="eastAsia"/>
          <w:szCs w:val="21"/>
        </w:rPr>
        <w:t>；</w:t>
      </w:r>
    </w:p>
    <w:p w14:paraId="1674CABD" w14:textId="77777777" w:rsidR="00EC5EDE" w:rsidRPr="009B24BA" w:rsidRDefault="00EC5EDE" w:rsidP="00EC5EDE">
      <w:pPr>
        <w:spacing w:line="300" w:lineRule="auto"/>
        <w:ind w:firstLineChars="200" w:firstLine="420"/>
        <w:rPr>
          <w:rFonts w:ascii="宋体" w:hAnsi="宋体"/>
          <w:szCs w:val="21"/>
        </w:rPr>
      </w:pPr>
      <w:r w:rsidRPr="009B24BA">
        <w:rPr>
          <w:rFonts w:ascii="宋体" w:hAnsi="宋体" w:hint="eastAsia"/>
          <w:szCs w:val="21"/>
        </w:rPr>
        <w:t>窝重</w:t>
      </w:r>
      <w:r w:rsidR="00132E3D" w:rsidRPr="009B24BA">
        <w:rPr>
          <w:rFonts w:ascii="宋体" w:hAnsi="宋体" w:hint="eastAsia"/>
          <w:szCs w:val="21"/>
        </w:rPr>
        <w:t>（包括窝雄性体重、窝雌性体重及全窝重）</w:t>
      </w:r>
      <w:r w:rsidRPr="009B24BA">
        <w:rPr>
          <w:rFonts w:ascii="宋体" w:hAnsi="宋体" w:hint="eastAsia"/>
          <w:szCs w:val="21"/>
        </w:rPr>
        <w:t>和幼</w:t>
      </w:r>
      <w:r w:rsidR="00AB1694" w:rsidRPr="009B24BA">
        <w:rPr>
          <w:rFonts w:ascii="宋体" w:hAnsi="宋体" w:hint="eastAsia"/>
          <w:szCs w:val="21"/>
        </w:rPr>
        <w:t>仔</w:t>
      </w:r>
      <w:r w:rsidRPr="009B24BA">
        <w:rPr>
          <w:rFonts w:ascii="宋体" w:hAnsi="宋体" w:hint="eastAsia"/>
          <w:szCs w:val="21"/>
        </w:rPr>
        <w:t>体重数据，</w:t>
      </w:r>
      <w:r w:rsidR="00DC2C54" w:rsidRPr="009B24BA">
        <w:rPr>
          <w:rFonts w:ascii="宋体" w:hAnsi="宋体" w:hint="eastAsia"/>
          <w:szCs w:val="21"/>
        </w:rPr>
        <w:t>经确认为</w:t>
      </w:r>
      <w:r w:rsidR="00AB1694" w:rsidRPr="009B24BA">
        <w:rPr>
          <w:rFonts w:ascii="宋体" w:hAnsi="宋体" w:hint="eastAsia"/>
          <w:szCs w:val="21"/>
        </w:rPr>
        <w:t>矮小的幼仔</w:t>
      </w:r>
      <w:r w:rsidRPr="009B24BA">
        <w:rPr>
          <w:rFonts w:ascii="宋体" w:hAnsi="宋体" w:hint="eastAsia"/>
          <w:szCs w:val="21"/>
        </w:rPr>
        <w:t>数量</w:t>
      </w:r>
      <w:r w:rsidR="00AB1694" w:rsidRPr="009B24BA">
        <w:rPr>
          <w:rFonts w:ascii="宋体" w:hAnsi="宋体" w:hint="eastAsia"/>
          <w:szCs w:val="21"/>
        </w:rPr>
        <w:t>；</w:t>
      </w:r>
    </w:p>
    <w:p w14:paraId="19927C5F" w14:textId="77777777" w:rsidR="00EC5EDE" w:rsidRPr="009B24BA" w:rsidRDefault="00EC5EDE" w:rsidP="00EC5EDE">
      <w:pPr>
        <w:spacing w:line="300" w:lineRule="auto"/>
        <w:ind w:firstLineChars="200" w:firstLine="420"/>
        <w:rPr>
          <w:rFonts w:ascii="宋体" w:hAnsi="宋体"/>
          <w:szCs w:val="21"/>
        </w:rPr>
      </w:pPr>
      <w:r w:rsidRPr="009B24BA">
        <w:rPr>
          <w:rFonts w:ascii="宋体" w:hAnsi="宋体" w:hint="eastAsia"/>
          <w:szCs w:val="21"/>
        </w:rPr>
        <w:t>有明显</w:t>
      </w:r>
      <w:r w:rsidR="00DC2C54" w:rsidRPr="009B24BA">
        <w:rPr>
          <w:rFonts w:ascii="宋体" w:hAnsi="宋体" w:hint="eastAsia"/>
          <w:szCs w:val="21"/>
        </w:rPr>
        <w:t>大体观察</w:t>
      </w:r>
      <w:r w:rsidRPr="009B24BA">
        <w:rPr>
          <w:rFonts w:ascii="宋体" w:hAnsi="宋体" w:hint="eastAsia"/>
          <w:szCs w:val="21"/>
        </w:rPr>
        <w:t>异常的幼</w:t>
      </w:r>
      <w:r w:rsidR="00DC2C54" w:rsidRPr="009B24BA">
        <w:rPr>
          <w:rFonts w:ascii="宋体" w:hAnsi="宋体" w:hint="eastAsia"/>
          <w:szCs w:val="21"/>
        </w:rPr>
        <w:t>仔</w:t>
      </w:r>
      <w:r w:rsidRPr="009B24BA">
        <w:rPr>
          <w:rFonts w:ascii="宋体" w:hAnsi="宋体" w:hint="eastAsia"/>
          <w:szCs w:val="21"/>
        </w:rPr>
        <w:t>数量</w:t>
      </w:r>
      <w:r w:rsidR="00DC2C54" w:rsidRPr="009B24BA">
        <w:rPr>
          <w:rFonts w:ascii="宋体" w:hAnsi="宋体" w:hint="eastAsia"/>
          <w:szCs w:val="21"/>
        </w:rPr>
        <w:t>；</w:t>
      </w:r>
    </w:p>
    <w:p w14:paraId="23B9F579" w14:textId="77777777" w:rsidR="00EC5EDE" w:rsidRPr="009B24BA" w:rsidRDefault="00EC5EDE" w:rsidP="00EC5EDE">
      <w:pPr>
        <w:spacing w:line="300" w:lineRule="auto"/>
        <w:ind w:firstLineChars="200" w:firstLine="420"/>
        <w:rPr>
          <w:rFonts w:ascii="宋体" w:hAnsi="宋体"/>
          <w:szCs w:val="21"/>
        </w:rPr>
      </w:pPr>
      <w:r w:rsidRPr="009B24BA">
        <w:rPr>
          <w:rFonts w:ascii="宋体" w:hAnsi="宋体" w:hint="eastAsia"/>
          <w:szCs w:val="21"/>
        </w:rPr>
        <w:t>对</w:t>
      </w:r>
      <w:r w:rsidR="00DC2C54" w:rsidRPr="009B24BA">
        <w:rPr>
          <w:rFonts w:ascii="宋体" w:hAnsi="宋体" w:hint="eastAsia"/>
          <w:szCs w:val="21"/>
        </w:rPr>
        <w:t>子代的毒性或其它效应，包括对产后的生长发育、存活的影响；</w:t>
      </w:r>
    </w:p>
    <w:p w14:paraId="300AD5D6" w14:textId="77777777" w:rsidR="00EC5EDE" w:rsidRPr="009B24BA" w:rsidRDefault="00EC5EDE" w:rsidP="00EC5EDE">
      <w:pPr>
        <w:spacing w:line="300" w:lineRule="auto"/>
        <w:ind w:firstLineChars="200" w:firstLine="420"/>
        <w:rPr>
          <w:rFonts w:ascii="宋体" w:hAnsi="宋体"/>
          <w:szCs w:val="21"/>
        </w:rPr>
      </w:pPr>
      <w:r w:rsidRPr="009B24BA">
        <w:rPr>
          <w:rFonts w:ascii="宋体" w:hAnsi="宋体" w:hint="eastAsia"/>
          <w:szCs w:val="21"/>
        </w:rPr>
        <w:t>幼</w:t>
      </w:r>
      <w:r w:rsidR="00DC2C54" w:rsidRPr="009B24BA">
        <w:rPr>
          <w:rFonts w:ascii="宋体" w:hAnsi="宋体" w:hint="eastAsia"/>
          <w:szCs w:val="21"/>
        </w:rPr>
        <w:t>仔发育里程碑的相关数据及其它产后发育数据；</w:t>
      </w:r>
    </w:p>
    <w:p w14:paraId="2ABA3308" w14:textId="77777777" w:rsidR="00EC5EDE" w:rsidRPr="009B24BA" w:rsidRDefault="00EC5EDE" w:rsidP="00EC5EDE">
      <w:pPr>
        <w:spacing w:line="300" w:lineRule="auto"/>
        <w:ind w:firstLineChars="200" w:firstLine="420"/>
        <w:rPr>
          <w:rFonts w:ascii="宋体" w:hAnsi="宋体"/>
          <w:szCs w:val="21"/>
        </w:rPr>
      </w:pPr>
      <w:r w:rsidRPr="009B24BA">
        <w:rPr>
          <w:rFonts w:ascii="宋体" w:hAnsi="宋体" w:hint="eastAsia"/>
          <w:szCs w:val="21"/>
        </w:rPr>
        <w:t>F1代动物性成熟数据</w:t>
      </w:r>
      <w:r w:rsidR="00DC2C54" w:rsidRPr="009B24BA">
        <w:rPr>
          <w:rFonts w:ascii="宋体" w:hAnsi="宋体" w:hint="eastAsia"/>
          <w:szCs w:val="21"/>
        </w:rPr>
        <w:t>；</w:t>
      </w:r>
    </w:p>
    <w:p w14:paraId="44448DE7" w14:textId="77777777" w:rsidR="00EC5EDE" w:rsidRPr="009B24BA" w:rsidRDefault="00DC2C54" w:rsidP="00EC5EDE">
      <w:pPr>
        <w:spacing w:line="300" w:lineRule="auto"/>
        <w:ind w:firstLineChars="200" w:firstLine="420"/>
        <w:rPr>
          <w:rFonts w:ascii="宋体" w:hAnsi="宋体"/>
          <w:szCs w:val="21"/>
        </w:rPr>
      </w:pPr>
      <w:r w:rsidRPr="009B24BA">
        <w:rPr>
          <w:rFonts w:ascii="宋体" w:hAnsi="宋体" w:hint="eastAsia"/>
          <w:szCs w:val="21"/>
        </w:rPr>
        <w:lastRenderedPageBreak/>
        <w:t>幼仔和成年动物</w:t>
      </w:r>
      <w:r w:rsidR="00EC5EDE" w:rsidRPr="009B24BA">
        <w:rPr>
          <w:rFonts w:ascii="宋体" w:hAnsi="宋体" w:hint="eastAsia"/>
          <w:szCs w:val="21"/>
        </w:rPr>
        <w:t>的功能观察数据</w:t>
      </w:r>
      <w:r w:rsidRPr="009B24BA">
        <w:rPr>
          <w:rFonts w:ascii="宋体" w:hAnsi="宋体" w:hint="eastAsia"/>
          <w:szCs w:val="21"/>
        </w:rPr>
        <w:t>（</w:t>
      </w:r>
      <w:r w:rsidR="00EC5EDE" w:rsidRPr="009B24BA">
        <w:rPr>
          <w:rFonts w:ascii="宋体" w:hAnsi="宋体" w:hint="eastAsia"/>
          <w:szCs w:val="21"/>
        </w:rPr>
        <w:t>如适用</w:t>
      </w:r>
      <w:r w:rsidRPr="009B24BA">
        <w:rPr>
          <w:rFonts w:ascii="宋体" w:hAnsi="宋体" w:hint="eastAsia"/>
          <w:szCs w:val="21"/>
        </w:rPr>
        <w:t>）；</w:t>
      </w:r>
    </w:p>
    <w:p w14:paraId="1504A226" w14:textId="77777777" w:rsidR="00EC5EDE" w:rsidRPr="009B24BA" w:rsidRDefault="00DC2C54" w:rsidP="00EC5EDE">
      <w:pPr>
        <w:spacing w:line="300" w:lineRule="auto"/>
        <w:ind w:firstLineChars="200" w:firstLine="420"/>
        <w:rPr>
          <w:rFonts w:ascii="宋体" w:hAnsi="宋体"/>
          <w:szCs w:val="21"/>
        </w:rPr>
      </w:pPr>
      <w:r w:rsidRPr="009B24BA">
        <w:rPr>
          <w:rFonts w:ascii="宋体" w:hAnsi="宋体" w:hint="eastAsia"/>
          <w:szCs w:val="21"/>
        </w:rPr>
        <w:t>安乐死解剖</w:t>
      </w:r>
      <w:r w:rsidR="00EC5EDE" w:rsidRPr="009B24BA">
        <w:rPr>
          <w:rFonts w:ascii="宋体" w:hAnsi="宋体" w:hint="eastAsia"/>
          <w:szCs w:val="21"/>
        </w:rPr>
        <w:t>时</w:t>
      </w:r>
      <w:r w:rsidRPr="009B24BA">
        <w:rPr>
          <w:rFonts w:ascii="宋体" w:hAnsi="宋体" w:hint="eastAsia"/>
          <w:szCs w:val="21"/>
        </w:rPr>
        <w:t>的</w:t>
      </w:r>
      <w:r w:rsidR="00EC5EDE" w:rsidRPr="009B24BA">
        <w:rPr>
          <w:rFonts w:ascii="宋体" w:hAnsi="宋体" w:hint="eastAsia"/>
          <w:szCs w:val="21"/>
        </w:rPr>
        <w:t>体重</w:t>
      </w:r>
      <w:r w:rsidRPr="009B24BA">
        <w:rPr>
          <w:rFonts w:ascii="宋体" w:hAnsi="宋体" w:hint="eastAsia"/>
          <w:szCs w:val="21"/>
        </w:rPr>
        <w:t>，F0</w:t>
      </w:r>
      <w:r w:rsidR="00EC5EDE" w:rsidRPr="009B24BA">
        <w:rPr>
          <w:rFonts w:ascii="宋体" w:hAnsi="宋体" w:hint="eastAsia"/>
          <w:szCs w:val="21"/>
        </w:rPr>
        <w:t>和成年F1的</w:t>
      </w:r>
      <w:r w:rsidRPr="009B24BA">
        <w:rPr>
          <w:rFonts w:ascii="宋体" w:hAnsi="宋体" w:hint="eastAsia"/>
          <w:szCs w:val="21"/>
        </w:rPr>
        <w:t>脏器</w:t>
      </w:r>
      <w:r w:rsidR="00EC5EDE" w:rsidRPr="009B24BA">
        <w:rPr>
          <w:rFonts w:ascii="宋体" w:hAnsi="宋体" w:hint="eastAsia"/>
          <w:szCs w:val="21"/>
        </w:rPr>
        <w:t>绝对和相对重量数据</w:t>
      </w:r>
      <w:r w:rsidRPr="009B24BA">
        <w:rPr>
          <w:rFonts w:ascii="宋体" w:hAnsi="宋体" w:hint="eastAsia"/>
          <w:szCs w:val="21"/>
        </w:rPr>
        <w:t>；</w:t>
      </w:r>
    </w:p>
    <w:p w14:paraId="6DCD4D5D" w14:textId="77777777" w:rsidR="00EC5EDE" w:rsidRPr="009B24BA" w:rsidRDefault="00DC2C54" w:rsidP="00EC5EDE">
      <w:pPr>
        <w:spacing w:line="300" w:lineRule="auto"/>
        <w:ind w:firstLineChars="200" w:firstLine="420"/>
        <w:rPr>
          <w:rFonts w:ascii="宋体" w:hAnsi="宋体"/>
          <w:szCs w:val="21"/>
        </w:rPr>
      </w:pPr>
      <w:r w:rsidRPr="009B24BA">
        <w:rPr>
          <w:rFonts w:ascii="宋体" w:hAnsi="宋体" w:hint="eastAsia"/>
          <w:szCs w:val="21"/>
        </w:rPr>
        <w:t>大体解剖观察结果；</w:t>
      </w:r>
    </w:p>
    <w:p w14:paraId="781DE683" w14:textId="77777777" w:rsidR="00EC5EDE" w:rsidRPr="009B24BA" w:rsidRDefault="00EC5EDE" w:rsidP="00EC5EDE">
      <w:pPr>
        <w:spacing w:line="300" w:lineRule="auto"/>
        <w:ind w:firstLineChars="200" w:firstLine="420"/>
        <w:rPr>
          <w:rFonts w:ascii="宋体" w:hAnsi="宋体"/>
          <w:szCs w:val="21"/>
        </w:rPr>
      </w:pPr>
      <w:r w:rsidRPr="009B24BA">
        <w:rPr>
          <w:rFonts w:ascii="宋体" w:hAnsi="宋体" w:hint="eastAsia"/>
          <w:szCs w:val="21"/>
        </w:rPr>
        <w:t>详细描述所有组织病理学</w:t>
      </w:r>
      <w:r w:rsidR="00DC2C54" w:rsidRPr="009B24BA">
        <w:rPr>
          <w:rFonts w:ascii="宋体" w:hAnsi="宋体" w:hint="eastAsia"/>
          <w:szCs w:val="21"/>
        </w:rPr>
        <w:t>发现；</w:t>
      </w:r>
    </w:p>
    <w:p w14:paraId="2E212800" w14:textId="77777777" w:rsidR="00EC5EDE" w:rsidRPr="009B24BA" w:rsidRDefault="00B72F85" w:rsidP="005A52C6">
      <w:pPr>
        <w:spacing w:line="300" w:lineRule="auto"/>
        <w:ind w:firstLineChars="200" w:firstLine="420"/>
        <w:rPr>
          <w:rFonts w:ascii="宋体" w:hAnsi="宋体"/>
          <w:szCs w:val="21"/>
        </w:rPr>
      </w:pPr>
      <w:r w:rsidRPr="009B24BA">
        <w:rPr>
          <w:rFonts w:ascii="宋体" w:hAnsi="宋体" w:hint="eastAsia"/>
          <w:szCs w:val="21"/>
        </w:rPr>
        <w:t>F0和F1</w:t>
      </w:r>
      <w:r w:rsidR="00EC5EDE" w:rsidRPr="009B24BA">
        <w:rPr>
          <w:rFonts w:ascii="宋体" w:hAnsi="宋体" w:hint="eastAsia"/>
          <w:szCs w:val="21"/>
        </w:rPr>
        <w:t>附睾尾精子总数，前</w:t>
      </w:r>
      <w:r w:rsidR="00DC2C54" w:rsidRPr="009B24BA">
        <w:rPr>
          <w:rFonts w:ascii="宋体" w:hAnsi="宋体" w:hint="eastAsia"/>
          <w:szCs w:val="21"/>
        </w:rPr>
        <w:t>进</w:t>
      </w:r>
      <w:r w:rsidR="00EC5EDE" w:rsidRPr="009B24BA">
        <w:rPr>
          <w:rFonts w:ascii="宋体" w:hAnsi="宋体" w:hint="eastAsia"/>
          <w:szCs w:val="21"/>
        </w:rPr>
        <w:t>运动精子百分比，</w:t>
      </w:r>
      <w:r w:rsidR="00DC2C54" w:rsidRPr="009B24BA">
        <w:rPr>
          <w:rFonts w:ascii="宋体" w:hAnsi="宋体" w:hint="eastAsia"/>
          <w:szCs w:val="21"/>
        </w:rPr>
        <w:t>形态正常</w:t>
      </w:r>
      <w:r w:rsidRPr="009B24BA">
        <w:rPr>
          <w:rFonts w:ascii="宋体" w:hAnsi="宋体" w:hint="eastAsia"/>
          <w:szCs w:val="21"/>
        </w:rPr>
        <w:t>和异常</w:t>
      </w:r>
      <w:r w:rsidR="00DC2C54" w:rsidRPr="009B24BA">
        <w:rPr>
          <w:rFonts w:ascii="宋体" w:hAnsi="宋体" w:hint="eastAsia"/>
          <w:szCs w:val="21"/>
        </w:rPr>
        <w:t>精子百分比</w:t>
      </w:r>
      <w:r w:rsidRPr="009B24BA">
        <w:rPr>
          <w:rFonts w:ascii="宋体" w:hAnsi="宋体" w:hint="eastAsia"/>
          <w:szCs w:val="21"/>
        </w:rPr>
        <w:t>；</w:t>
      </w:r>
    </w:p>
    <w:p w14:paraId="49085DF1" w14:textId="77777777" w:rsidR="00EC5EDE" w:rsidRPr="009B24BA" w:rsidRDefault="00EC5EDE" w:rsidP="00EC5EDE">
      <w:pPr>
        <w:spacing w:line="300" w:lineRule="auto"/>
        <w:ind w:firstLineChars="200" w:firstLine="420"/>
        <w:rPr>
          <w:rFonts w:ascii="宋体" w:hAnsi="宋体"/>
          <w:szCs w:val="21"/>
        </w:rPr>
      </w:pPr>
      <w:r w:rsidRPr="009B24BA">
        <w:rPr>
          <w:rFonts w:ascii="宋体" w:hAnsi="宋体" w:hint="eastAsia"/>
          <w:szCs w:val="21"/>
        </w:rPr>
        <w:t>F1的男性;</w:t>
      </w:r>
    </w:p>
    <w:p w14:paraId="6108CD80" w14:textId="77777777" w:rsidR="00EC5EDE" w:rsidRPr="009B24BA" w:rsidRDefault="00B72F85" w:rsidP="00EC5EDE">
      <w:pPr>
        <w:spacing w:line="300" w:lineRule="auto"/>
        <w:ind w:firstLineChars="200" w:firstLine="420"/>
        <w:rPr>
          <w:rFonts w:ascii="宋体" w:hAnsi="宋体"/>
          <w:szCs w:val="21"/>
        </w:rPr>
      </w:pPr>
      <w:r w:rsidRPr="009B24BA">
        <w:rPr>
          <w:rFonts w:ascii="宋体" w:hAnsi="宋体" w:hint="eastAsia"/>
          <w:szCs w:val="21"/>
        </w:rPr>
        <w:t>F0和F1雌性卵泡数量及其成熟阶段（如适用）；</w:t>
      </w:r>
    </w:p>
    <w:p w14:paraId="29C0975F" w14:textId="77777777" w:rsidR="00EC5EDE" w:rsidRPr="009B24BA" w:rsidRDefault="00EC5EDE" w:rsidP="00EC5EDE">
      <w:pPr>
        <w:spacing w:line="300" w:lineRule="auto"/>
        <w:ind w:firstLineChars="200" w:firstLine="420"/>
        <w:rPr>
          <w:rFonts w:ascii="宋体" w:hAnsi="宋体"/>
          <w:szCs w:val="21"/>
        </w:rPr>
      </w:pPr>
      <w:r w:rsidRPr="009B24BA">
        <w:rPr>
          <w:rFonts w:ascii="宋体" w:hAnsi="宋体" w:hint="eastAsia"/>
          <w:szCs w:val="21"/>
        </w:rPr>
        <w:t>F1</w:t>
      </w:r>
      <w:r w:rsidR="00B72F85" w:rsidRPr="009B24BA">
        <w:rPr>
          <w:rFonts w:ascii="宋体" w:hAnsi="宋体" w:hint="eastAsia"/>
          <w:szCs w:val="21"/>
        </w:rPr>
        <w:t>雌鼠卵巢中黄体</w:t>
      </w:r>
      <w:r w:rsidRPr="009B24BA">
        <w:rPr>
          <w:rFonts w:ascii="宋体" w:hAnsi="宋体" w:hint="eastAsia"/>
          <w:szCs w:val="21"/>
        </w:rPr>
        <w:t>计数</w:t>
      </w:r>
      <w:r w:rsidR="00B72F85" w:rsidRPr="009B24BA">
        <w:rPr>
          <w:rFonts w:ascii="宋体" w:hAnsi="宋体" w:hint="eastAsia"/>
          <w:szCs w:val="21"/>
        </w:rPr>
        <w:t>；</w:t>
      </w:r>
    </w:p>
    <w:p w14:paraId="5C7BD241" w14:textId="77777777" w:rsidR="00EC5EDE" w:rsidRPr="009B24BA" w:rsidRDefault="00B72F85" w:rsidP="00851140">
      <w:pPr>
        <w:spacing w:line="300" w:lineRule="auto"/>
        <w:ind w:firstLineChars="200" w:firstLine="420"/>
        <w:rPr>
          <w:rFonts w:ascii="宋体" w:hAnsi="宋体"/>
          <w:szCs w:val="21"/>
        </w:rPr>
      </w:pPr>
      <w:r w:rsidRPr="009B24BA">
        <w:rPr>
          <w:rFonts w:ascii="宋体" w:hAnsi="宋体" w:hint="eastAsia"/>
          <w:szCs w:val="21"/>
        </w:rPr>
        <w:t>对试验结果进行合适的统计分析。</w:t>
      </w:r>
    </w:p>
    <w:p w14:paraId="153DF10A" w14:textId="77777777" w:rsidR="00B72F85" w:rsidRPr="009B24BA" w:rsidRDefault="00B72F85" w:rsidP="00851140">
      <w:pPr>
        <w:spacing w:line="300" w:lineRule="auto"/>
        <w:ind w:firstLineChars="200" w:firstLine="420"/>
        <w:rPr>
          <w:rFonts w:ascii="宋体" w:hAnsi="宋体"/>
          <w:szCs w:val="21"/>
        </w:rPr>
      </w:pPr>
      <w:r w:rsidRPr="009B24BA">
        <w:rPr>
          <w:rFonts w:ascii="宋体" w:hAnsi="宋体" w:hint="eastAsia"/>
          <w:szCs w:val="21"/>
        </w:rPr>
        <w:t>序列2应获得以下试验结果：</w:t>
      </w:r>
    </w:p>
    <w:p w14:paraId="0454D5EB" w14:textId="77777777" w:rsidR="00B72F85" w:rsidRPr="009B24BA" w:rsidRDefault="00B72F85" w:rsidP="005A52C6">
      <w:pPr>
        <w:spacing w:line="300" w:lineRule="auto"/>
        <w:ind w:firstLineChars="200" w:firstLine="420"/>
        <w:rPr>
          <w:rFonts w:ascii="宋体" w:hAnsi="宋体"/>
          <w:szCs w:val="21"/>
        </w:rPr>
      </w:pPr>
      <w:r w:rsidRPr="009B24BA">
        <w:rPr>
          <w:rFonts w:ascii="宋体" w:hAnsi="宋体" w:hint="eastAsia"/>
          <w:szCs w:val="21"/>
        </w:rPr>
        <w:t>所使用的评分观察系统，应详细描述该标准化观察的程序以及操作性定义；</w:t>
      </w:r>
    </w:p>
    <w:p w14:paraId="459F3E36" w14:textId="77777777" w:rsidR="00B72F85" w:rsidRPr="009B24BA" w:rsidRDefault="00B72F85" w:rsidP="00B72F85">
      <w:pPr>
        <w:spacing w:line="300" w:lineRule="auto"/>
        <w:ind w:firstLineChars="200" w:firstLine="420"/>
        <w:rPr>
          <w:rFonts w:ascii="宋体" w:hAnsi="宋体"/>
          <w:szCs w:val="21"/>
        </w:rPr>
      </w:pPr>
      <w:r w:rsidRPr="009B24BA">
        <w:rPr>
          <w:rFonts w:ascii="宋体" w:hAnsi="宋体" w:hint="eastAsia"/>
          <w:szCs w:val="21"/>
        </w:rPr>
        <w:t>采用的试验方法清单及其使用理由；</w:t>
      </w:r>
    </w:p>
    <w:p w14:paraId="09226D0B" w14:textId="77777777" w:rsidR="00B72F85" w:rsidRPr="009B24BA" w:rsidRDefault="006B56C6" w:rsidP="005A52C6">
      <w:pPr>
        <w:spacing w:line="300" w:lineRule="auto"/>
        <w:ind w:firstLineChars="200" w:firstLine="420"/>
        <w:rPr>
          <w:rFonts w:ascii="宋体" w:hAnsi="宋体"/>
          <w:szCs w:val="21"/>
        </w:rPr>
      </w:pPr>
      <w:r w:rsidRPr="009B24BA">
        <w:rPr>
          <w:rFonts w:ascii="宋体" w:hAnsi="宋体" w:hint="eastAsia"/>
          <w:szCs w:val="21"/>
        </w:rPr>
        <w:t>详细描述所</w:t>
      </w:r>
      <w:r w:rsidR="00B72F85" w:rsidRPr="009B24BA">
        <w:rPr>
          <w:rFonts w:ascii="宋体" w:hAnsi="宋体" w:hint="eastAsia"/>
          <w:szCs w:val="21"/>
        </w:rPr>
        <w:t>使用的行为/功能、神经病理学和形态学</w:t>
      </w:r>
      <w:r w:rsidRPr="009B24BA">
        <w:rPr>
          <w:rFonts w:ascii="宋体" w:hAnsi="宋体" w:hint="eastAsia"/>
          <w:szCs w:val="21"/>
        </w:rPr>
        <w:t>测量方法</w:t>
      </w:r>
      <w:r w:rsidR="00B72F85" w:rsidRPr="009B24BA">
        <w:rPr>
          <w:rFonts w:ascii="宋体" w:hAnsi="宋体" w:hint="eastAsia"/>
          <w:szCs w:val="21"/>
        </w:rPr>
        <w:t>，包括自动化设备的</w:t>
      </w:r>
      <w:r w:rsidRPr="009B24BA">
        <w:rPr>
          <w:rFonts w:ascii="宋体" w:hAnsi="宋体" w:hint="eastAsia"/>
          <w:szCs w:val="21"/>
        </w:rPr>
        <w:t>相关</w:t>
      </w:r>
      <w:r w:rsidR="00B72F85" w:rsidRPr="009B24BA">
        <w:rPr>
          <w:rFonts w:ascii="宋体" w:hAnsi="宋体" w:hint="eastAsia"/>
          <w:szCs w:val="21"/>
        </w:rPr>
        <w:t>信息</w:t>
      </w:r>
      <w:r w:rsidRPr="009B24BA">
        <w:rPr>
          <w:rFonts w:ascii="宋体" w:hAnsi="宋体" w:hint="eastAsia"/>
          <w:szCs w:val="21"/>
        </w:rPr>
        <w:t>；</w:t>
      </w:r>
    </w:p>
    <w:p w14:paraId="08BE0728" w14:textId="77777777" w:rsidR="00B72F85" w:rsidRPr="009B24BA" w:rsidRDefault="006B56C6" w:rsidP="00B72F85">
      <w:pPr>
        <w:spacing w:line="300" w:lineRule="auto"/>
        <w:ind w:firstLineChars="200" w:firstLine="420"/>
        <w:rPr>
          <w:rFonts w:ascii="宋体" w:hAnsi="宋体"/>
          <w:szCs w:val="21"/>
        </w:rPr>
      </w:pPr>
      <w:r w:rsidRPr="009B24BA">
        <w:rPr>
          <w:rFonts w:ascii="宋体" w:hAnsi="宋体" w:hint="eastAsia"/>
          <w:szCs w:val="21"/>
        </w:rPr>
        <w:t>需详细描述所用行为学测试仪器的校准方法及如何确保组间和组内测试条件的一致性；</w:t>
      </w:r>
    </w:p>
    <w:p w14:paraId="7D2539EE" w14:textId="77777777" w:rsidR="00B72F85" w:rsidRPr="009B24BA" w:rsidRDefault="00B72F85" w:rsidP="00B72F85">
      <w:pPr>
        <w:spacing w:line="300" w:lineRule="auto"/>
        <w:ind w:firstLineChars="200" w:firstLine="420"/>
        <w:rPr>
          <w:rFonts w:ascii="宋体" w:hAnsi="宋体"/>
          <w:szCs w:val="21"/>
        </w:rPr>
      </w:pPr>
      <w:r w:rsidRPr="009B24BA">
        <w:rPr>
          <w:rFonts w:ascii="宋体" w:hAnsi="宋体" w:hint="eastAsia"/>
          <w:szCs w:val="21"/>
        </w:rPr>
        <w:t>简</w:t>
      </w:r>
      <w:r w:rsidR="006B56C6" w:rsidRPr="009B24BA">
        <w:rPr>
          <w:rFonts w:ascii="宋体" w:hAnsi="宋体" w:hint="eastAsia"/>
          <w:szCs w:val="21"/>
        </w:rPr>
        <w:t>洁介绍任何涉及专业判断的理由；</w:t>
      </w:r>
    </w:p>
    <w:p w14:paraId="182C6CB4" w14:textId="77777777" w:rsidR="00B72F85" w:rsidRPr="009B24BA" w:rsidRDefault="00B72F85" w:rsidP="005A52C6">
      <w:pPr>
        <w:spacing w:line="300" w:lineRule="auto"/>
        <w:ind w:firstLineChars="200" w:firstLine="420"/>
        <w:rPr>
          <w:rFonts w:ascii="宋体" w:hAnsi="宋体"/>
          <w:szCs w:val="21"/>
        </w:rPr>
      </w:pPr>
      <w:r w:rsidRPr="009B24BA">
        <w:rPr>
          <w:rFonts w:ascii="宋体" w:hAnsi="宋体" w:hint="eastAsia"/>
          <w:szCs w:val="21"/>
        </w:rPr>
        <w:t>详细描述所有行为/功能、神经病理和形态</w:t>
      </w:r>
      <w:r w:rsidR="006B56C6" w:rsidRPr="009B24BA">
        <w:rPr>
          <w:rFonts w:ascii="宋体" w:hAnsi="宋体" w:hint="eastAsia"/>
          <w:szCs w:val="21"/>
        </w:rPr>
        <w:t>学</w:t>
      </w:r>
      <w:r w:rsidRPr="009B24BA">
        <w:rPr>
          <w:rFonts w:ascii="宋体" w:hAnsi="宋体" w:hint="eastAsia"/>
          <w:szCs w:val="21"/>
        </w:rPr>
        <w:t>测量结果</w:t>
      </w:r>
      <w:r w:rsidR="006B56C6" w:rsidRPr="009B24BA">
        <w:rPr>
          <w:rFonts w:ascii="宋体" w:hAnsi="宋体" w:hint="eastAsia"/>
          <w:szCs w:val="21"/>
        </w:rPr>
        <w:t>，</w:t>
      </w:r>
      <w:r w:rsidRPr="009B24BA">
        <w:rPr>
          <w:rFonts w:ascii="宋体" w:hAnsi="宋体" w:hint="eastAsia"/>
          <w:szCs w:val="21"/>
        </w:rPr>
        <w:t>按性别和剂量分组，包括与对照组相比增加</w:t>
      </w:r>
      <w:r w:rsidR="006B56C6" w:rsidRPr="009B24BA">
        <w:rPr>
          <w:rFonts w:ascii="宋体" w:hAnsi="宋体" w:hint="eastAsia"/>
          <w:szCs w:val="21"/>
        </w:rPr>
        <w:t>还是</w:t>
      </w:r>
      <w:r w:rsidRPr="009B24BA">
        <w:rPr>
          <w:rFonts w:ascii="宋体" w:hAnsi="宋体" w:hint="eastAsia"/>
          <w:szCs w:val="21"/>
        </w:rPr>
        <w:t>减少</w:t>
      </w:r>
      <w:r w:rsidR="006B56C6" w:rsidRPr="009B24BA">
        <w:rPr>
          <w:rFonts w:ascii="宋体" w:hAnsi="宋体" w:hint="eastAsia"/>
          <w:szCs w:val="21"/>
        </w:rPr>
        <w:t>；</w:t>
      </w:r>
    </w:p>
    <w:p w14:paraId="7B52F800" w14:textId="77777777" w:rsidR="00B72F85" w:rsidRPr="009B24BA" w:rsidRDefault="006B56C6" w:rsidP="00B72F85">
      <w:pPr>
        <w:spacing w:line="300" w:lineRule="auto"/>
        <w:ind w:firstLineChars="200" w:firstLine="420"/>
        <w:rPr>
          <w:rFonts w:ascii="宋体" w:hAnsi="宋体"/>
          <w:szCs w:val="21"/>
        </w:rPr>
      </w:pPr>
      <w:r w:rsidRPr="009B24BA">
        <w:rPr>
          <w:rFonts w:ascii="宋体" w:hAnsi="宋体" w:hint="eastAsia"/>
          <w:szCs w:val="21"/>
        </w:rPr>
        <w:t>脑重；</w:t>
      </w:r>
    </w:p>
    <w:p w14:paraId="39010432" w14:textId="77777777" w:rsidR="00B72F85" w:rsidRPr="009B24BA" w:rsidRDefault="00B72F85" w:rsidP="005A52C6">
      <w:pPr>
        <w:spacing w:line="300" w:lineRule="auto"/>
        <w:ind w:firstLineChars="200" w:firstLine="420"/>
        <w:rPr>
          <w:rFonts w:ascii="宋体" w:hAnsi="宋体"/>
          <w:szCs w:val="21"/>
        </w:rPr>
      </w:pPr>
      <w:r w:rsidRPr="009B24BA">
        <w:rPr>
          <w:rFonts w:ascii="宋体" w:hAnsi="宋体" w:hint="eastAsia"/>
          <w:szCs w:val="21"/>
        </w:rPr>
        <w:t>任何</w:t>
      </w:r>
      <w:r w:rsidR="006B56C6" w:rsidRPr="009B24BA">
        <w:rPr>
          <w:rFonts w:ascii="宋体" w:hAnsi="宋体" w:hint="eastAsia"/>
          <w:szCs w:val="21"/>
        </w:rPr>
        <w:t>被认为</w:t>
      </w:r>
      <w:r w:rsidRPr="009B24BA">
        <w:rPr>
          <w:rFonts w:ascii="宋体" w:hAnsi="宋体" w:hint="eastAsia"/>
          <w:szCs w:val="21"/>
        </w:rPr>
        <w:t>源于神经系统</w:t>
      </w:r>
      <w:r w:rsidR="006B56C6" w:rsidRPr="009B24BA">
        <w:rPr>
          <w:rFonts w:ascii="宋体" w:hAnsi="宋体" w:hint="eastAsia"/>
          <w:szCs w:val="21"/>
        </w:rPr>
        <w:t>的症状和损伤</w:t>
      </w:r>
      <w:r w:rsidRPr="009B24BA">
        <w:rPr>
          <w:rFonts w:ascii="宋体" w:hAnsi="宋体" w:hint="eastAsia"/>
          <w:szCs w:val="21"/>
        </w:rPr>
        <w:t>，包括自</w:t>
      </w:r>
      <w:r w:rsidR="006B56C6" w:rsidRPr="009B24BA">
        <w:rPr>
          <w:rFonts w:ascii="宋体" w:hAnsi="宋体" w:hint="eastAsia"/>
          <w:szCs w:val="21"/>
        </w:rPr>
        <w:t>发或条件致病；</w:t>
      </w:r>
    </w:p>
    <w:p w14:paraId="770AD717" w14:textId="77777777" w:rsidR="00B72F85" w:rsidRPr="009B24BA" w:rsidRDefault="006B56C6" w:rsidP="00B72F85">
      <w:pPr>
        <w:spacing w:line="300" w:lineRule="auto"/>
        <w:ind w:firstLineChars="200" w:firstLine="420"/>
        <w:rPr>
          <w:rFonts w:ascii="宋体" w:hAnsi="宋体"/>
          <w:szCs w:val="21"/>
        </w:rPr>
      </w:pPr>
      <w:r w:rsidRPr="009B24BA">
        <w:rPr>
          <w:rFonts w:ascii="宋体" w:hAnsi="宋体" w:hint="eastAsia"/>
          <w:szCs w:val="21"/>
        </w:rPr>
        <w:lastRenderedPageBreak/>
        <w:t>观察到异常的标本的图像资料；</w:t>
      </w:r>
    </w:p>
    <w:p w14:paraId="75EA80E4" w14:textId="77777777" w:rsidR="00B72F85" w:rsidRPr="009B24BA" w:rsidRDefault="00744FB9" w:rsidP="00B72F85">
      <w:pPr>
        <w:spacing w:line="300" w:lineRule="auto"/>
        <w:ind w:firstLineChars="200" w:firstLine="420"/>
        <w:rPr>
          <w:rFonts w:ascii="宋体" w:hAnsi="宋体"/>
          <w:szCs w:val="21"/>
        </w:rPr>
      </w:pPr>
      <w:r w:rsidRPr="009B24BA">
        <w:rPr>
          <w:rFonts w:ascii="宋体" w:hAnsi="宋体" w:hint="eastAsia"/>
          <w:szCs w:val="21"/>
        </w:rPr>
        <w:t>在组织形态学检查中用于评估切面同源性的低倍图片</w:t>
      </w:r>
      <w:r w:rsidR="00DD021C" w:rsidRPr="009B24BA">
        <w:rPr>
          <w:rFonts w:ascii="宋体" w:hAnsi="宋体" w:hint="eastAsia"/>
          <w:szCs w:val="21"/>
        </w:rPr>
        <w:t>；</w:t>
      </w:r>
    </w:p>
    <w:p w14:paraId="405FAEA1" w14:textId="77777777" w:rsidR="00B72F85" w:rsidRPr="009B24BA" w:rsidRDefault="00B72F85" w:rsidP="005A52C6">
      <w:pPr>
        <w:spacing w:line="300" w:lineRule="auto"/>
        <w:ind w:firstLineChars="200" w:firstLine="420"/>
        <w:rPr>
          <w:rFonts w:ascii="宋体" w:hAnsi="宋体"/>
          <w:szCs w:val="21"/>
        </w:rPr>
      </w:pPr>
      <w:r w:rsidRPr="009B24BA">
        <w:rPr>
          <w:rFonts w:ascii="宋体" w:hAnsi="宋体" w:hint="eastAsia"/>
          <w:szCs w:val="21"/>
        </w:rPr>
        <w:t>结果的统计</w:t>
      </w:r>
      <w:r w:rsidR="00DD021C" w:rsidRPr="009B24BA">
        <w:rPr>
          <w:rFonts w:ascii="宋体" w:hAnsi="宋体" w:hint="eastAsia"/>
          <w:szCs w:val="21"/>
        </w:rPr>
        <w:t>分析</w:t>
      </w:r>
      <w:r w:rsidRPr="009B24BA">
        <w:rPr>
          <w:rFonts w:ascii="宋体" w:hAnsi="宋体" w:hint="eastAsia"/>
          <w:szCs w:val="21"/>
        </w:rPr>
        <w:t>，包括</w:t>
      </w:r>
      <w:r w:rsidR="00DD021C" w:rsidRPr="009B24BA">
        <w:rPr>
          <w:rFonts w:ascii="宋体" w:hAnsi="宋体" w:hint="eastAsia"/>
          <w:szCs w:val="21"/>
        </w:rPr>
        <w:t>统计方法</w:t>
      </w:r>
      <w:r w:rsidRPr="009B24BA">
        <w:rPr>
          <w:rFonts w:ascii="宋体" w:hAnsi="宋体" w:hint="eastAsia"/>
          <w:szCs w:val="21"/>
        </w:rPr>
        <w:t>以及结果，无论</w:t>
      </w:r>
      <w:r w:rsidR="00DD021C" w:rsidRPr="009B24BA">
        <w:rPr>
          <w:rFonts w:ascii="宋体" w:hAnsi="宋体" w:hint="eastAsia"/>
          <w:szCs w:val="21"/>
        </w:rPr>
        <w:t>结果是</w:t>
      </w:r>
      <w:r w:rsidRPr="009B24BA">
        <w:rPr>
          <w:rFonts w:ascii="宋体" w:hAnsi="宋体" w:hint="eastAsia"/>
          <w:szCs w:val="21"/>
        </w:rPr>
        <w:t>否显著</w:t>
      </w:r>
      <w:r w:rsidR="00DD021C" w:rsidRPr="009B24BA">
        <w:rPr>
          <w:rFonts w:ascii="宋体" w:hAnsi="宋体" w:hint="eastAsia"/>
          <w:szCs w:val="21"/>
        </w:rPr>
        <w:t>；</w:t>
      </w:r>
    </w:p>
    <w:p w14:paraId="31BB1D72" w14:textId="77777777" w:rsidR="00B72F85" w:rsidRPr="009B24BA" w:rsidRDefault="00DD021C" w:rsidP="005A52C6">
      <w:pPr>
        <w:spacing w:line="300" w:lineRule="auto"/>
        <w:ind w:firstLineChars="200" w:firstLine="420"/>
        <w:rPr>
          <w:rFonts w:ascii="宋体" w:hAnsi="宋体"/>
          <w:szCs w:val="21"/>
        </w:rPr>
      </w:pPr>
      <w:r w:rsidRPr="009B24BA">
        <w:rPr>
          <w:rFonts w:ascii="宋体" w:hAnsi="宋体" w:hint="eastAsia"/>
          <w:szCs w:val="21"/>
        </w:rPr>
        <w:t>按性别和剂量组分析</w:t>
      </w:r>
      <w:r w:rsidR="00B72F85" w:rsidRPr="009B24BA">
        <w:rPr>
          <w:rFonts w:ascii="宋体" w:hAnsi="宋体" w:hint="eastAsia"/>
          <w:szCs w:val="21"/>
        </w:rPr>
        <w:t>任何其他毒性作用与</w:t>
      </w:r>
      <w:r w:rsidRPr="009B24BA">
        <w:rPr>
          <w:rFonts w:ascii="宋体" w:hAnsi="宋体" w:hint="eastAsia"/>
          <w:szCs w:val="21"/>
        </w:rPr>
        <w:t>受试物</w:t>
      </w:r>
      <w:r w:rsidR="00B72F85" w:rsidRPr="009B24BA">
        <w:rPr>
          <w:rFonts w:ascii="宋体" w:hAnsi="宋体" w:hint="eastAsia"/>
          <w:szCs w:val="21"/>
        </w:rPr>
        <w:t>的神经毒性</w:t>
      </w:r>
      <w:r w:rsidRPr="009B24BA">
        <w:rPr>
          <w:rFonts w:ascii="宋体" w:hAnsi="宋体" w:hint="eastAsia"/>
          <w:szCs w:val="21"/>
        </w:rPr>
        <w:t>具有的</w:t>
      </w:r>
      <w:r w:rsidR="00B72F85" w:rsidRPr="009B24BA">
        <w:rPr>
          <w:rFonts w:ascii="宋体" w:hAnsi="宋体" w:hint="eastAsia"/>
          <w:szCs w:val="21"/>
        </w:rPr>
        <w:t>潜在关系</w:t>
      </w:r>
      <w:r w:rsidRPr="009B24BA">
        <w:rPr>
          <w:rFonts w:ascii="宋体" w:hAnsi="宋体" w:hint="eastAsia"/>
          <w:szCs w:val="21"/>
        </w:rPr>
        <w:t>；</w:t>
      </w:r>
    </w:p>
    <w:p w14:paraId="726578C6" w14:textId="77777777" w:rsidR="00B72F85" w:rsidRPr="009B24BA" w:rsidRDefault="00B72F85" w:rsidP="00B72F85">
      <w:pPr>
        <w:spacing w:line="300" w:lineRule="auto"/>
        <w:ind w:firstLineChars="200" w:firstLine="420"/>
        <w:rPr>
          <w:rFonts w:ascii="宋体" w:hAnsi="宋体"/>
          <w:szCs w:val="21"/>
        </w:rPr>
      </w:pPr>
      <w:r w:rsidRPr="009B24BA">
        <w:rPr>
          <w:rFonts w:ascii="宋体" w:hAnsi="宋体" w:hint="eastAsia"/>
          <w:szCs w:val="21"/>
        </w:rPr>
        <w:t>任何毒代动力学信息对结论的影响</w:t>
      </w:r>
      <w:r w:rsidR="0056381D" w:rsidRPr="009B24BA">
        <w:rPr>
          <w:rFonts w:ascii="宋体" w:hAnsi="宋体" w:hint="eastAsia"/>
          <w:szCs w:val="21"/>
        </w:rPr>
        <w:t>；</w:t>
      </w:r>
    </w:p>
    <w:p w14:paraId="39D74661" w14:textId="77777777" w:rsidR="00B72F85" w:rsidRPr="009B24BA" w:rsidRDefault="0056381D" w:rsidP="005A52C6">
      <w:pPr>
        <w:spacing w:line="300" w:lineRule="auto"/>
        <w:ind w:firstLineChars="200" w:firstLine="420"/>
        <w:rPr>
          <w:rFonts w:ascii="宋体" w:hAnsi="宋体"/>
          <w:szCs w:val="21"/>
        </w:rPr>
      </w:pPr>
      <w:r w:rsidRPr="009B24BA">
        <w:rPr>
          <w:rFonts w:ascii="宋体" w:hAnsi="宋体" w:hint="eastAsia"/>
          <w:szCs w:val="21"/>
        </w:rPr>
        <w:t>试验方法</w:t>
      </w:r>
      <w:r w:rsidR="00B72F85" w:rsidRPr="009B24BA">
        <w:rPr>
          <w:rFonts w:ascii="宋体" w:hAnsi="宋体" w:hint="eastAsia"/>
          <w:szCs w:val="21"/>
        </w:rPr>
        <w:t>可靠性和</w:t>
      </w:r>
      <w:r w:rsidRPr="009B24BA">
        <w:rPr>
          <w:rFonts w:ascii="宋体" w:hAnsi="宋体" w:hint="eastAsia"/>
          <w:szCs w:val="21"/>
        </w:rPr>
        <w:t>灵敏度的支持数据（例如：阳性及历史对照数据）；</w:t>
      </w:r>
    </w:p>
    <w:p w14:paraId="12B3DA39" w14:textId="77777777" w:rsidR="00B72F85" w:rsidRPr="009B24BA" w:rsidRDefault="00B72F85" w:rsidP="00B72F85">
      <w:pPr>
        <w:spacing w:line="300" w:lineRule="auto"/>
        <w:ind w:firstLineChars="200" w:firstLine="420"/>
        <w:rPr>
          <w:rFonts w:ascii="宋体" w:hAnsi="宋体"/>
          <w:szCs w:val="21"/>
        </w:rPr>
      </w:pPr>
      <w:r w:rsidRPr="009B24BA">
        <w:rPr>
          <w:rFonts w:ascii="宋体" w:hAnsi="宋体" w:hint="eastAsia"/>
          <w:szCs w:val="21"/>
        </w:rPr>
        <w:t>神经病理和功能效应之间的关系</w:t>
      </w:r>
      <w:r w:rsidR="0056381D" w:rsidRPr="009B24BA">
        <w:rPr>
          <w:rFonts w:ascii="宋体" w:hAnsi="宋体" w:hint="eastAsia"/>
          <w:szCs w:val="21"/>
        </w:rPr>
        <w:t>（如有）；</w:t>
      </w:r>
    </w:p>
    <w:p w14:paraId="18C76E2A" w14:textId="77777777" w:rsidR="00B72F85" w:rsidRPr="009B24BA" w:rsidRDefault="0056381D" w:rsidP="00B72F85">
      <w:pPr>
        <w:spacing w:line="300" w:lineRule="auto"/>
        <w:ind w:firstLineChars="200" w:firstLine="420"/>
        <w:rPr>
          <w:rFonts w:ascii="宋体" w:hAnsi="宋体"/>
          <w:szCs w:val="21"/>
        </w:rPr>
      </w:pPr>
      <w:r w:rsidRPr="009B24BA">
        <w:rPr>
          <w:rFonts w:ascii="宋体" w:hAnsi="宋体" w:hint="eastAsia"/>
          <w:szCs w:val="21"/>
        </w:rPr>
        <w:t>按性别和剂量组分别确定母体动物和子代的NOAEL和基准剂量；</w:t>
      </w:r>
    </w:p>
    <w:p w14:paraId="35D9F03D" w14:textId="77777777" w:rsidR="00B72F85" w:rsidRPr="009B24BA" w:rsidRDefault="0056381D" w:rsidP="00851140">
      <w:pPr>
        <w:spacing w:line="300" w:lineRule="auto"/>
        <w:ind w:firstLineChars="200" w:firstLine="420"/>
        <w:rPr>
          <w:rFonts w:ascii="宋体" w:hAnsi="宋体"/>
          <w:szCs w:val="21"/>
        </w:rPr>
      </w:pPr>
      <w:r w:rsidRPr="009B24BA">
        <w:rPr>
          <w:rFonts w:ascii="宋体" w:hAnsi="宋体" w:hint="eastAsia"/>
          <w:szCs w:val="21"/>
        </w:rPr>
        <w:t>对试验结果的总体解释加以讨论，包括明确受试物是否引起</w:t>
      </w:r>
      <w:r w:rsidR="00B94D1E" w:rsidRPr="009B24BA">
        <w:rPr>
          <w:rFonts w:ascii="宋体" w:hAnsi="宋体" w:hint="eastAsia"/>
          <w:szCs w:val="21"/>
        </w:rPr>
        <w:t>神经</w:t>
      </w:r>
      <w:r w:rsidRPr="009B24BA">
        <w:rPr>
          <w:rFonts w:ascii="宋体" w:hAnsi="宋体" w:hint="eastAsia"/>
          <w:szCs w:val="21"/>
        </w:rPr>
        <w:t>发育毒性并给出相应的NOAEL</w:t>
      </w:r>
      <w:r w:rsidR="00B94D1E" w:rsidRPr="009B24BA">
        <w:rPr>
          <w:rFonts w:ascii="宋体" w:hAnsi="宋体" w:hint="eastAsia"/>
          <w:szCs w:val="21"/>
        </w:rPr>
        <w:t>。</w:t>
      </w:r>
    </w:p>
    <w:p w14:paraId="04E229BB" w14:textId="77777777" w:rsidR="0056381D" w:rsidRPr="009B24BA" w:rsidRDefault="0056381D" w:rsidP="00851140">
      <w:pPr>
        <w:spacing w:line="300" w:lineRule="auto"/>
        <w:ind w:firstLineChars="200" w:firstLine="420"/>
        <w:rPr>
          <w:rFonts w:ascii="宋体" w:hAnsi="宋体"/>
          <w:szCs w:val="21"/>
        </w:rPr>
      </w:pPr>
      <w:r w:rsidRPr="009B24BA">
        <w:rPr>
          <w:rFonts w:ascii="宋体" w:hAnsi="宋体" w:hint="eastAsia"/>
          <w:szCs w:val="21"/>
        </w:rPr>
        <w:t>序列3</w:t>
      </w:r>
      <w:r w:rsidR="00A70E00" w:rsidRPr="009B24BA">
        <w:rPr>
          <w:rFonts w:ascii="宋体" w:hAnsi="宋体" w:hint="eastAsia"/>
          <w:szCs w:val="21"/>
        </w:rPr>
        <w:t>应获得以下试验结果：</w:t>
      </w:r>
    </w:p>
    <w:p w14:paraId="7367AF0A" w14:textId="77777777" w:rsidR="00A70E00" w:rsidRPr="009B24BA" w:rsidRDefault="00A70E00" w:rsidP="00851140">
      <w:pPr>
        <w:spacing w:line="300" w:lineRule="auto"/>
        <w:ind w:firstLineChars="200" w:firstLine="420"/>
        <w:rPr>
          <w:rFonts w:ascii="宋体" w:hAnsi="宋体"/>
          <w:szCs w:val="21"/>
        </w:rPr>
      </w:pPr>
      <w:r w:rsidRPr="009B24BA">
        <w:rPr>
          <w:rFonts w:ascii="宋体" w:hAnsi="宋体" w:hint="eastAsia"/>
          <w:szCs w:val="21"/>
        </w:rPr>
        <w:t xml:space="preserve">血清IgM抗体滴度（对SRBC或KLH的致敏性），或脾IgM </w:t>
      </w:r>
      <w:r w:rsidR="005B1EF9" w:rsidRPr="009B24BA">
        <w:rPr>
          <w:rFonts w:ascii="宋体" w:hAnsi="宋体" w:hint="eastAsia"/>
          <w:szCs w:val="21"/>
        </w:rPr>
        <w:t>抗体滴度和空斑形成细胞（</w:t>
      </w:r>
      <w:r w:rsidRPr="009B24BA">
        <w:rPr>
          <w:rFonts w:ascii="宋体" w:hAnsi="宋体" w:hint="eastAsia"/>
          <w:szCs w:val="21"/>
        </w:rPr>
        <w:t>PFC</w:t>
      </w:r>
      <w:r w:rsidR="005B1EF9" w:rsidRPr="009B24BA">
        <w:rPr>
          <w:rFonts w:ascii="宋体" w:hAnsi="宋体" w:hint="eastAsia"/>
          <w:szCs w:val="21"/>
        </w:rPr>
        <w:t>）计数</w:t>
      </w:r>
      <w:r w:rsidRPr="009B24BA">
        <w:rPr>
          <w:rFonts w:ascii="宋体" w:hAnsi="宋体" w:hint="eastAsia"/>
          <w:szCs w:val="21"/>
        </w:rPr>
        <w:t>（对SRBC致敏性）；</w:t>
      </w:r>
    </w:p>
    <w:p w14:paraId="6BB3171B" w14:textId="77777777" w:rsidR="00A70E00" w:rsidRPr="009B24BA" w:rsidRDefault="00A70E00" w:rsidP="00851140">
      <w:pPr>
        <w:spacing w:line="300" w:lineRule="auto"/>
        <w:ind w:firstLineChars="200" w:firstLine="420"/>
        <w:rPr>
          <w:rFonts w:ascii="宋体" w:hAnsi="宋体"/>
          <w:szCs w:val="21"/>
        </w:rPr>
      </w:pPr>
      <w:r w:rsidRPr="009B24BA">
        <w:rPr>
          <w:rFonts w:ascii="宋体" w:hAnsi="宋体" w:hint="eastAsia"/>
          <w:szCs w:val="21"/>
        </w:rPr>
        <w:t>TDAR</w:t>
      </w:r>
      <w:r w:rsidR="00560BB0" w:rsidRPr="009B24BA">
        <w:rPr>
          <w:rFonts w:ascii="宋体" w:hAnsi="宋体" w:hint="eastAsia"/>
          <w:szCs w:val="21"/>
        </w:rPr>
        <w:t>试验应在试验前进行方法验证，首次开展该项试验应设置阳性对照组，若</w:t>
      </w:r>
      <w:r w:rsidR="005A52C6" w:rsidRPr="009B24BA">
        <w:rPr>
          <w:rFonts w:ascii="宋体" w:hAnsi="宋体" w:hint="eastAsia"/>
          <w:szCs w:val="21"/>
        </w:rPr>
        <w:t>两次试验间隔超过一年应</w:t>
      </w:r>
      <w:r w:rsidR="00560BB0" w:rsidRPr="009B24BA">
        <w:rPr>
          <w:rFonts w:ascii="宋体" w:hAnsi="宋体" w:hint="eastAsia"/>
          <w:szCs w:val="21"/>
        </w:rPr>
        <w:t>设置阳性对照组，若</w:t>
      </w:r>
      <w:r w:rsidR="005A52C6" w:rsidRPr="009B24BA">
        <w:rPr>
          <w:rFonts w:ascii="宋体" w:hAnsi="宋体" w:hint="eastAsia"/>
          <w:szCs w:val="21"/>
        </w:rPr>
        <w:t>两次试验间隔不足一年则无需设置阳性对照</w:t>
      </w:r>
      <w:r w:rsidRPr="009B24BA">
        <w:rPr>
          <w:rFonts w:ascii="宋体" w:hAnsi="宋体" w:hint="eastAsia"/>
          <w:szCs w:val="21"/>
        </w:rPr>
        <w:t>；</w:t>
      </w:r>
    </w:p>
    <w:p w14:paraId="508A460B" w14:textId="77777777" w:rsidR="00B94D1E" w:rsidRPr="009B24BA" w:rsidRDefault="00B94D1E" w:rsidP="00851140">
      <w:pPr>
        <w:spacing w:line="300" w:lineRule="auto"/>
        <w:ind w:firstLineChars="200" w:firstLine="420"/>
        <w:rPr>
          <w:rFonts w:ascii="宋体" w:hAnsi="宋体"/>
          <w:szCs w:val="21"/>
        </w:rPr>
      </w:pPr>
      <w:r w:rsidRPr="009B24BA">
        <w:rPr>
          <w:rFonts w:ascii="宋体" w:hAnsi="宋体" w:hint="eastAsia"/>
          <w:szCs w:val="21"/>
        </w:rPr>
        <w:t>对试验结果的总体解释加以讨论</w:t>
      </w:r>
      <w:r w:rsidR="00B31037" w:rsidRPr="009B24BA">
        <w:rPr>
          <w:rFonts w:ascii="宋体" w:hAnsi="宋体" w:hint="eastAsia"/>
          <w:szCs w:val="21"/>
        </w:rPr>
        <w:t>，包括</w:t>
      </w:r>
      <w:r w:rsidRPr="009B24BA">
        <w:rPr>
          <w:rFonts w:ascii="宋体" w:hAnsi="宋体" w:hint="eastAsia"/>
          <w:szCs w:val="21"/>
        </w:rPr>
        <w:t>受试物是否引起发育</w:t>
      </w:r>
      <w:r w:rsidR="00B31037" w:rsidRPr="009B24BA">
        <w:rPr>
          <w:rFonts w:ascii="宋体" w:hAnsi="宋体" w:hint="eastAsia"/>
          <w:szCs w:val="21"/>
        </w:rPr>
        <w:t>免疫毒性</w:t>
      </w:r>
      <w:r w:rsidRPr="009B24BA">
        <w:rPr>
          <w:rFonts w:ascii="宋体" w:hAnsi="宋体" w:hint="eastAsia"/>
          <w:szCs w:val="21"/>
        </w:rPr>
        <w:t>并给出相应的</w:t>
      </w:r>
      <w:r w:rsidR="00B31037" w:rsidRPr="009B24BA">
        <w:rPr>
          <w:rFonts w:ascii="宋体" w:hAnsi="宋体" w:hint="eastAsia"/>
          <w:szCs w:val="21"/>
        </w:rPr>
        <w:t>NOAEL</w:t>
      </w:r>
      <w:r w:rsidRPr="009B24BA">
        <w:rPr>
          <w:rFonts w:ascii="宋体" w:hAnsi="宋体" w:hint="eastAsia"/>
          <w:szCs w:val="21"/>
        </w:rPr>
        <w:t>。</w:t>
      </w:r>
    </w:p>
    <w:p w14:paraId="63ADE8BD" w14:textId="77777777" w:rsidR="007649D1" w:rsidRPr="009B24BA" w:rsidRDefault="007649D1" w:rsidP="00851140">
      <w:pPr>
        <w:pStyle w:val="af3"/>
        <w:widowControl w:val="0"/>
        <w:numPr>
          <w:ilvl w:val="1"/>
          <w:numId w:val="1"/>
        </w:numPr>
        <w:spacing w:beforeLines="50" w:before="156" w:afterLines="50" w:after="156" w:line="300" w:lineRule="auto"/>
        <w:ind w:firstLineChars="0"/>
        <w:jc w:val="both"/>
        <w:rPr>
          <w:rFonts w:ascii="宋体" w:hAnsi="宋体"/>
          <w:szCs w:val="21"/>
        </w:rPr>
      </w:pPr>
      <w:r w:rsidRPr="009B24BA">
        <w:rPr>
          <w:rFonts w:ascii="宋体" w:hAnsi="宋体" w:hint="eastAsia"/>
          <w:szCs w:val="21"/>
        </w:rPr>
        <w:t>数据的总结和评定</w:t>
      </w:r>
    </w:p>
    <w:p w14:paraId="21C68536" w14:textId="77777777" w:rsidR="00E5691B" w:rsidRPr="009B24BA" w:rsidRDefault="00EC13FE">
      <w:pPr>
        <w:spacing w:line="300" w:lineRule="auto"/>
        <w:ind w:firstLineChars="200" w:firstLine="420"/>
        <w:rPr>
          <w:rFonts w:ascii="宋体" w:hAnsi="宋体"/>
          <w:szCs w:val="21"/>
        </w:rPr>
      </w:pPr>
      <w:r w:rsidRPr="009B24BA">
        <w:rPr>
          <w:rFonts w:ascii="宋体" w:hAnsi="宋体"/>
          <w:szCs w:val="21"/>
        </w:rPr>
        <w:t>数据以报告附件的形式用表格汇总。报告中应包含以下内容：</w:t>
      </w:r>
    </w:p>
    <w:p w14:paraId="57F12755" w14:textId="77777777" w:rsidR="00E5691B" w:rsidRPr="009B24BA" w:rsidRDefault="00EC13FE">
      <w:pPr>
        <w:spacing w:line="300" w:lineRule="auto"/>
        <w:ind w:firstLineChars="200" w:firstLine="420"/>
        <w:rPr>
          <w:rFonts w:ascii="宋体" w:hAnsi="宋体"/>
          <w:szCs w:val="21"/>
        </w:rPr>
      </w:pPr>
      <w:r w:rsidRPr="009B24BA">
        <w:rPr>
          <w:rFonts w:ascii="宋体" w:hAnsi="宋体"/>
          <w:szCs w:val="21"/>
        </w:rPr>
        <w:t>试验开始时的动物数量；</w:t>
      </w:r>
    </w:p>
    <w:p w14:paraId="597EC2FE" w14:textId="611237D2" w:rsidR="00E5691B" w:rsidRPr="009B24BA" w:rsidRDefault="00EC13FE">
      <w:pPr>
        <w:spacing w:line="300" w:lineRule="auto"/>
        <w:ind w:firstLineChars="200" w:firstLine="420"/>
        <w:rPr>
          <w:rFonts w:ascii="宋体" w:hAnsi="宋体"/>
          <w:szCs w:val="21"/>
        </w:rPr>
      </w:pPr>
      <w:r w:rsidRPr="009B24BA">
        <w:rPr>
          <w:rFonts w:ascii="宋体" w:hAnsi="宋体"/>
          <w:szCs w:val="21"/>
        </w:rPr>
        <w:lastRenderedPageBreak/>
        <w:t>试验中发现死亡或因人道原因</w:t>
      </w:r>
      <w:r w:rsidR="00411AF6" w:rsidRPr="009B24BA">
        <w:rPr>
          <w:rFonts w:ascii="宋体" w:hAnsi="宋体"/>
          <w:szCs w:val="21"/>
        </w:rPr>
        <w:t>处死</w:t>
      </w:r>
      <w:r w:rsidRPr="009B24BA">
        <w:rPr>
          <w:rFonts w:ascii="宋体" w:hAnsi="宋体"/>
          <w:szCs w:val="21"/>
        </w:rPr>
        <w:t>的动物数量、时间；</w:t>
      </w:r>
    </w:p>
    <w:p w14:paraId="6F0B5F51" w14:textId="77777777" w:rsidR="00E5691B" w:rsidRPr="009B24BA" w:rsidRDefault="00EC13FE">
      <w:pPr>
        <w:spacing w:line="300" w:lineRule="auto"/>
        <w:ind w:firstLineChars="200" w:firstLine="420"/>
        <w:rPr>
          <w:rFonts w:ascii="宋体" w:hAnsi="宋体"/>
          <w:szCs w:val="21"/>
        </w:rPr>
      </w:pPr>
      <w:r w:rsidRPr="009B24BA">
        <w:rPr>
          <w:rFonts w:ascii="宋体" w:hAnsi="宋体"/>
          <w:szCs w:val="21"/>
        </w:rPr>
        <w:t>可生育的动物数量；</w:t>
      </w:r>
    </w:p>
    <w:p w14:paraId="2254867C" w14:textId="77777777" w:rsidR="00E5691B" w:rsidRPr="009B24BA" w:rsidRDefault="00EC13FE">
      <w:pPr>
        <w:spacing w:line="300" w:lineRule="auto"/>
        <w:ind w:firstLineChars="200" w:firstLine="420"/>
        <w:rPr>
          <w:rFonts w:ascii="宋体" w:hAnsi="宋体"/>
          <w:szCs w:val="21"/>
        </w:rPr>
      </w:pPr>
      <w:r w:rsidRPr="009B24BA">
        <w:rPr>
          <w:rFonts w:ascii="宋体" w:hAnsi="宋体"/>
          <w:szCs w:val="21"/>
        </w:rPr>
        <w:t>怀孕的雌性动物数量；</w:t>
      </w:r>
    </w:p>
    <w:p w14:paraId="1FB817CB" w14:textId="77777777" w:rsidR="00E5691B" w:rsidRPr="009B24BA" w:rsidRDefault="00EC13FE">
      <w:pPr>
        <w:spacing w:line="300" w:lineRule="auto"/>
        <w:ind w:firstLineChars="200" w:firstLine="420"/>
        <w:rPr>
          <w:rFonts w:ascii="宋体" w:hAnsi="宋体"/>
          <w:szCs w:val="21"/>
        </w:rPr>
      </w:pPr>
      <w:r w:rsidRPr="009B24BA">
        <w:rPr>
          <w:rFonts w:ascii="宋体" w:hAnsi="宋体"/>
          <w:szCs w:val="21"/>
        </w:rPr>
        <w:t>分娩雌性动物数量；</w:t>
      </w:r>
    </w:p>
    <w:p w14:paraId="74758AEE" w14:textId="77777777" w:rsidR="00E5691B" w:rsidRPr="009B24BA" w:rsidRDefault="00EC13FE">
      <w:pPr>
        <w:spacing w:line="300" w:lineRule="auto"/>
        <w:ind w:firstLineChars="200" w:firstLine="420"/>
        <w:rPr>
          <w:rFonts w:ascii="宋体" w:hAnsi="宋体"/>
          <w:szCs w:val="21"/>
        </w:rPr>
      </w:pPr>
      <w:r w:rsidRPr="009B24BA">
        <w:rPr>
          <w:rFonts w:ascii="宋体" w:hAnsi="宋体"/>
          <w:szCs w:val="21"/>
        </w:rPr>
        <w:t>出现毒性反应动物数量；</w:t>
      </w:r>
    </w:p>
    <w:p w14:paraId="5C5FB18A" w14:textId="77777777" w:rsidR="00E5691B" w:rsidRPr="009B24BA" w:rsidRDefault="00EC13FE">
      <w:pPr>
        <w:spacing w:line="300" w:lineRule="auto"/>
        <w:ind w:firstLineChars="200" w:firstLine="420"/>
        <w:rPr>
          <w:rFonts w:ascii="宋体" w:hAnsi="宋体"/>
          <w:szCs w:val="21"/>
        </w:rPr>
      </w:pPr>
      <w:r w:rsidRPr="009B24BA">
        <w:rPr>
          <w:rFonts w:ascii="宋体" w:hAnsi="宋体"/>
          <w:szCs w:val="21"/>
        </w:rPr>
        <w:t>毒性反应的描症状、发病时间、持续时间和严重程度。</w:t>
      </w:r>
    </w:p>
    <w:p w14:paraId="5E2AD652" w14:textId="77777777" w:rsidR="00E5691B" w:rsidRPr="009B24BA" w:rsidRDefault="00EC13FE">
      <w:pPr>
        <w:spacing w:line="300" w:lineRule="auto"/>
        <w:ind w:firstLineChars="200" w:firstLine="420"/>
        <w:rPr>
          <w:rFonts w:ascii="宋体" w:hAnsi="宋体"/>
          <w:szCs w:val="21"/>
        </w:rPr>
      </w:pPr>
      <w:r w:rsidRPr="009B24BA">
        <w:rPr>
          <w:rFonts w:ascii="宋体" w:hAnsi="宋体"/>
          <w:szCs w:val="21"/>
        </w:rPr>
        <w:t>数据应采用合适的、可接受的统计方法进行评估。应适当处理非正态数据（如计数数据）、删失数据（如有限的观察时间）、非独立性数据（如窝效应和重复测量）和方差不齐。报告中应包含具体的统计分析方法和用于统计分析的软件信息。</w:t>
      </w:r>
    </w:p>
    <w:p w14:paraId="2C6CE3CD" w14:textId="77777777" w:rsidR="00E5691B" w:rsidRPr="009B24BA" w:rsidRDefault="00EC13FE">
      <w:pPr>
        <w:spacing w:line="300" w:lineRule="auto"/>
        <w:ind w:firstLineChars="200" w:firstLine="420"/>
        <w:rPr>
          <w:rFonts w:ascii="宋体" w:hAnsi="宋体"/>
          <w:szCs w:val="21"/>
        </w:rPr>
      </w:pPr>
      <w:r w:rsidRPr="009B24BA">
        <w:rPr>
          <w:rFonts w:ascii="宋体" w:hAnsi="宋体"/>
          <w:szCs w:val="21"/>
        </w:rPr>
        <w:t>根据试验中观察到的结果（包括大体观察结果和显微镜检查结果）评价受试物的生殖发育毒性效应。包括是否存在剂量相关的异常、病变发生率和严重程度变化。此外，还包括靶器官、生育力、临床异常、生殖和产仔性能、体重变化、死亡率以及其他任何毒性和发育影响。需特别注意性别特异性变化。为了准确评价受试物的影响，也可以结合受试物的理化性质，以及TK数据(包括胎盘透过和乳汁排泄)进行分析。</w:t>
      </w:r>
    </w:p>
    <w:p w14:paraId="686C0B68" w14:textId="77777777" w:rsidR="00E5691B" w:rsidRPr="009B24BA" w:rsidRDefault="00EC13FE">
      <w:pPr>
        <w:pStyle w:val="af3"/>
        <w:widowControl w:val="0"/>
        <w:numPr>
          <w:ilvl w:val="0"/>
          <w:numId w:val="1"/>
        </w:numPr>
        <w:spacing w:beforeLines="50" w:before="156" w:afterLines="50" w:after="156" w:line="300" w:lineRule="auto"/>
        <w:ind w:hangingChars="200"/>
        <w:jc w:val="both"/>
        <w:rPr>
          <w:rFonts w:ascii="宋体" w:hAnsi="宋体"/>
          <w:szCs w:val="21"/>
        </w:rPr>
      </w:pPr>
      <w:r w:rsidRPr="009B24BA">
        <w:rPr>
          <w:rFonts w:ascii="宋体" w:hAnsi="宋体"/>
          <w:szCs w:val="21"/>
        </w:rPr>
        <w:t>结果解释</w:t>
      </w:r>
    </w:p>
    <w:p w14:paraId="13FE901E" w14:textId="77777777" w:rsidR="00E5691B" w:rsidRPr="009B24BA" w:rsidRDefault="00EC13FE">
      <w:pPr>
        <w:spacing w:line="300" w:lineRule="auto"/>
        <w:ind w:firstLineChars="200" w:firstLine="420"/>
        <w:rPr>
          <w:rFonts w:ascii="宋体" w:hAnsi="宋体"/>
          <w:szCs w:val="21"/>
        </w:rPr>
      </w:pPr>
      <w:r w:rsidRPr="009B24BA">
        <w:rPr>
          <w:rFonts w:ascii="宋体" w:hAnsi="宋体"/>
          <w:szCs w:val="21"/>
        </w:rPr>
        <w:t>扩展一代生殖发育毒性研究资料可以提供受试物在生殖周期所有阶段重复暴露的影响。尤其是提供了有关生殖系统以及子代最长至PND90的生长发育、存活情况及功能终点的信息。该研究的结果应结合受试物相关资料分析，包括物化特性、TK和毒性效应特征，其它相关信息，如结构类似物毒性资料，该受试物已有的</w:t>
      </w:r>
      <w:r w:rsidRPr="009B24BA">
        <w:rPr>
          <w:rFonts w:ascii="宋体" w:hAnsi="宋体"/>
          <w:szCs w:val="21"/>
        </w:rPr>
        <w:lastRenderedPageBreak/>
        <w:t>毒理研究资料（例如急性毒性、重复剂量毒性、毒理机制研究以及关于种属特异性的定量及定性体内外代谢特征研究）。</w:t>
      </w:r>
    </w:p>
    <w:p w14:paraId="27EB81A0" w14:textId="77777777" w:rsidR="00E5691B" w:rsidRPr="009B24BA" w:rsidRDefault="00EC13FE">
      <w:pPr>
        <w:spacing w:line="300" w:lineRule="auto"/>
        <w:ind w:firstLineChars="200" w:firstLine="420"/>
        <w:rPr>
          <w:rFonts w:ascii="宋体" w:hAnsi="宋体"/>
          <w:szCs w:val="21"/>
        </w:rPr>
      </w:pPr>
      <w:r w:rsidRPr="009B24BA">
        <w:rPr>
          <w:rFonts w:ascii="宋体" w:hAnsi="宋体"/>
          <w:szCs w:val="21"/>
        </w:rPr>
        <w:t>大体解剖和脏器重量结果可以与其他重复剂量毒性研究结果相结合进行评估。子代生长的迟缓可能与受试物对乳汁成分影响有关。</w:t>
      </w:r>
    </w:p>
    <w:p w14:paraId="10D8AFD8" w14:textId="77777777" w:rsidR="00E5691B" w:rsidRPr="009B24BA" w:rsidRDefault="00EC13FE">
      <w:pPr>
        <w:spacing w:line="300" w:lineRule="auto"/>
        <w:ind w:firstLineChars="200" w:firstLine="420"/>
        <w:rPr>
          <w:rFonts w:ascii="宋体" w:hAnsi="宋体"/>
          <w:szCs w:val="21"/>
        </w:rPr>
      </w:pPr>
      <w:r w:rsidRPr="009B24BA">
        <w:rPr>
          <w:rFonts w:ascii="宋体" w:hAnsi="宋体"/>
          <w:szCs w:val="21"/>
        </w:rPr>
        <w:t>对序列2的解释：</w:t>
      </w:r>
    </w:p>
    <w:p w14:paraId="63DEA757" w14:textId="77777777" w:rsidR="00E5691B" w:rsidRPr="009B24BA" w:rsidRDefault="00EC13FE">
      <w:pPr>
        <w:spacing w:line="300" w:lineRule="auto"/>
        <w:ind w:firstLineChars="200" w:firstLine="420"/>
        <w:rPr>
          <w:rFonts w:ascii="宋体" w:hAnsi="宋体"/>
          <w:szCs w:val="21"/>
        </w:rPr>
      </w:pPr>
      <w:r w:rsidRPr="009B24BA">
        <w:rPr>
          <w:rFonts w:ascii="宋体" w:hAnsi="宋体"/>
          <w:szCs w:val="21"/>
        </w:rPr>
        <w:t>神经行为和神经病理学结果应放在整个研究中解释，使用证据权重法有利于做出更专业的判断。若发现行为模式或形态学改变，应在剂量-反应关系中探讨。对神经发育毒性的评估，可以援引包括人类流行病学研究或病例报告，以及实验动物研究资料（如毒代动力学数据，结构-活性信息，其他毒性研究的数据）加以解释。对数据的评价应包括对生物学和统计学意义的讨论。若观察到神经病理改变和行为模式改变，那么应讨论二者之间的关系。</w:t>
      </w:r>
    </w:p>
    <w:p w14:paraId="6FC6A572" w14:textId="77777777" w:rsidR="00E5691B" w:rsidRPr="009B24BA" w:rsidRDefault="00EC13FE">
      <w:pPr>
        <w:spacing w:line="300" w:lineRule="auto"/>
        <w:ind w:firstLineChars="200" w:firstLine="420"/>
        <w:rPr>
          <w:rFonts w:ascii="宋体" w:hAnsi="宋体"/>
          <w:szCs w:val="21"/>
        </w:rPr>
      </w:pPr>
      <w:r w:rsidRPr="009B24BA">
        <w:rPr>
          <w:rFonts w:ascii="宋体" w:hAnsi="宋体"/>
          <w:szCs w:val="21"/>
        </w:rPr>
        <w:t>对序列3的解释：</w:t>
      </w:r>
    </w:p>
    <w:p w14:paraId="32C5F562" w14:textId="77777777" w:rsidR="00E5691B" w:rsidRPr="009B24BA" w:rsidRDefault="00EC13FE">
      <w:pPr>
        <w:spacing w:line="300" w:lineRule="auto"/>
        <w:ind w:firstLineChars="200" w:firstLine="420"/>
        <w:rPr>
          <w:rFonts w:ascii="宋体" w:hAnsi="宋体"/>
          <w:color w:val="2A2B2E"/>
          <w:szCs w:val="21"/>
          <w:shd w:val="clear" w:color="auto" w:fill="FFFFFF"/>
        </w:rPr>
      </w:pPr>
      <w:r w:rsidRPr="009B24BA">
        <w:rPr>
          <w:rFonts w:ascii="宋体" w:hAnsi="宋体"/>
          <w:color w:val="2A2B2E"/>
          <w:szCs w:val="21"/>
          <w:shd w:val="clear" w:color="auto" w:fill="FFFFFF"/>
        </w:rPr>
        <w:t>通过TDAR评估免疫功能的抑制或增强应放在整个研究中解释。TDAR结果的显著性可以通过其它免疫相关指标予以支持（例如，骨髓细胞，淋巴组织重量及组织病理形态，淋巴细胞亚群分布）。</w:t>
      </w:r>
    </w:p>
    <w:p w14:paraId="6F638AE3" w14:textId="77777777" w:rsidR="00E5691B" w:rsidRPr="009B24BA" w:rsidRDefault="00EC13FE">
      <w:pPr>
        <w:spacing w:line="300" w:lineRule="auto"/>
        <w:ind w:firstLineChars="200" w:firstLine="420"/>
        <w:rPr>
          <w:rFonts w:ascii="宋体" w:hAnsi="宋体"/>
          <w:szCs w:val="21"/>
        </w:rPr>
      </w:pPr>
      <w:r w:rsidRPr="009B24BA">
        <w:rPr>
          <w:rFonts w:ascii="宋体" w:hAnsi="宋体"/>
          <w:color w:val="2A2B2E"/>
          <w:szCs w:val="21"/>
          <w:shd w:val="clear" w:color="auto" w:fill="FFFFFF"/>
        </w:rPr>
        <w:t>若其它毒性仅在更低剂量水平观察到，那么TDAR产生的效应可能意义不大。</w:t>
      </w:r>
    </w:p>
    <w:p w14:paraId="58D421F2" w14:textId="77777777" w:rsidR="00E5691B" w:rsidRPr="009B24BA" w:rsidRDefault="00E5691B">
      <w:pPr>
        <w:spacing w:line="300" w:lineRule="auto"/>
        <w:ind w:firstLineChars="200" w:firstLine="420"/>
        <w:rPr>
          <w:rFonts w:ascii="宋体" w:hAnsi="宋体"/>
          <w:szCs w:val="21"/>
        </w:rPr>
      </w:pPr>
    </w:p>
    <w:p w14:paraId="5D2727F0" w14:textId="77777777" w:rsidR="00E5691B" w:rsidRDefault="00E5691B">
      <w:pPr>
        <w:spacing w:line="300" w:lineRule="auto"/>
        <w:ind w:firstLineChars="200" w:firstLine="420"/>
        <w:sectPr w:rsidR="00E5691B">
          <w:footerReference w:type="default" r:id="rId9"/>
          <w:pgSz w:w="11906" w:h="16838"/>
          <w:pgMar w:top="1440" w:right="1803" w:bottom="1440" w:left="1803" w:header="851" w:footer="992" w:gutter="0"/>
          <w:pgNumType w:start="1"/>
          <w:cols w:space="425"/>
          <w:docGrid w:type="lines" w:linePitch="312"/>
        </w:sectPr>
      </w:pPr>
    </w:p>
    <w:p w14:paraId="42341906" w14:textId="77777777" w:rsidR="00E5691B" w:rsidRDefault="00EC13FE">
      <w:pPr>
        <w:spacing w:beforeLines="50" w:before="156" w:afterLines="50" w:after="156" w:line="300" w:lineRule="auto"/>
        <w:jc w:val="center"/>
        <w:rPr>
          <w:rFonts w:eastAsia="黑体"/>
          <w:b/>
        </w:rPr>
      </w:pPr>
      <w:r>
        <w:rPr>
          <w:rFonts w:eastAsia="黑体"/>
          <w:b/>
        </w:rPr>
        <w:lastRenderedPageBreak/>
        <w:t>附图</w:t>
      </w:r>
    </w:p>
    <w:p w14:paraId="63B0D82A" w14:textId="4641C2FB" w:rsidR="00E5691B" w:rsidRDefault="00E63B11">
      <w:pPr>
        <w:spacing w:line="300" w:lineRule="auto"/>
      </w:pPr>
      <w:r w:rsidRPr="00E63B11">
        <w:rPr>
          <w:noProof/>
        </w:rPr>
        <w:drawing>
          <wp:inline distT="0" distB="0" distL="0" distR="0" wp14:anchorId="781582F6" wp14:editId="3D86EC6E">
            <wp:extent cx="5270500" cy="2256155"/>
            <wp:effectExtent l="0" t="0" r="6350" b="0"/>
            <wp:docPr id="9367187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718749" name=""/>
                    <pic:cNvPicPr/>
                  </pic:nvPicPr>
                  <pic:blipFill>
                    <a:blip r:embed="rId10"/>
                    <a:stretch>
                      <a:fillRect/>
                    </a:stretch>
                  </pic:blipFill>
                  <pic:spPr>
                    <a:xfrm>
                      <a:off x="0" y="0"/>
                      <a:ext cx="5270500" cy="2256155"/>
                    </a:xfrm>
                    <a:prstGeom prst="rect">
                      <a:avLst/>
                    </a:prstGeom>
                  </pic:spPr>
                </pic:pic>
              </a:graphicData>
            </a:graphic>
          </wp:inline>
        </w:drawing>
      </w:r>
    </w:p>
    <w:tbl>
      <w:tblPr>
        <w:tblStyle w:val="ae"/>
        <w:tblW w:w="0" w:type="auto"/>
        <w:jc w:val="right"/>
        <w:tblLook w:val="04A0" w:firstRow="1" w:lastRow="0" w:firstColumn="1" w:lastColumn="0" w:noHBand="0" w:noVBand="1"/>
      </w:tblPr>
      <w:tblGrid>
        <w:gridCol w:w="325"/>
        <w:gridCol w:w="1517"/>
      </w:tblGrid>
      <w:tr w:rsidR="00E5691B" w14:paraId="48B17537" w14:textId="77777777">
        <w:trPr>
          <w:jc w:val="right"/>
        </w:trPr>
        <w:tc>
          <w:tcPr>
            <w:tcW w:w="325" w:type="dxa"/>
            <w:shd w:val="clear" w:color="auto" w:fill="808080" w:themeFill="background1" w:themeFillShade="80"/>
          </w:tcPr>
          <w:p w14:paraId="1261AD0F" w14:textId="77777777" w:rsidR="00E5691B" w:rsidRDefault="00E5691B">
            <w:pPr>
              <w:spacing w:line="300" w:lineRule="auto"/>
              <w:jc w:val="center"/>
            </w:pPr>
          </w:p>
        </w:tc>
        <w:tc>
          <w:tcPr>
            <w:tcW w:w="1517" w:type="dxa"/>
            <w:tcBorders>
              <w:top w:val="nil"/>
              <w:bottom w:val="nil"/>
              <w:right w:val="nil"/>
            </w:tcBorders>
          </w:tcPr>
          <w:p w14:paraId="4838DE35" w14:textId="77777777" w:rsidR="00E5691B" w:rsidRDefault="00EC13FE">
            <w:pPr>
              <w:spacing w:line="300" w:lineRule="auto"/>
            </w:pPr>
            <w:r>
              <w:t>受试物暴露期</w:t>
            </w:r>
          </w:p>
        </w:tc>
      </w:tr>
    </w:tbl>
    <w:p w14:paraId="5AEA9047" w14:textId="77777777" w:rsidR="00E5691B" w:rsidRDefault="00EC13FE">
      <w:pPr>
        <w:spacing w:beforeLines="50" w:before="156" w:afterLines="50" w:after="156" w:line="300" w:lineRule="auto"/>
        <w:jc w:val="center"/>
        <w:rPr>
          <w:rFonts w:eastAsia="黑体"/>
        </w:rPr>
      </w:pPr>
      <w:r>
        <w:rPr>
          <w:rFonts w:eastAsia="黑体"/>
        </w:rPr>
        <w:t>扩展的一代生殖发育毒性试验流程图</w:t>
      </w:r>
    </w:p>
    <w:p w14:paraId="73ADD0B4" w14:textId="77777777" w:rsidR="00E5691B" w:rsidRDefault="00E5691B">
      <w:pPr>
        <w:spacing w:line="300" w:lineRule="auto"/>
      </w:pPr>
    </w:p>
    <w:p w14:paraId="6E2C6C38" w14:textId="77777777" w:rsidR="00E5691B" w:rsidRDefault="00EC13FE">
      <w:pPr>
        <w:spacing w:beforeLines="50" w:before="156" w:afterLines="50" w:after="156" w:line="300" w:lineRule="auto"/>
        <w:jc w:val="center"/>
        <w:rPr>
          <w:rFonts w:eastAsia="黑体"/>
          <w:b/>
        </w:rPr>
      </w:pPr>
      <w:r>
        <w:rPr>
          <w:rFonts w:eastAsia="黑体"/>
          <w:b/>
        </w:rPr>
        <w:t>附表</w:t>
      </w:r>
    </w:p>
    <w:tbl>
      <w:tblPr>
        <w:tblStyle w:val="ae"/>
        <w:tblW w:w="0" w:type="auto"/>
        <w:jc w:val="center"/>
        <w:tblLook w:val="04A0" w:firstRow="1" w:lastRow="0" w:firstColumn="1" w:lastColumn="0" w:noHBand="0" w:noVBand="1"/>
      </w:tblPr>
      <w:tblGrid>
        <w:gridCol w:w="1756"/>
        <w:gridCol w:w="1918"/>
        <w:gridCol w:w="4616"/>
      </w:tblGrid>
      <w:tr w:rsidR="00E5691B" w14:paraId="0855BD64" w14:textId="77777777" w:rsidTr="00411AF6">
        <w:trPr>
          <w:trHeight w:val="662"/>
          <w:tblHeader/>
          <w:jc w:val="center"/>
        </w:trPr>
        <w:tc>
          <w:tcPr>
            <w:tcW w:w="1789" w:type="dxa"/>
            <w:vAlign w:val="center"/>
          </w:tcPr>
          <w:p w14:paraId="394090A9" w14:textId="77777777" w:rsidR="00E5691B" w:rsidRDefault="00EC13FE">
            <w:pPr>
              <w:jc w:val="center"/>
            </w:pPr>
            <w:r>
              <w:t>序列编号</w:t>
            </w:r>
          </w:p>
        </w:tc>
        <w:tc>
          <w:tcPr>
            <w:tcW w:w="1951" w:type="dxa"/>
            <w:vAlign w:val="center"/>
          </w:tcPr>
          <w:p w14:paraId="7CFA8805" w14:textId="77777777" w:rsidR="00E5691B" w:rsidRDefault="00EC13FE">
            <w:pPr>
              <w:jc w:val="center"/>
            </w:pPr>
            <w:r>
              <w:t>触发指标</w:t>
            </w:r>
          </w:p>
        </w:tc>
        <w:tc>
          <w:tcPr>
            <w:tcW w:w="4776" w:type="dxa"/>
            <w:vAlign w:val="center"/>
          </w:tcPr>
          <w:p w14:paraId="324125D9" w14:textId="77777777" w:rsidR="00E5691B" w:rsidRDefault="00EC13FE">
            <w:pPr>
              <w:jc w:val="center"/>
            </w:pPr>
            <w:r>
              <w:t>触发条件</w:t>
            </w:r>
          </w:p>
        </w:tc>
      </w:tr>
      <w:tr w:rsidR="00411AF6" w14:paraId="0F23C817" w14:textId="77777777" w:rsidTr="00411AF6">
        <w:trPr>
          <w:trHeight w:val="907"/>
          <w:jc w:val="center"/>
        </w:trPr>
        <w:tc>
          <w:tcPr>
            <w:tcW w:w="1789" w:type="dxa"/>
            <w:vMerge w:val="restart"/>
            <w:vAlign w:val="center"/>
          </w:tcPr>
          <w:p w14:paraId="5C4F6AB6" w14:textId="77777777" w:rsidR="00411AF6" w:rsidRDefault="00411AF6">
            <w:pPr>
              <w:jc w:val="center"/>
            </w:pPr>
            <w:r>
              <w:t>序列</w:t>
            </w:r>
            <w:r>
              <w:t>1B</w:t>
            </w:r>
            <w:r>
              <w:rPr>
                <w:vertAlign w:val="superscript"/>
              </w:rPr>
              <w:t>a</w:t>
            </w:r>
          </w:p>
        </w:tc>
        <w:tc>
          <w:tcPr>
            <w:tcW w:w="1951" w:type="dxa"/>
            <w:vAlign w:val="center"/>
          </w:tcPr>
          <w:p w14:paraId="6DBDA999" w14:textId="77777777" w:rsidR="00411AF6" w:rsidRDefault="00411AF6">
            <w:pPr>
              <w:jc w:val="center"/>
            </w:pPr>
            <w:r>
              <w:t>亲代生育力改变（着床数、妊娠率、妊娠期长短）</w:t>
            </w:r>
          </w:p>
        </w:tc>
        <w:tc>
          <w:tcPr>
            <w:tcW w:w="4776" w:type="dxa"/>
            <w:vAlign w:val="center"/>
          </w:tcPr>
          <w:p w14:paraId="2020387D" w14:textId="77777777" w:rsidR="00411AF6" w:rsidRDefault="00411AF6">
            <w:pPr>
              <w:jc w:val="center"/>
            </w:pPr>
            <w:r>
              <w:t>生殖系统的组织病理学结果并未出现生物学相关或剂量相关的改变。</w:t>
            </w:r>
          </w:p>
        </w:tc>
      </w:tr>
      <w:tr w:rsidR="00411AF6" w14:paraId="617C78ED" w14:textId="77777777" w:rsidTr="00411AF6">
        <w:trPr>
          <w:trHeight w:val="803"/>
          <w:jc w:val="center"/>
        </w:trPr>
        <w:tc>
          <w:tcPr>
            <w:tcW w:w="1789" w:type="dxa"/>
            <w:vMerge/>
          </w:tcPr>
          <w:p w14:paraId="6ABFC211" w14:textId="77777777" w:rsidR="00411AF6" w:rsidRDefault="00411AF6">
            <w:pPr>
              <w:jc w:val="center"/>
            </w:pPr>
          </w:p>
        </w:tc>
        <w:tc>
          <w:tcPr>
            <w:tcW w:w="1951" w:type="dxa"/>
            <w:vAlign w:val="center"/>
          </w:tcPr>
          <w:p w14:paraId="5984EA5B" w14:textId="77777777" w:rsidR="00411AF6" w:rsidRDefault="00411AF6">
            <w:pPr>
              <w:jc w:val="center"/>
            </w:pPr>
            <w:r>
              <w:t>F</w:t>
            </w:r>
            <w:r>
              <w:rPr>
                <w:vertAlign w:val="subscript"/>
              </w:rPr>
              <w:t>1</w:t>
            </w:r>
            <w:r>
              <w:t>动情周期改变</w:t>
            </w:r>
          </w:p>
        </w:tc>
        <w:tc>
          <w:tcPr>
            <w:tcW w:w="4776" w:type="dxa"/>
            <w:vAlign w:val="center"/>
          </w:tcPr>
          <w:p w14:paraId="5B1F7947" w14:textId="77777777" w:rsidR="00411AF6" w:rsidRDefault="00411AF6">
            <w:pPr>
              <w:jc w:val="center"/>
            </w:pPr>
            <w:r>
              <w:t>虽然出现生物学相关或剂量相关的动情周期改变但未见严重的母体毒性。</w:t>
            </w:r>
            <w:r>
              <w:rPr>
                <w:vertAlign w:val="superscript"/>
              </w:rPr>
              <w:t>b</w:t>
            </w:r>
          </w:p>
        </w:tc>
      </w:tr>
      <w:tr w:rsidR="00411AF6" w14:paraId="4B169DD2" w14:textId="77777777" w:rsidTr="00411AF6">
        <w:trPr>
          <w:trHeight w:val="842"/>
          <w:jc w:val="center"/>
        </w:trPr>
        <w:tc>
          <w:tcPr>
            <w:tcW w:w="1789" w:type="dxa"/>
            <w:vMerge/>
          </w:tcPr>
          <w:p w14:paraId="7F37F7A8" w14:textId="77777777" w:rsidR="00411AF6" w:rsidRDefault="00411AF6">
            <w:pPr>
              <w:jc w:val="center"/>
            </w:pPr>
          </w:p>
        </w:tc>
        <w:tc>
          <w:tcPr>
            <w:tcW w:w="1951" w:type="dxa"/>
            <w:vAlign w:val="center"/>
          </w:tcPr>
          <w:p w14:paraId="2124E6E3" w14:textId="77777777" w:rsidR="00411AF6" w:rsidRDefault="00411AF6">
            <w:pPr>
              <w:jc w:val="center"/>
            </w:pPr>
            <w:bookmarkStart w:id="202" w:name="OLE_LINK40"/>
            <w:bookmarkStart w:id="203" w:name="OLE_LINK41"/>
            <w:r>
              <w:t>F</w:t>
            </w:r>
            <w:r>
              <w:rPr>
                <w:vertAlign w:val="subscript"/>
              </w:rPr>
              <w:t>1</w:t>
            </w:r>
            <w:bookmarkEnd w:id="202"/>
            <w:bookmarkEnd w:id="203"/>
            <w:r>
              <w:t>窝大小的降低</w:t>
            </w:r>
          </w:p>
        </w:tc>
        <w:tc>
          <w:tcPr>
            <w:tcW w:w="4776" w:type="dxa"/>
            <w:vAlign w:val="center"/>
          </w:tcPr>
          <w:p w14:paraId="1FBA59E0" w14:textId="77777777" w:rsidR="00411AF6" w:rsidRDefault="00411AF6">
            <w:pPr>
              <w:jc w:val="center"/>
            </w:pPr>
            <w:r>
              <w:t>在缺乏母体毒性或母体致死的情况下，出现了生物学相关或剂量相关的窝大小降低。</w:t>
            </w:r>
            <w:r>
              <w:rPr>
                <w:vertAlign w:val="superscript"/>
              </w:rPr>
              <w:t>b</w:t>
            </w:r>
          </w:p>
        </w:tc>
      </w:tr>
      <w:tr w:rsidR="00411AF6" w14:paraId="7D3B363A" w14:textId="77777777" w:rsidTr="00411AF6">
        <w:trPr>
          <w:trHeight w:val="907"/>
          <w:jc w:val="center"/>
        </w:trPr>
        <w:tc>
          <w:tcPr>
            <w:tcW w:w="1789" w:type="dxa"/>
            <w:vMerge/>
          </w:tcPr>
          <w:p w14:paraId="3DB16B03" w14:textId="77777777" w:rsidR="00411AF6" w:rsidRDefault="00411AF6">
            <w:pPr>
              <w:jc w:val="center"/>
            </w:pPr>
          </w:p>
        </w:tc>
        <w:tc>
          <w:tcPr>
            <w:tcW w:w="1951" w:type="dxa"/>
            <w:vAlign w:val="center"/>
          </w:tcPr>
          <w:p w14:paraId="5A63373E" w14:textId="77777777" w:rsidR="00411AF6" w:rsidRDefault="00411AF6">
            <w:pPr>
              <w:jc w:val="center"/>
            </w:pPr>
            <w:r>
              <w:t>F</w:t>
            </w:r>
            <w:r>
              <w:rPr>
                <w:vertAlign w:val="subscript"/>
              </w:rPr>
              <w:t>1</w:t>
            </w:r>
            <w:r>
              <w:t>发育节点的改变（</w:t>
            </w:r>
            <w:r>
              <w:t>AGD</w:t>
            </w:r>
            <w:r>
              <w:t>、乳头数目、进入青春期、</w:t>
            </w:r>
            <w:r>
              <w:t>PPS</w:t>
            </w:r>
            <w:r>
              <w:t>、</w:t>
            </w:r>
            <w:r>
              <w:t>VO</w:t>
            </w:r>
            <w:r>
              <w:t>）</w:t>
            </w:r>
          </w:p>
        </w:tc>
        <w:tc>
          <w:tcPr>
            <w:tcW w:w="4776" w:type="dxa"/>
            <w:vAlign w:val="center"/>
          </w:tcPr>
          <w:p w14:paraId="2B4B279B" w14:textId="77777777" w:rsidR="00411AF6" w:rsidRDefault="00411AF6">
            <w:pPr>
              <w:jc w:val="center"/>
            </w:pPr>
            <w:r>
              <w:t>在无体重变化介导的情况下，左侧参数出现生物学相关或剂量相关效应。</w:t>
            </w:r>
          </w:p>
        </w:tc>
      </w:tr>
      <w:tr w:rsidR="00411AF6" w14:paraId="155D73DB" w14:textId="77777777" w:rsidTr="00411AF6">
        <w:trPr>
          <w:trHeight w:val="844"/>
          <w:jc w:val="center"/>
        </w:trPr>
        <w:tc>
          <w:tcPr>
            <w:tcW w:w="1789" w:type="dxa"/>
            <w:vMerge/>
          </w:tcPr>
          <w:p w14:paraId="639C55DD" w14:textId="77777777" w:rsidR="00411AF6" w:rsidRDefault="00411AF6">
            <w:pPr>
              <w:jc w:val="center"/>
            </w:pPr>
          </w:p>
        </w:tc>
        <w:tc>
          <w:tcPr>
            <w:tcW w:w="1951" w:type="dxa"/>
            <w:vAlign w:val="center"/>
          </w:tcPr>
          <w:p w14:paraId="7F96F6CB" w14:textId="77777777" w:rsidR="00411AF6" w:rsidRDefault="00411AF6">
            <w:pPr>
              <w:jc w:val="center"/>
            </w:pPr>
            <w:r>
              <w:t>产后</w:t>
            </w:r>
            <w:r>
              <w:t>F1</w:t>
            </w:r>
            <w:r>
              <w:t>幼仔存活率降低</w:t>
            </w:r>
          </w:p>
        </w:tc>
        <w:tc>
          <w:tcPr>
            <w:tcW w:w="4776" w:type="dxa"/>
            <w:vAlign w:val="center"/>
          </w:tcPr>
          <w:p w14:paraId="5D86BF15" w14:textId="77777777" w:rsidR="00411AF6" w:rsidRDefault="00411AF6">
            <w:pPr>
              <w:jc w:val="center"/>
            </w:pPr>
            <w:bookmarkStart w:id="204" w:name="OLE_LINK38"/>
            <w:bookmarkStart w:id="205" w:name="OLE_LINK39"/>
            <w:r>
              <w:t>在缺乏严重母体毒性的情况下，出现左侧参数的变化。</w:t>
            </w:r>
            <w:bookmarkEnd w:id="204"/>
            <w:bookmarkEnd w:id="205"/>
            <w:r>
              <w:rPr>
                <w:vertAlign w:val="superscript"/>
              </w:rPr>
              <w:t>b</w:t>
            </w:r>
          </w:p>
        </w:tc>
      </w:tr>
      <w:tr w:rsidR="00411AF6" w14:paraId="70F32845" w14:textId="77777777" w:rsidTr="00411AF6">
        <w:trPr>
          <w:trHeight w:val="842"/>
          <w:jc w:val="center"/>
        </w:trPr>
        <w:tc>
          <w:tcPr>
            <w:tcW w:w="1789" w:type="dxa"/>
            <w:vMerge/>
          </w:tcPr>
          <w:p w14:paraId="3D324943" w14:textId="77777777" w:rsidR="00411AF6" w:rsidRDefault="00411AF6">
            <w:pPr>
              <w:jc w:val="center"/>
            </w:pPr>
          </w:p>
        </w:tc>
        <w:tc>
          <w:tcPr>
            <w:tcW w:w="1951" w:type="dxa"/>
            <w:vAlign w:val="center"/>
          </w:tcPr>
          <w:p w14:paraId="4D316BBA" w14:textId="77777777" w:rsidR="00411AF6" w:rsidRDefault="00411AF6">
            <w:pPr>
              <w:jc w:val="center"/>
            </w:pPr>
            <w:r>
              <w:t>F</w:t>
            </w:r>
            <w:r>
              <w:rPr>
                <w:vertAlign w:val="subscript"/>
              </w:rPr>
              <w:t>1</w:t>
            </w:r>
            <w:r>
              <w:t>幼仔出现畸形</w:t>
            </w:r>
          </w:p>
        </w:tc>
        <w:tc>
          <w:tcPr>
            <w:tcW w:w="4776" w:type="dxa"/>
            <w:vAlign w:val="center"/>
          </w:tcPr>
          <w:p w14:paraId="7BFE96FB" w14:textId="77777777" w:rsidR="00411AF6" w:rsidRDefault="00411AF6">
            <w:pPr>
              <w:jc w:val="center"/>
            </w:pPr>
            <w:r>
              <w:t>在缺乏严重母体毒性的情况下，出现左侧参数的变化。</w:t>
            </w:r>
            <w:r>
              <w:rPr>
                <w:vertAlign w:val="superscript"/>
              </w:rPr>
              <w:t>b</w:t>
            </w:r>
          </w:p>
        </w:tc>
      </w:tr>
      <w:tr w:rsidR="00411AF6" w14:paraId="7255ED3B" w14:textId="77777777" w:rsidTr="00411AF6">
        <w:trPr>
          <w:trHeight w:val="879"/>
          <w:jc w:val="center"/>
        </w:trPr>
        <w:tc>
          <w:tcPr>
            <w:tcW w:w="1789" w:type="dxa"/>
            <w:vMerge/>
          </w:tcPr>
          <w:p w14:paraId="3B5CE078" w14:textId="77777777" w:rsidR="00411AF6" w:rsidRDefault="00411AF6">
            <w:pPr>
              <w:jc w:val="center"/>
            </w:pPr>
          </w:p>
        </w:tc>
        <w:tc>
          <w:tcPr>
            <w:tcW w:w="1951" w:type="dxa"/>
            <w:vAlign w:val="center"/>
          </w:tcPr>
          <w:p w14:paraId="751C29BE" w14:textId="77777777" w:rsidR="00411AF6" w:rsidRDefault="00411AF6">
            <w:pPr>
              <w:jc w:val="center"/>
            </w:pPr>
            <w:r>
              <w:t>F</w:t>
            </w:r>
            <w:r>
              <w:rPr>
                <w:vertAlign w:val="subscript"/>
              </w:rPr>
              <w:t>1</w:t>
            </w:r>
            <w:r>
              <w:t>幼仔出生存活率降低</w:t>
            </w:r>
          </w:p>
        </w:tc>
        <w:tc>
          <w:tcPr>
            <w:tcW w:w="4776" w:type="dxa"/>
            <w:vAlign w:val="center"/>
          </w:tcPr>
          <w:p w14:paraId="547A492C" w14:textId="77777777" w:rsidR="00411AF6" w:rsidRDefault="00411AF6">
            <w:pPr>
              <w:jc w:val="center"/>
            </w:pPr>
            <w:r>
              <w:t>在缺乏严重母体毒性的情况下，出现左侧参数的变化。</w:t>
            </w:r>
            <w:r>
              <w:rPr>
                <w:vertAlign w:val="superscript"/>
              </w:rPr>
              <w:t>b</w:t>
            </w:r>
          </w:p>
        </w:tc>
      </w:tr>
      <w:tr w:rsidR="00E5691B" w14:paraId="26D2DA83" w14:textId="77777777" w:rsidTr="00411AF6">
        <w:trPr>
          <w:trHeight w:val="806"/>
          <w:jc w:val="center"/>
        </w:trPr>
        <w:tc>
          <w:tcPr>
            <w:tcW w:w="1789" w:type="dxa"/>
          </w:tcPr>
          <w:p w14:paraId="657ADEE0" w14:textId="77777777" w:rsidR="00E5691B" w:rsidRDefault="00E5691B">
            <w:pPr>
              <w:jc w:val="center"/>
            </w:pPr>
          </w:p>
        </w:tc>
        <w:tc>
          <w:tcPr>
            <w:tcW w:w="1951" w:type="dxa"/>
            <w:vAlign w:val="center"/>
          </w:tcPr>
          <w:p w14:paraId="35C52DB0" w14:textId="77777777" w:rsidR="00E5691B" w:rsidRDefault="00EC13FE">
            <w:pPr>
              <w:jc w:val="center"/>
            </w:pPr>
            <w:r>
              <w:t>F</w:t>
            </w:r>
            <w:r>
              <w:rPr>
                <w:vertAlign w:val="subscript"/>
              </w:rPr>
              <w:t>1</w:t>
            </w:r>
            <w:r>
              <w:t>幼仔体重降低</w:t>
            </w:r>
          </w:p>
        </w:tc>
        <w:tc>
          <w:tcPr>
            <w:tcW w:w="4776" w:type="dxa"/>
            <w:tcBorders>
              <w:bottom w:val="single" w:sz="4" w:space="0" w:color="auto"/>
            </w:tcBorders>
            <w:vAlign w:val="center"/>
          </w:tcPr>
          <w:p w14:paraId="68768B82" w14:textId="77777777" w:rsidR="00E5691B" w:rsidRDefault="00EC13FE">
            <w:pPr>
              <w:jc w:val="center"/>
            </w:pPr>
            <w:r>
              <w:t>幼仔出现生物学相关或剂量相关的体重降低并不伴有母体动物体重的持续递减。</w:t>
            </w:r>
          </w:p>
        </w:tc>
      </w:tr>
      <w:tr w:rsidR="00411AF6" w14:paraId="026EB851" w14:textId="77777777" w:rsidTr="00500421">
        <w:trPr>
          <w:trHeight w:val="464"/>
          <w:jc w:val="center"/>
        </w:trPr>
        <w:tc>
          <w:tcPr>
            <w:tcW w:w="1789" w:type="dxa"/>
            <w:vMerge w:val="restart"/>
            <w:vAlign w:val="center"/>
          </w:tcPr>
          <w:p w14:paraId="021596BB" w14:textId="72470681" w:rsidR="00411AF6" w:rsidRDefault="00411AF6" w:rsidP="00411AF6">
            <w:pPr>
              <w:jc w:val="center"/>
            </w:pPr>
            <w:r>
              <w:t>序列</w:t>
            </w:r>
            <w:r>
              <w:t>2A&amp;2B</w:t>
            </w:r>
            <w:r>
              <w:rPr>
                <w:vertAlign w:val="superscript"/>
              </w:rPr>
              <w:t>c</w:t>
            </w:r>
          </w:p>
        </w:tc>
        <w:tc>
          <w:tcPr>
            <w:tcW w:w="1951" w:type="dxa"/>
            <w:vAlign w:val="center"/>
          </w:tcPr>
          <w:p w14:paraId="11442DD2" w14:textId="77777777" w:rsidR="00411AF6" w:rsidRDefault="00411AF6">
            <w:pPr>
              <w:jc w:val="center"/>
            </w:pPr>
          </w:p>
        </w:tc>
        <w:tc>
          <w:tcPr>
            <w:tcW w:w="4776" w:type="dxa"/>
            <w:shd w:val="clear" w:color="auto" w:fill="BFBFBF" w:themeFill="background1" w:themeFillShade="BF"/>
            <w:vAlign w:val="center"/>
          </w:tcPr>
          <w:p w14:paraId="7F9E995E" w14:textId="77777777" w:rsidR="00411AF6" w:rsidRDefault="00411AF6">
            <w:pPr>
              <w:jc w:val="center"/>
            </w:pPr>
            <w:r>
              <w:t>经确证具有干扰内分泌机制的活性</w:t>
            </w:r>
          </w:p>
        </w:tc>
      </w:tr>
      <w:tr w:rsidR="00411AF6" w14:paraId="2A064C2E" w14:textId="77777777" w:rsidTr="00411AF6">
        <w:trPr>
          <w:trHeight w:val="400"/>
          <w:jc w:val="center"/>
        </w:trPr>
        <w:tc>
          <w:tcPr>
            <w:tcW w:w="1789" w:type="dxa"/>
            <w:vMerge/>
            <w:vAlign w:val="center"/>
          </w:tcPr>
          <w:p w14:paraId="6CA1B6FE" w14:textId="02BB9B72" w:rsidR="00411AF6" w:rsidRDefault="00411AF6">
            <w:pPr>
              <w:jc w:val="center"/>
            </w:pPr>
          </w:p>
        </w:tc>
        <w:tc>
          <w:tcPr>
            <w:tcW w:w="1951" w:type="dxa"/>
            <w:vAlign w:val="center"/>
          </w:tcPr>
          <w:p w14:paraId="12F617A1" w14:textId="77777777" w:rsidR="00411AF6" w:rsidRDefault="00411AF6">
            <w:pPr>
              <w:jc w:val="center"/>
            </w:pPr>
          </w:p>
        </w:tc>
        <w:tc>
          <w:tcPr>
            <w:tcW w:w="4776" w:type="dxa"/>
            <w:shd w:val="clear" w:color="auto" w:fill="BFBFBF" w:themeFill="background1" w:themeFillShade="BF"/>
            <w:vAlign w:val="center"/>
          </w:tcPr>
          <w:p w14:paraId="05F52E85" w14:textId="77777777" w:rsidR="00411AF6" w:rsidRDefault="00411AF6">
            <w:pPr>
              <w:jc w:val="center"/>
            </w:pPr>
            <w:r>
              <w:t>构效关系分析或化学分类上具有神经毒性</w:t>
            </w:r>
          </w:p>
        </w:tc>
      </w:tr>
      <w:tr w:rsidR="00411AF6" w14:paraId="6052423B" w14:textId="77777777" w:rsidTr="00411AF6">
        <w:trPr>
          <w:trHeight w:val="421"/>
          <w:jc w:val="center"/>
        </w:trPr>
        <w:tc>
          <w:tcPr>
            <w:tcW w:w="1789" w:type="dxa"/>
            <w:vMerge/>
          </w:tcPr>
          <w:p w14:paraId="4EA54C76" w14:textId="77777777" w:rsidR="00411AF6" w:rsidRDefault="00411AF6">
            <w:pPr>
              <w:jc w:val="center"/>
            </w:pPr>
          </w:p>
        </w:tc>
        <w:tc>
          <w:tcPr>
            <w:tcW w:w="1951" w:type="dxa"/>
            <w:vAlign w:val="center"/>
          </w:tcPr>
          <w:p w14:paraId="36733D35" w14:textId="77777777" w:rsidR="00411AF6" w:rsidRDefault="00411AF6">
            <w:pPr>
              <w:jc w:val="center"/>
            </w:pPr>
          </w:p>
        </w:tc>
        <w:tc>
          <w:tcPr>
            <w:tcW w:w="4776" w:type="dxa"/>
            <w:shd w:val="clear" w:color="auto" w:fill="BFBFBF" w:themeFill="background1" w:themeFillShade="BF"/>
            <w:vAlign w:val="center"/>
          </w:tcPr>
          <w:p w14:paraId="7DFFFB22" w14:textId="77777777" w:rsidR="00411AF6" w:rsidRDefault="00411AF6">
            <w:pPr>
              <w:jc w:val="center"/>
            </w:pPr>
            <w:r>
              <w:t>经确证具有干扰内分泌机制的活性</w:t>
            </w:r>
          </w:p>
        </w:tc>
      </w:tr>
      <w:tr w:rsidR="00411AF6" w14:paraId="106F206F" w14:textId="77777777" w:rsidTr="00411AF6">
        <w:trPr>
          <w:trHeight w:val="413"/>
          <w:jc w:val="center"/>
        </w:trPr>
        <w:tc>
          <w:tcPr>
            <w:tcW w:w="1789" w:type="dxa"/>
            <w:vMerge/>
          </w:tcPr>
          <w:p w14:paraId="4EC3CD70" w14:textId="77777777" w:rsidR="00411AF6" w:rsidRDefault="00411AF6">
            <w:pPr>
              <w:jc w:val="center"/>
            </w:pPr>
          </w:p>
        </w:tc>
        <w:tc>
          <w:tcPr>
            <w:tcW w:w="1951" w:type="dxa"/>
            <w:vAlign w:val="center"/>
          </w:tcPr>
          <w:p w14:paraId="48AD3321" w14:textId="77777777" w:rsidR="00411AF6" w:rsidRDefault="00411AF6">
            <w:pPr>
              <w:jc w:val="center"/>
            </w:pPr>
          </w:p>
        </w:tc>
        <w:tc>
          <w:tcPr>
            <w:tcW w:w="4776" w:type="dxa"/>
            <w:shd w:val="clear" w:color="auto" w:fill="BFBFBF" w:themeFill="background1" w:themeFillShade="BF"/>
            <w:vAlign w:val="center"/>
          </w:tcPr>
          <w:p w14:paraId="378F52FA" w14:textId="77777777" w:rsidR="00411AF6" w:rsidRDefault="00411AF6">
            <w:pPr>
              <w:jc w:val="center"/>
            </w:pPr>
            <w:r>
              <w:t>经确证具有神经行为毒性</w:t>
            </w:r>
          </w:p>
        </w:tc>
      </w:tr>
      <w:tr w:rsidR="00411AF6" w14:paraId="3EC3D915" w14:textId="77777777" w:rsidTr="00411AF6">
        <w:trPr>
          <w:trHeight w:val="418"/>
          <w:jc w:val="center"/>
        </w:trPr>
        <w:tc>
          <w:tcPr>
            <w:tcW w:w="1789" w:type="dxa"/>
            <w:vMerge/>
          </w:tcPr>
          <w:p w14:paraId="123BED1D" w14:textId="77777777" w:rsidR="00411AF6" w:rsidRDefault="00411AF6">
            <w:pPr>
              <w:jc w:val="center"/>
            </w:pPr>
          </w:p>
        </w:tc>
        <w:tc>
          <w:tcPr>
            <w:tcW w:w="1951" w:type="dxa"/>
            <w:vAlign w:val="center"/>
          </w:tcPr>
          <w:p w14:paraId="20041A26" w14:textId="77777777" w:rsidR="00411AF6" w:rsidRDefault="00411AF6">
            <w:pPr>
              <w:jc w:val="center"/>
            </w:pPr>
          </w:p>
        </w:tc>
        <w:tc>
          <w:tcPr>
            <w:tcW w:w="4776" w:type="dxa"/>
            <w:shd w:val="clear" w:color="auto" w:fill="BFBFBF" w:themeFill="background1" w:themeFillShade="BF"/>
            <w:vAlign w:val="center"/>
          </w:tcPr>
          <w:p w14:paraId="586BE883" w14:textId="77777777" w:rsidR="00411AF6" w:rsidRDefault="00411AF6">
            <w:pPr>
              <w:jc w:val="center"/>
            </w:pPr>
            <w:r>
              <w:t>在成年动物或人具有功能或形态上的神经毒性</w:t>
            </w:r>
          </w:p>
        </w:tc>
      </w:tr>
      <w:tr w:rsidR="00411AF6" w14:paraId="1220FEE3" w14:textId="77777777" w:rsidTr="00411AF6">
        <w:trPr>
          <w:trHeight w:val="425"/>
          <w:jc w:val="center"/>
        </w:trPr>
        <w:tc>
          <w:tcPr>
            <w:tcW w:w="1789" w:type="dxa"/>
            <w:vMerge/>
          </w:tcPr>
          <w:p w14:paraId="7A6BDF41" w14:textId="77777777" w:rsidR="00411AF6" w:rsidRDefault="00411AF6">
            <w:pPr>
              <w:jc w:val="center"/>
            </w:pPr>
          </w:p>
        </w:tc>
        <w:tc>
          <w:tcPr>
            <w:tcW w:w="1951" w:type="dxa"/>
            <w:vAlign w:val="center"/>
          </w:tcPr>
          <w:p w14:paraId="1760BEA5" w14:textId="77777777" w:rsidR="00411AF6" w:rsidRDefault="00411AF6">
            <w:pPr>
              <w:jc w:val="center"/>
            </w:pPr>
            <w:r>
              <w:t>翻正反射</w:t>
            </w:r>
          </w:p>
        </w:tc>
        <w:tc>
          <w:tcPr>
            <w:tcW w:w="4776" w:type="dxa"/>
            <w:shd w:val="clear" w:color="auto" w:fill="BFBFBF" w:themeFill="background1" w:themeFillShade="BF"/>
            <w:vAlign w:val="center"/>
          </w:tcPr>
          <w:p w14:paraId="757E877F" w14:textId="77777777" w:rsidR="00411AF6" w:rsidRDefault="00411AF6">
            <w:pPr>
              <w:jc w:val="center"/>
            </w:pPr>
            <w:r>
              <w:t>可致翻正反射降低</w:t>
            </w:r>
          </w:p>
        </w:tc>
      </w:tr>
      <w:tr w:rsidR="00411AF6" w14:paraId="6F900E64" w14:textId="77777777" w:rsidTr="00411AF6">
        <w:trPr>
          <w:trHeight w:val="700"/>
          <w:jc w:val="center"/>
        </w:trPr>
        <w:tc>
          <w:tcPr>
            <w:tcW w:w="1789" w:type="dxa"/>
            <w:vMerge/>
          </w:tcPr>
          <w:p w14:paraId="16DF05BC" w14:textId="77777777" w:rsidR="00411AF6" w:rsidRDefault="00411AF6">
            <w:pPr>
              <w:jc w:val="center"/>
            </w:pPr>
          </w:p>
        </w:tc>
        <w:tc>
          <w:tcPr>
            <w:tcW w:w="1951" w:type="dxa"/>
            <w:vAlign w:val="center"/>
          </w:tcPr>
          <w:p w14:paraId="04EBCAC7" w14:textId="77777777" w:rsidR="00411AF6" w:rsidRDefault="00411AF6">
            <w:pPr>
              <w:jc w:val="center"/>
            </w:pPr>
            <w:r>
              <w:t>甲状腺脏器重量和病理</w:t>
            </w:r>
          </w:p>
        </w:tc>
        <w:tc>
          <w:tcPr>
            <w:tcW w:w="4776" w:type="dxa"/>
            <w:shd w:val="clear" w:color="auto" w:fill="BFBFBF" w:themeFill="background1" w:themeFillShade="BF"/>
            <w:vAlign w:val="center"/>
          </w:tcPr>
          <w:p w14:paraId="64CEE0B9" w14:textId="77777777" w:rsidR="00411AF6" w:rsidRDefault="00411AF6">
            <w:pPr>
              <w:jc w:val="center"/>
            </w:pPr>
            <w:r>
              <w:t>可致甲状腺重量降低或出现相关的病理改变</w:t>
            </w:r>
          </w:p>
        </w:tc>
      </w:tr>
      <w:tr w:rsidR="00E5691B" w14:paraId="08BD0B13" w14:textId="77777777" w:rsidTr="00411AF6">
        <w:trPr>
          <w:trHeight w:val="438"/>
          <w:jc w:val="center"/>
        </w:trPr>
        <w:tc>
          <w:tcPr>
            <w:tcW w:w="1789" w:type="dxa"/>
            <w:vMerge w:val="restart"/>
            <w:vAlign w:val="center"/>
          </w:tcPr>
          <w:p w14:paraId="048515D5" w14:textId="77777777" w:rsidR="00E5691B" w:rsidRDefault="00EC13FE">
            <w:pPr>
              <w:jc w:val="center"/>
            </w:pPr>
            <w:r>
              <w:t>序列</w:t>
            </w:r>
            <w:r>
              <w:t>3</w:t>
            </w:r>
            <w:r>
              <w:rPr>
                <w:vertAlign w:val="superscript"/>
              </w:rPr>
              <w:t>c</w:t>
            </w:r>
          </w:p>
        </w:tc>
        <w:tc>
          <w:tcPr>
            <w:tcW w:w="1951" w:type="dxa"/>
            <w:vAlign w:val="center"/>
          </w:tcPr>
          <w:p w14:paraId="00A33778" w14:textId="77777777" w:rsidR="00E5691B" w:rsidRDefault="00E5691B">
            <w:pPr>
              <w:jc w:val="center"/>
            </w:pPr>
          </w:p>
        </w:tc>
        <w:tc>
          <w:tcPr>
            <w:tcW w:w="4776" w:type="dxa"/>
            <w:shd w:val="clear" w:color="auto" w:fill="BFBFBF" w:themeFill="background1" w:themeFillShade="BF"/>
            <w:vAlign w:val="center"/>
          </w:tcPr>
          <w:p w14:paraId="109394B8" w14:textId="77777777" w:rsidR="00E5691B" w:rsidRDefault="00EC13FE">
            <w:pPr>
              <w:jc w:val="center"/>
            </w:pPr>
            <w:r>
              <w:t>构效关系分析或化学分类上具有免疫毒性</w:t>
            </w:r>
          </w:p>
        </w:tc>
      </w:tr>
      <w:tr w:rsidR="00E5691B" w14:paraId="719CAA64" w14:textId="77777777" w:rsidTr="00411AF6">
        <w:trPr>
          <w:trHeight w:val="438"/>
          <w:jc w:val="center"/>
        </w:trPr>
        <w:tc>
          <w:tcPr>
            <w:tcW w:w="1789" w:type="dxa"/>
            <w:vMerge/>
          </w:tcPr>
          <w:p w14:paraId="575E87AB" w14:textId="77777777" w:rsidR="00E5691B" w:rsidRDefault="00E5691B">
            <w:pPr>
              <w:jc w:val="center"/>
            </w:pPr>
          </w:p>
        </w:tc>
        <w:tc>
          <w:tcPr>
            <w:tcW w:w="1951" w:type="dxa"/>
            <w:vAlign w:val="center"/>
          </w:tcPr>
          <w:p w14:paraId="6087904F" w14:textId="77777777" w:rsidR="00E5691B" w:rsidRDefault="00E5691B">
            <w:pPr>
              <w:jc w:val="center"/>
            </w:pPr>
          </w:p>
        </w:tc>
        <w:tc>
          <w:tcPr>
            <w:tcW w:w="4776" w:type="dxa"/>
            <w:shd w:val="clear" w:color="auto" w:fill="BFBFBF" w:themeFill="background1" w:themeFillShade="BF"/>
            <w:vAlign w:val="center"/>
          </w:tcPr>
          <w:p w14:paraId="4BB81F7C" w14:textId="77777777" w:rsidR="00E5691B" w:rsidRDefault="00EC13FE">
            <w:pPr>
              <w:jc w:val="center"/>
            </w:pPr>
            <w:r>
              <w:t>经确证具有干扰内分泌机制的活性</w:t>
            </w:r>
          </w:p>
        </w:tc>
      </w:tr>
      <w:tr w:rsidR="00E5691B" w14:paraId="286C90E8" w14:textId="77777777" w:rsidTr="00411AF6">
        <w:trPr>
          <w:trHeight w:val="438"/>
          <w:jc w:val="center"/>
        </w:trPr>
        <w:tc>
          <w:tcPr>
            <w:tcW w:w="1789" w:type="dxa"/>
            <w:vMerge/>
          </w:tcPr>
          <w:p w14:paraId="2241B012" w14:textId="77777777" w:rsidR="00E5691B" w:rsidRDefault="00E5691B">
            <w:pPr>
              <w:jc w:val="center"/>
            </w:pPr>
          </w:p>
        </w:tc>
        <w:tc>
          <w:tcPr>
            <w:tcW w:w="1951" w:type="dxa"/>
            <w:vAlign w:val="center"/>
          </w:tcPr>
          <w:p w14:paraId="4D0C7230" w14:textId="77777777" w:rsidR="00E5691B" w:rsidRDefault="00E5691B">
            <w:pPr>
              <w:jc w:val="center"/>
            </w:pPr>
          </w:p>
        </w:tc>
        <w:tc>
          <w:tcPr>
            <w:tcW w:w="4776" w:type="dxa"/>
            <w:shd w:val="clear" w:color="auto" w:fill="BFBFBF" w:themeFill="background1" w:themeFillShade="BF"/>
            <w:vAlign w:val="center"/>
          </w:tcPr>
          <w:p w14:paraId="7185787F" w14:textId="77777777" w:rsidR="00E5691B" w:rsidRDefault="00EC13FE">
            <w:pPr>
              <w:jc w:val="center"/>
            </w:pPr>
            <w:r>
              <w:t>淋巴器官出现脏器重量或病理变化。</w:t>
            </w:r>
          </w:p>
        </w:tc>
      </w:tr>
      <w:tr w:rsidR="00E5691B" w14:paraId="61C538EA" w14:textId="77777777" w:rsidTr="00411AF6">
        <w:trPr>
          <w:trHeight w:val="438"/>
          <w:jc w:val="center"/>
        </w:trPr>
        <w:tc>
          <w:tcPr>
            <w:tcW w:w="1789" w:type="dxa"/>
            <w:vMerge/>
          </w:tcPr>
          <w:p w14:paraId="67FFD5FE" w14:textId="77777777" w:rsidR="00E5691B" w:rsidRDefault="00E5691B">
            <w:pPr>
              <w:jc w:val="center"/>
            </w:pPr>
          </w:p>
        </w:tc>
        <w:tc>
          <w:tcPr>
            <w:tcW w:w="1951" w:type="dxa"/>
            <w:vAlign w:val="center"/>
          </w:tcPr>
          <w:p w14:paraId="5CC15693" w14:textId="77777777" w:rsidR="00E5691B" w:rsidRDefault="00E5691B">
            <w:pPr>
              <w:jc w:val="center"/>
            </w:pPr>
          </w:p>
        </w:tc>
        <w:tc>
          <w:tcPr>
            <w:tcW w:w="4776" w:type="dxa"/>
            <w:shd w:val="clear" w:color="auto" w:fill="BFBFBF" w:themeFill="background1" w:themeFillShade="BF"/>
            <w:vAlign w:val="center"/>
          </w:tcPr>
          <w:p w14:paraId="0023356D" w14:textId="77777777" w:rsidR="00E5691B" w:rsidRDefault="00EC13FE">
            <w:pPr>
              <w:jc w:val="center"/>
            </w:pPr>
            <w:r>
              <w:t>骨髓、脾脏、胸腺、淋巴结细胞成分改变</w:t>
            </w:r>
          </w:p>
        </w:tc>
      </w:tr>
      <w:tr w:rsidR="00E5691B" w14:paraId="2E0230B8" w14:textId="77777777" w:rsidTr="00411AF6">
        <w:trPr>
          <w:trHeight w:val="438"/>
          <w:jc w:val="center"/>
        </w:trPr>
        <w:tc>
          <w:tcPr>
            <w:tcW w:w="1789" w:type="dxa"/>
            <w:vMerge/>
          </w:tcPr>
          <w:p w14:paraId="66254A30" w14:textId="77777777" w:rsidR="00E5691B" w:rsidRDefault="00E5691B">
            <w:pPr>
              <w:jc w:val="center"/>
            </w:pPr>
          </w:p>
        </w:tc>
        <w:tc>
          <w:tcPr>
            <w:tcW w:w="1951" w:type="dxa"/>
            <w:vAlign w:val="center"/>
          </w:tcPr>
          <w:p w14:paraId="3F9C1237" w14:textId="77777777" w:rsidR="00E5691B" w:rsidRDefault="00E5691B">
            <w:pPr>
              <w:jc w:val="center"/>
            </w:pPr>
          </w:p>
        </w:tc>
        <w:tc>
          <w:tcPr>
            <w:tcW w:w="4776" w:type="dxa"/>
            <w:shd w:val="clear" w:color="auto" w:fill="BFBFBF" w:themeFill="background1" w:themeFillShade="BF"/>
            <w:vAlign w:val="center"/>
          </w:tcPr>
          <w:p w14:paraId="6173AEB5" w14:textId="77777777" w:rsidR="00E5691B" w:rsidRDefault="00EC13FE">
            <w:pPr>
              <w:jc w:val="center"/>
            </w:pPr>
            <w:r>
              <w:t>白细胞分类计数改变</w:t>
            </w:r>
          </w:p>
        </w:tc>
      </w:tr>
      <w:tr w:rsidR="00E5691B" w14:paraId="73AFF053" w14:textId="77777777" w:rsidTr="00411AF6">
        <w:trPr>
          <w:trHeight w:val="438"/>
          <w:jc w:val="center"/>
        </w:trPr>
        <w:tc>
          <w:tcPr>
            <w:tcW w:w="1789" w:type="dxa"/>
            <w:vMerge/>
          </w:tcPr>
          <w:p w14:paraId="2513C9F4" w14:textId="77777777" w:rsidR="00E5691B" w:rsidRDefault="00E5691B">
            <w:pPr>
              <w:jc w:val="center"/>
            </w:pPr>
          </w:p>
        </w:tc>
        <w:tc>
          <w:tcPr>
            <w:tcW w:w="1951" w:type="dxa"/>
            <w:vAlign w:val="center"/>
          </w:tcPr>
          <w:p w14:paraId="03375795" w14:textId="77777777" w:rsidR="00E5691B" w:rsidRDefault="00E5691B">
            <w:pPr>
              <w:jc w:val="center"/>
            </w:pPr>
          </w:p>
        </w:tc>
        <w:tc>
          <w:tcPr>
            <w:tcW w:w="4776" w:type="dxa"/>
            <w:shd w:val="clear" w:color="auto" w:fill="BFBFBF" w:themeFill="background1" w:themeFillShade="BF"/>
            <w:vAlign w:val="center"/>
          </w:tcPr>
          <w:p w14:paraId="7D279C9B" w14:textId="77777777" w:rsidR="00E5691B" w:rsidRDefault="00EC13FE">
            <w:pPr>
              <w:jc w:val="center"/>
            </w:pPr>
            <w:r>
              <w:t>在成年动物或人具有功能性免疫毒</w:t>
            </w:r>
          </w:p>
        </w:tc>
      </w:tr>
    </w:tbl>
    <w:p w14:paraId="3FA3A766" w14:textId="77777777" w:rsidR="00E5691B" w:rsidRDefault="00EC13FE">
      <w:pPr>
        <w:spacing w:line="300" w:lineRule="auto"/>
        <w:rPr>
          <w:szCs w:val="21"/>
        </w:rPr>
      </w:pPr>
      <w:r>
        <w:rPr>
          <w:szCs w:val="21"/>
        </w:rPr>
        <w:t>a</w:t>
      </w:r>
      <w:r>
        <w:rPr>
          <w:szCs w:val="21"/>
        </w:rPr>
        <w:t>，所列指标均有充裕时间留给研究人员以判断是否需要进行</w:t>
      </w:r>
      <w:r>
        <w:rPr>
          <w:szCs w:val="21"/>
        </w:rPr>
        <w:t>F1</w:t>
      </w:r>
      <w:r>
        <w:rPr>
          <w:szCs w:val="21"/>
        </w:rPr>
        <w:t>代交配，触发结果为是否产生</w:t>
      </w:r>
      <w:r>
        <w:rPr>
          <w:szCs w:val="21"/>
        </w:rPr>
        <w:t>F2</w:t>
      </w:r>
      <w:r>
        <w:rPr>
          <w:szCs w:val="21"/>
        </w:rPr>
        <w:t>。</w:t>
      </w:r>
    </w:p>
    <w:p w14:paraId="0459C8A7" w14:textId="77777777" w:rsidR="00E5691B" w:rsidRDefault="00EC13FE">
      <w:pPr>
        <w:spacing w:line="300" w:lineRule="auto"/>
        <w:rPr>
          <w:szCs w:val="21"/>
        </w:rPr>
      </w:pPr>
      <w:r>
        <w:rPr>
          <w:szCs w:val="21"/>
        </w:rPr>
        <w:t>b</w:t>
      </w:r>
      <w:r>
        <w:rPr>
          <w:szCs w:val="21"/>
        </w:rPr>
        <w:t>，需要考虑母体毒性的类型、发生率及严重程度。</w:t>
      </w:r>
    </w:p>
    <w:p w14:paraId="037364EC" w14:textId="77777777" w:rsidR="00E5691B" w:rsidRDefault="00EC13FE">
      <w:pPr>
        <w:spacing w:line="300" w:lineRule="auto"/>
        <w:rPr>
          <w:szCs w:val="21"/>
        </w:rPr>
      </w:pPr>
      <w:r>
        <w:rPr>
          <w:szCs w:val="21"/>
        </w:rPr>
        <w:t>c</w:t>
      </w:r>
      <w:r>
        <w:rPr>
          <w:szCs w:val="21"/>
        </w:rPr>
        <w:t>，触发结果为是否开展该序列研究。</w:t>
      </w:r>
    </w:p>
    <w:p w14:paraId="7CF35253" w14:textId="77777777" w:rsidR="00E5691B" w:rsidRDefault="00EC13FE">
      <w:pPr>
        <w:spacing w:line="300" w:lineRule="auto"/>
        <w:rPr>
          <w:szCs w:val="21"/>
        </w:rPr>
      </w:pPr>
      <w:r>
        <w:rPr>
          <w:szCs w:val="21"/>
        </w:rPr>
        <w:lastRenderedPageBreak/>
        <w:t>AGD</w:t>
      </w:r>
      <w:r>
        <w:rPr>
          <w:szCs w:val="21"/>
        </w:rPr>
        <w:t>：肛殖距；</w:t>
      </w:r>
      <w:r>
        <w:rPr>
          <w:szCs w:val="21"/>
        </w:rPr>
        <w:t>PPS</w:t>
      </w:r>
      <w:r>
        <w:rPr>
          <w:szCs w:val="21"/>
        </w:rPr>
        <w:t>：包皮龟头分离；</w:t>
      </w:r>
      <w:r>
        <w:rPr>
          <w:szCs w:val="21"/>
        </w:rPr>
        <w:t>VO</w:t>
      </w:r>
      <w:r>
        <w:rPr>
          <w:szCs w:val="21"/>
        </w:rPr>
        <w:t>：阴道张开。</w:t>
      </w:r>
    </w:p>
    <w:p w14:paraId="1DAA3AE2" w14:textId="77777777" w:rsidR="00E5691B" w:rsidRDefault="00EC13FE">
      <w:pPr>
        <w:spacing w:line="300" w:lineRule="auto"/>
        <w:rPr>
          <w:szCs w:val="21"/>
        </w:rPr>
      </w:pPr>
      <w:r>
        <w:rPr>
          <w:szCs w:val="21"/>
        </w:rPr>
        <w:t>“</w:t>
      </w:r>
      <w:r>
        <w:rPr>
          <w:szCs w:val="21"/>
          <w:shd w:val="clear" w:color="auto" w:fill="BFBFBF" w:themeFill="background1" w:themeFillShade="BF"/>
        </w:rPr>
        <w:t xml:space="preserve">  </w:t>
      </w:r>
      <w:r>
        <w:rPr>
          <w:szCs w:val="21"/>
        </w:rPr>
        <w:t>”</w:t>
      </w:r>
      <w:r>
        <w:rPr>
          <w:szCs w:val="21"/>
        </w:rPr>
        <w:t>标示的触发条件为外部因素，即该类数据非来自本次试验，可源于各种可信资料。</w:t>
      </w:r>
    </w:p>
    <w:p w14:paraId="26A1A5FA" w14:textId="77777777" w:rsidR="00E5691B" w:rsidRDefault="00E5691B"/>
    <w:p w14:paraId="2269324D" w14:textId="77777777" w:rsidR="00E5691B" w:rsidRDefault="00E5691B">
      <w:pPr>
        <w:spacing w:line="300" w:lineRule="auto"/>
      </w:pPr>
    </w:p>
    <w:p w14:paraId="38BB7C94" w14:textId="77777777" w:rsidR="00E5691B" w:rsidRDefault="00E5691B">
      <w:pPr>
        <w:spacing w:line="300" w:lineRule="auto"/>
      </w:pPr>
    </w:p>
    <w:p w14:paraId="0BA713FC" w14:textId="77777777" w:rsidR="00E5691B" w:rsidRDefault="00E5691B">
      <w:pPr>
        <w:spacing w:line="300" w:lineRule="auto"/>
      </w:pPr>
    </w:p>
    <w:p w14:paraId="23B65256" w14:textId="77777777" w:rsidR="00E5691B" w:rsidRDefault="00E5691B">
      <w:pPr>
        <w:spacing w:line="300" w:lineRule="auto"/>
      </w:pPr>
    </w:p>
    <w:p w14:paraId="24817207" w14:textId="77777777" w:rsidR="00E5691B" w:rsidRDefault="00E5691B">
      <w:pPr>
        <w:spacing w:line="300" w:lineRule="auto"/>
      </w:pPr>
    </w:p>
    <w:p w14:paraId="150046A5" w14:textId="77777777" w:rsidR="00E5691B" w:rsidRDefault="00E5691B">
      <w:pPr>
        <w:spacing w:line="300" w:lineRule="auto"/>
      </w:pPr>
    </w:p>
    <w:p w14:paraId="46A2E216" w14:textId="77777777" w:rsidR="00E5691B" w:rsidRDefault="00E5691B">
      <w:pPr>
        <w:spacing w:line="300" w:lineRule="auto"/>
      </w:pPr>
    </w:p>
    <w:p w14:paraId="71C83E08" w14:textId="77777777" w:rsidR="00E5691B" w:rsidRDefault="00E5691B">
      <w:pPr>
        <w:spacing w:line="300" w:lineRule="auto"/>
      </w:pPr>
    </w:p>
    <w:p w14:paraId="2A00A328" w14:textId="77777777" w:rsidR="00E5691B" w:rsidRDefault="00E5691B">
      <w:pPr>
        <w:spacing w:line="300" w:lineRule="auto"/>
        <w:sectPr w:rsidR="00E5691B">
          <w:footerReference w:type="default" r:id="rId11"/>
          <w:pgSz w:w="11906" w:h="16838"/>
          <w:pgMar w:top="1440" w:right="1803" w:bottom="1440" w:left="1803" w:header="851" w:footer="992" w:gutter="0"/>
          <w:cols w:space="425"/>
          <w:docGrid w:type="lines" w:linePitch="312"/>
        </w:sectPr>
      </w:pPr>
    </w:p>
    <w:p w14:paraId="757FFEE2" w14:textId="77777777" w:rsidR="00E5691B" w:rsidRDefault="00EC13FE">
      <w:pPr>
        <w:spacing w:beforeLines="50" w:before="156" w:afterLines="50" w:after="156" w:line="300" w:lineRule="auto"/>
        <w:jc w:val="center"/>
        <w:rPr>
          <w:rFonts w:eastAsia="黑体"/>
          <w:sz w:val="32"/>
        </w:rPr>
      </w:pPr>
      <w:r>
        <w:rPr>
          <w:rFonts w:eastAsia="黑体"/>
          <w:sz w:val="32"/>
        </w:rPr>
        <w:lastRenderedPageBreak/>
        <w:t>两代生殖发育毒性试验</w:t>
      </w:r>
    </w:p>
    <w:p w14:paraId="4A621DA3" w14:textId="77777777" w:rsidR="00E5691B" w:rsidRDefault="00EC13FE">
      <w:pPr>
        <w:pStyle w:val="af3"/>
        <w:widowControl w:val="0"/>
        <w:numPr>
          <w:ilvl w:val="0"/>
          <w:numId w:val="4"/>
        </w:numPr>
        <w:spacing w:beforeLines="50" w:before="156" w:afterLines="50" w:after="156" w:line="300" w:lineRule="auto"/>
        <w:ind w:firstLineChars="0"/>
        <w:jc w:val="both"/>
        <w:rPr>
          <w:rFonts w:eastAsia="黑体"/>
        </w:rPr>
      </w:pPr>
      <w:r>
        <w:rPr>
          <w:rFonts w:eastAsia="黑体"/>
        </w:rPr>
        <w:t>范围</w:t>
      </w:r>
    </w:p>
    <w:p w14:paraId="3117C1AB" w14:textId="77777777" w:rsidR="00E5691B" w:rsidRDefault="00EC13FE">
      <w:pPr>
        <w:spacing w:line="300" w:lineRule="auto"/>
        <w:ind w:firstLineChars="200" w:firstLine="420"/>
      </w:pPr>
      <w:r>
        <w:t>本规范规定了两代生殖发育毒性试验基本原则，试验方法和技术要求。</w:t>
      </w:r>
    </w:p>
    <w:p w14:paraId="776D9396" w14:textId="77777777" w:rsidR="00E5691B" w:rsidRDefault="00EC13FE">
      <w:pPr>
        <w:spacing w:line="300" w:lineRule="auto"/>
        <w:ind w:firstLineChars="200" w:firstLine="420"/>
      </w:pPr>
      <w:r>
        <w:t>本规范用于检测化妆品原料的生殖发育毒性。</w:t>
      </w:r>
    </w:p>
    <w:p w14:paraId="41C3D2DC" w14:textId="77777777" w:rsidR="00E5691B" w:rsidRDefault="00EC13FE">
      <w:pPr>
        <w:pStyle w:val="af3"/>
        <w:widowControl w:val="0"/>
        <w:numPr>
          <w:ilvl w:val="0"/>
          <w:numId w:val="4"/>
        </w:numPr>
        <w:spacing w:beforeLines="50" w:before="156" w:afterLines="50" w:after="156" w:line="300" w:lineRule="auto"/>
        <w:ind w:firstLineChars="0"/>
        <w:jc w:val="both"/>
        <w:rPr>
          <w:rFonts w:eastAsia="黑体"/>
        </w:rPr>
      </w:pPr>
      <w:r>
        <w:rPr>
          <w:rFonts w:eastAsia="黑体"/>
        </w:rPr>
        <w:t>试验目的</w:t>
      </w:r>
    </w:p>
    <w:p w14:paraId="107D1505" w14:textId="77777777" w:rsidR="00E5691B" w:rsidRDefault="00EC13FE">
      <w:pPr>
        <w:spacing w:line="300" w:lineRule="auto"/>
        <w:ind w:firstLineChars="200" w:firstLine="420"/>
      </w:pPr>
      <w:bookmarkStart w:id="206" w:name="_Hlk135338603"/>
      <w:r>
        <w:t>提供关于受试物产前、产后暴露对雌性、雄性动物生殖功能、生育力及子代发育影响的确切信息。</w:t>
      </w:r>
      <w:bookmarkEnd w:id="206"/>
    </w:p>
    <w:p w14:paraId="299C2527" w14:textId="77777777" w:rsidR="00E5691B" w:rsidRDefault="00EC13FE">
      <w:pPr>
        <w:pStyle w:val="af3"/>
        <w:widowControl w:val="0"/>
        <w:numPr>
          <w:ilvl w:val="0"/>
          <w:numId w:val="4"/>
        </w:numPr>
        <w:spacing w:beforeLines="50" w:before="156" w:afterLines="50" w:after="156" w:line="300" w:lineRule="auto"/>
        <w:ind w:firstLineChars="0"/>
        <w:jc w:val="both"/>
        <w:rPr>
          <w:rFonts w:eastAsia="黑体"/>
        </w:rPr>
      </w:pPr>
      <w:r>
        <w:rPr>
          <w:rFonts w:eastAsia="黑体"/>
        </w:rPr>
        <w:t>定义</w:t>
      </w:r>
    </w:p>
    <w:p w14:paraId="664A15D1" w14:textId="5A41396D" w:rsidR="00E5691B" w:rsidRPr="00A00F74" w:rsidRDefault="00EC13FE">
      <w:pPr>
        <w:pStyle w:val="af3"/>
        <w:widowControl w:val="0"/>
        <w:numPr>
          <w:ilvl w:val="1"/>
          <w:numId w:val="5"/>
        </w:numPr>
        <w:tabs>
          <w:tab w:val="clear" w:pos="284"/>
          <w:tab w:val="left" w:pos="567"/>
        </w:tabs>
        <w:spacing w:beforeLines="50" w:before="156" w:afterLines="50" w:after="156" w:line="300" w:lineRule="auto"/>
        <w:ind w:left="0" w:firstLineChars="0" w:firstLine="0"/>
        <w:jc w:val="both"/>
      </w:pPr>
      <w:r w:rsidRPr="00A00F74">
        <w:t>生殖毒性</w:t>
      </w:r>
      <w:r w:rsidR="00A00F74" w:rsidRPr="00A00F74">
        <w:rPr>
          <w:rFonts w:hint="eastAsia"/>
        </w:rPr>
        <w:t>（</w:t>
      </w:r>
      <w:r w:rsidR="00A00F74" w:rsidRPr="00A00F74">
        <w:rPr>
          <w:rFonts w:hint="eastAsia"/>
        </w:rPr>
        <w:t>Re</w:t>
      </w:r>
      <w:r w:rsidR="00A00F74" w:rsidRPr="00A00F74">
        <w:t>production toxicity</w:t>
      </w:r>
      <w:r w:rsidR="00A00F74" w:rsidRPr="00A00F74">
        <w:rPr>
          <w:rFonts w:hint="eastAsia"/>
        </w:rPr>
        <w:t>）</w:t>
      </w:r>
    </w:p>
    <w:p w14:paraId="4333EC29" w14:textId="77777777" w:rsidR="00E5691B" w:rsidRDefault="00EC13FE">
      <w:pPr>
        <w:spacing w:line="300" w:lineRule="auto"/>
        <w:ind w:firstLineChars="200" w:firstLine="420"/>
      </w:pPr>
      <w:r>
        <w:t>对后代产生有害作用，并损伤雄性和雌性的生殖功能和生殖能力。</w:t>
      </w:r>
    </w:p>
    <w:p w14:paraId="39F7B6B0" w14:textId="4A4E206D" w:rsidR="00E5691B" w:rsidRPr="00A00F74" w:rsidRDefault="00EC13FE">
      <w:pPr>
        <w:pStyle w:val="af3"/>
        <w:widowControl w:val="0"/>
        <w:numPr>
          <w:ilvl w:val="1"/>
          <w:numId w:val="5"/>
        </w:numPr>
        <w:tabs>
          <w:tab w:val="clear" w:pos="284"/>
          <w:tab w:val="left" w:pos="567"/>
        </w:tabs>
        <w:spacing w:beforeLines="50" w:before="156" w:afterLines="50" w:after="156" w:line="300" w:lineRule="auto"/>
        <w:ind w:left="0" w:firstLineChars="0" w:firstLine="0"/>
        <w:jc w:val="both"/>
      </w:pPr>
      <w:r w:rsidRPr="00A00F74">
        <w:t>发育毒性</w:t>
      </w:r>
      <w:r w:rsidR="00A00F74" w:rsidRPr="00A00F74">
        <w:rPr>
          <w:rFonts w:hint="eastAsia"/>
        </w:rPr>
        <w:t>（</w:t>
      </w:r>
      <w:r w:rsidR="00A00F74" w:rsidRPr="00A00F74">
        <w:rPr>
          <w:rFonts w:hint="eastAsia"/>
        </w:rPr>
        <w:t>Developmental</w:t>
      </w:r>
      <w:r w:rsidR="00A00F74" w:rsidRPr="00A00F74">
        <w:t xml:space="preserve"> </w:t>
      </w:r>
      <w:r w:rsidR="00A00F74" w:rsidRPr="00A00F74">
        <w:rPr>
          <w:rFonts w:hint="eastAsia"/>
        </w:rPr>
        <w:t>toxicity</w:t>
      </w:r>
      <w:r w:rsidR="00A00F74" w:rsidRPr="00A00F74">
        <w:rPr>
          <w:rFonts w:hint="eastAsia"/>
        </w:rPr>
        <w:t>）</w:t>
      </w:r>
    </w:p>
    <w:p w14:paraId="6F2856F3" w14:textId="77777777" w:rsidR="00E5691B" w:rsidRDefault="00EC13FE">
      <w:pPr>
        <w:spacing w:line="300" w:lineRule="auto"/>
        <w:ind w:firstLineChars="200" w:firstLine="420"/>
      </w:pPr>
      <w:r>
        <w:t>生殖毒性的表现，具体表现为后代在产前、围产期、产后发生的结构和功能紊乱。</w:t>
      </w:r>
    </w:p>
    <w:p w14:paraId="799CA062" w14:textId="43CB63D5" w:rsidR="00E5691B" w:rsidRPr="00A00F74" w:rsidRDefault="00EC13FE">
      <w:pPr>
        <w:pStyle w:val="af3"/>
        <w:widowControl w:val="0"/>
        <w:numPr>
          <w:ilvl w:val="1"/>
          <w:numId w:val="5"/>
        </w:numPr>
        <w:tabs>
          <w:tab w:val="clear" w:pos="284"/>
          <w:tab w:val="left" w:pos="567"/>
        </w:tabs>
        <w:spacing w:beforeLines="50" w:before="156" w:afterLines="50" w:after="156" w:line="300" w:lineRule="auto"/>
        <w:ind w:left="0" w:firstLineChars="0" w:firstLine="0"/>
        <w:jc w:val="both"/>
      </w:pPr>
      <w:r w:rsidRPr="00A00F74">
        <w:t>母体毒性</w:t>
      </w:r>
      <w:r w:rsidR="00A00F74" w:rsidRPr="00A00F74">
        <w:rPr>
          <w:rFonts w:hint="eastAsia"/>
        </w:rPr>
        <w:t>（</w:t>
      </w:r>
      <w:r w:rsidR="00A00F74" w:rsidRPr="00A00F74">
        <w:rPr>
          <w:rFonts w:hint="eastAsia"/>
        </w:rPr>
        <w:t>Mater</w:t>
      </w:r>
      <w:r w:rsidR="00A00F74" w:rsidRPr="00A00F74">
        <w:t>nal toxicity</w:t>
      </w:r>
      <w:r w:rsidR="00A00F74" w:rsidRPr="00A00F74">
        <w:rPr>
          <w:rFonts w:hint="eastAsia"/>
        </w:rPr>
        <w:t>）</w:t>
      </w:r>
    </w:p>
    <w:p w14:paraId="08C1D667" w14:textId="77777777" w:rsidR="00E5691B" w:rsidRDefault="00EC13FE">
      <w:pPr>
        <w:spacing w:line="300" w:lineRule="auto"/>
        <w:ind w:firstLineChars="200" w:firstLine="420"/>
      </w:pPr>
      <w:r>
        <w:t>受试物引起亲代雌性妊娠动物直接或间接的健康损害效应，表现为增重减少、功能异常、毒性反应、甚至死亡。</w:t>
      </w:r>
    </w:p>
    <w:p w14:paraId="0F4AD835" w14:textId="77777777" w:rsidR="00E5691B" w:rsidRDefault="00EC13FE">
      <w:pPr>
        <w:pStyle w:val="af3"/>
        <w:widowControl w:val="0"/>
        <w:numPr>
          <w:ilvl w:val="1"/>
          <w:numId w:val="5"/>
        </w:numPr>
        <w:tabs>
          <w:tab w:val="clear" w:pos="284"/>
          <w:tab w:val="left" w:pos="567"/>
        </w:tabs>
        <w:spacing w:beforeLines="50" w:before="156" w:afterLines="50" w:after="156" w:line="300" w:lineRule="auto"/>
        <w:ind w:left="0" w:firstLineChars="0" w:firstLine="0"/>
        <w:jc w:val="both"/>
      </w:pPr>
      <w:r>
        <w:rPr>
          <w:rFonts w:hint="eastAsia"/>
        </w:rPr>
        <w:t>未观察到有害作用剂量</w:t>
      </w:r>
      <w:r>
        <w:t>（</w:t>
      </w:r>
      <w:r>
        <w:t>NOAEL</w:t>
      </w:r>
      <w:r>
        <w:t>）</w:t>
      </w:r>
    </w:p>
    <w:p w14:paraId="455511DD" w14:textId="77777777" w:rsidR="00E5691B" w:rsidRDefault="00EC13FE">
      <w:pPr>
        <w:spacing w:line="300" w:lineRule="auto"/>
        <w:ind w:firstLineChars="200" w:firstLine="420"/>
      </w:pPr>
      <w:r>
        <w:lastRenderedPageBreak/>
        <w:t>通过动物试验，以现有的技术手段和检测指标未观察到任何与受试物相关的毒性作用的最大剂量。</w:t>
      </w:r>
    </w:p>
    <w:p w14:paraId="6B9B365B" w14:textId="77777777" w:rsidR="00E5691B" w:rsidRDefault="00EC13FE">
      <w:pPr>
        <w:pStyle w:val="af3"/>
        <w:widowControl w:val="0"/>
        <w:numPr>
          <w:ilvl w:val="1"/>
          <w:numId w:val="5"/>
        </w:numPr>
        <w:tabs>
          <w:tab w:val="clear" w:pos="284"/>
          <w:tab w:val="left" w:pos="567"/>
        </w:tabs>
        <w:spacing w:beforeLines="50" w:before="156" w:afterLines="50" w:after="156" w:line="300" w:lineRule="auto"/>
        <w:ind w:left="0" w:firstLineChars="0" w:firstLine="0"/>
        <w:jc w:val="both"/>
      </w:pPr>
      <w:r>
        <w:rPr>
          <w:rFonts w:hint="eastAsia"/>
        </w:rPr>
        <w:t>观察到有害作用的最低剂量</w:t>
      </w:r>
      <w:r>
        <w:t>（</w:t>
      </w:r>
      <w:r>
        <w:t>LOAEL</w:t>
      </w:r>
      <w:r>
        <w:t>）</w:t>
      </w:r>
    </w:p>
    <w:p w14:paraId="3C81308D" w14:textId="77777777" w:rsidR="00E5691B" w:rsidRDefault="00EC13FE">
      <w:pPr>
        <w:spacing w:line="300" w:lineRule="auto"/>
        <w:ind w:firstLineChars="200" w:firstLine="420"/>
      </w:pPr>
      <w:r>
        <w:t>在规定的条件下，受试物引起实验动物组织形态、功能、生长发育等有害效应的最小作用剂量。</w:t>
      </w:r>
    </w:p>
    <w:p w14:paraId="433075DA" w14:textId="77777777" w:rsidR="00E5691B" w:rsidRDefault="00EC13FE">
      <w:pPr>
        <w:pStyle w:val="af3"/>
        <w:widowControl w:val="0"/>
        <w:numPr>
          <w:ilvl w:val="0"/>
          <w:numId w:val="4"/>
        </w:numPr>
        <w:spacing w:beforeLines="50" w:before="156" w:afterLines="50" w:after="156" w:line="300" w:lineRule="auto"/>
        <w:ind w:firstLineChars="0"/>
        <w:jc w:val="both"/>
        <w:rPr>
          <w:rFonts w:eastAsia="黑体"/>
        </w:rPr>
      </w:pPr>
      <w:r>
        <w:rPr>
          <w:rFonts w:eastAsia="黑体"/>
        </w:rPr>
        <w:t>试验的基本原则</w:t>
      </w:r>
    </w:p>
    <w:p w14:paraId="352603DD" w14:textId="77777777" w:rsidR="00E5691B" w:rsidRDefault="00EC13FE">
      <w:pPr>
        <w:spacing w:line="300" w:lineRule="auto"/>
        <w:ind w:firstLineChars="200" w:firstLine="420"/>
      </w:pPr>
      <w:bookmarkStart w:id="207" w:name="_Hlk135335238"/>
      <w:r>
        <w:t>通过对实验动物以受试物暴露，考察其对雄性和雌性动物生殖功能、生育力及生殖系统形态的影响。若该暴露（直接或间接）持续至子代，则还可以继续考察受试物对子代发育，甚至子代生殖功能和生育力的影响。</w:t>
      </w:r>
    </w:p>
    <w:bookmarkEnd w:id="207"/>
    <w:p w14:paraId="0E6EFCB2" w14:textId="77777777" w:rsidR="00E5691B" w:rsidRDefault="00EC13FE">
      <w:pPr>
        <w:pStyle w:val="af3"/>
        <w:widowControl w:val="0"/>
        <w:numPr>
          <w:ilvl w:val="0"/>
          <w:numId w:val="4"/>
        </w:numPr>
        <w:spacing w:beforeLines="50" w:before="156" w:afterLines="50" w:after="156" w:line="300" w:lineRule="auto"/>
        <w:ind w:firstLineChars="0"/>
        <w:jc w:val="both"/>
        <w:rPr>
          <w:rFonts w:eastAsia="黑体"/>
        </w:rPr>
      </w:pPr>
      <w:r>
        <w:rPr>
          <w:rFonts w:eastAsia="黑体"/>
        </w:rPr>
        <w:t>受试物配制</w:t>
      </w:r>
    </w:p>
    <w:p w14:paraId="52E0F01C" w14:textId="77777777" w:rsidR="00E5691B" w:rsidRDefault="00EC13FE">
      <w:pPr>
        <w:spacing w:line="300" w:lineRule="auto"/>
        <w:ind w:firstLineChars="200" w:firstLine="420"/>
      </w:pPr>
      <w:r>
        <w:t>化妆品原料一般采用经口、经皮或吸入方式给予受试物，溶媒对照应采用相同的给予途径。若设置阳性对照，其处理方式可以不同于受试物处理组。</w:t>
      </w:r>
    </w:p>
    <w:p w14:paraId="1A684BE6" w14:textId="77777777" w:rsidR="00E5691B" w:rsidRDefault="00EC13FE">
      <w:pPr>
        <w:spacing w:line="300" w:lineRule="auto"/>
        <w:ind w:firstLineChars="200" w:firstLine="420"/>
      </w:pPr>
      <w:bookmarkStart w:id="208" w:name="_Hlk135333967"/>
      <w:r>
        <w:t>一般情况下首选水作为溶媒，可以是水溶液也可以是混悬液，其次可以选择玉米油作为溶媒配制成乳浊液，也可以将其与水混合配制成油溶液。使用水以外的其它溶媒，应阐明其毒性并保证所配制溶液的稳定性。</w:t>
      </w:r>
    </w:p>
    <w:bookmarkEnd w:id="208"/>
    <w:p w14:paraId="2E347559" w14:textId="77777777" w:rsidR="00E5691B" w:rsidRDefault="00EC13FE">
      <w:pPr>
        <w:spacing w:line="300" w:lineRule="auto"/>
        <w:ind w:firstLineChars="200" w:firstLine="420"/>
      </w:pPr>
      <w:r>
        <w:t>其它应纳入考虑的因素包括：溶媒是否影响受试物化学特征继而改变受试物毒性；溶媒是否影响受试物的吸收、代谢、分布和蓄积；溶媒是否影响动物食物和饮水摄入继而影响营养状况；溶媒本身是否有潜在毒性。</w:t>
      </w:r>
    </w:p>
    <w:p w14:paraId="2D86930D" w14:textId="77777777" w:rsidR="00E5691B" w:rsidRDefault="00EC13FE">
      <w:pPr>
        <w:spacing w:line="300" w:lineRule="auto"/>
        <w:ind w:firstLineChars="200" w:firstLine="420"/>
      </w:pPr>
      <w:r>
        <w:lastRenderedPageBreak/>
        <w:t>经口灌胃时，以大鼠为例，水溶性液体的灌胃体积一般不超过</w:t>
      </w:r>
      <w:r>
        <w:t>10 mL/kg</w:t>
      </w:r>
      <w:r>
        <w:t>体重，最大不超过</w:t>
      </w:r>
      <w:r>
        <w:t>20 mL/kg</w:t>
      </w:r>
      <w:r>
        <w:t>体重；油溶性液体的灌胃体积不超过</w:t>
      </w:r>
      <w:r>
        <w:t>4 mL/kg</w:t>
      </w:r>
      <w:r>
        <w:t>体重。</w:t>
      </w:r>
    </w:p>
    <w:p w14:paraId="1EC42AA6" w14:textId="77777777" w:rsidR="00E5691B" w:rsidRDefault="00EC13FE">
      <w:pPr>
        <w:spacing w:line="300" w:lineRule="auto"/>
        <w:ind w:firstLineChars="200" w:firstLine="420"/>
      </w:pPr>
      <w:r>
        <w:t>经饲料或饮水给予时，应充分考虑溶媒添加量和动物热量的摄入。若使用溶媒，那么对照组应按受试物组的最高使用量添加；若不使用溶媒，且受试物会造成摄食量或食物利用率的降低，那么可以通过将其饲喂未交配动物作为配对对照组，但是，如有资料表明食物消耗的降低并不影响生殖相关参数，可以不设置配对对照。</w:t>
      </w:r>
    </w:p>
    <w:p w14:paraId="66A4DC5F" w14:textId="77777777" w:rsidR="00E5691B" w:rsidRDefault="00EC13FE">
      <w:pPr>
        <w:spacing w:line="300" w:lineRule="auto"/>
        <w:ind w:firstLineChars="200" w:firstLine="420"/>
      </w:pPr>
      <w:r>
        <w:t>经皮给予受试物时，应考虑受试物浓度对皮肤的刺激性。若在既定剂量下的浓度产生较为严重的皮肤刺激性，应将浓度适当降低。当然，这种降低可能也伴随剂量的降低。如果因浓度过高，在早期就出现皮肤严重受损的情况下，应终止试验并选择合适的浓度重新开始。受试物皮肤暴露面积应达到动物全身皮肤的</w:t>
      </w:r>
      <w:r>
        <w:t>10%</w:t>
      </w:r>
      <w:r>
        <w:t>，毒性过高的受试物也可以小于</w:t>
      </w:r>
      <w:r>
        <w:t>10%</w:t>
      </w:r>
      <w:r>
        <w:t>。可以采用纱布和无刺激性胶带将受试物固定在皮肤表面，需要保证每天</w:t>
      </w:r>
      <w:r>
        <w:t>6</w:t>
      </w:r>
      <w:r>
        <w:t>小时的接触时长，同时也可以采用非保定方式防止动物摄入受试物或弄掉封闭胶带。</w:t>
      </w:r>
    </w:p>
    <w:p w14:paraId="5DA71FF2" w14:textId="77777777" w:rsidR="00E5691B" w:rsidRDefault="00EC13FE">
      <w:pPr>
        <w:spacing w:line="300" w:lineRule="auto"/>
        <w:ind w:firstLineChars="200" w:firstLine="420"/>
      </w:pPr>
      <w:r>
        <w:t>经吸入给予受试物时，一般采用气体、蒸汽、气溶胶或以上混合形态进行受试物暴露。吸入受试物所采用的暴露物态应根据其理化性质、拟定浓度和</w:t>
      </w:r>
      <w:r>
        <w:t>/</w:t>
      </w:r>
      <w:r>
        <w:t>或其实际应用时的物态加以确定。不论采用头鼻暴露还是全身暴露，均需将气流中的氧气浓度控制在至少</w:t>
      </w:r>
      <w:r>
        <w:t>19%</w:t>
      </w:r>
      <w:r>
        <w:t>，二氧化碳浓度控制在不高于</w:t>
      </w:r>
      <w:r>
        <w:t>1%</w:t>
      </w:r>
      <w:r>
        <w:t>，同时确保受试物浓度稳定。</w:t>
      </w:r>
    </w:p>
    <w:p w14:paraId="6F817548" w14:textId="77777777" w:rsidR="00E5691B" w:rsidRDefault="00EC13FE">
      <w:pPr>
        <w:pStyle w:val="af3"/>
        <w:widowControl w:val="0"/>
        <w:numPr>
          <w:ilvl w:val="0"/>
          <w:numId w:val="4"/>
        </w:numPr>
        <w:spacing w:beforeLines="50" w:before="156" w:afterLines="50" w:after="156" w:line="300" w:lineRule="auto"/>
        <w:ind w:firstLineChars="0"/>
        <w:jc w:val="both"/>
        <w:rPr>
          <w:rFonts w:eastAsia="黑体"/>
        </w:rPr>
      </w:pPr>
      <w:r>
        <w:rPr>
          <w:rFonts w:eastAsia="黑体"/>
        </w:rPr>
        <w:t>实验动物和饲养环境</w:t>
      </w:r>
    </w:p>
    <w:p w14:paraId="547D3A59" w14:textId="77777777" w:rsidR="00E5691B" w:rsidRDefault="00EC13FE">
      <w:pPr>
        <w:pStyle w:val="af3"/>
        <w:widowControl w:val="0"/>
        <w:numPr>
          <w:ilvl w:val="1"/>
          <w:numId w:val="6"/>
        </w:numPr>
        <w:tabs>
          <w:tab w:val="clear" w:pos="284"/>
          <w:tab w:val="left" w:pos="567"/>
        </w:tabs>
        <w:spacing w:beforeLines="50" w:before="156" w:afterLines="50" w:after="156" w:line="300" w:lineRule="auto"/>
        <w:ind w:left="0" w:firstLineChars="0" w:firstLine="0"/>
        <w:jc w:val="both"/>
      </w:pPr>
      <w:r>
        <w:t>实验动物选择</w:t>
      </w:r>
    </w:p>
    <w:p w14:paraId="63345773" w14:textId="77777777" w:rsidR="00E5691B" w:rsidRDefault="00EC13FE">
      <w:pPr>
        <w:spacing w:line="300" w:lineRule="auto"/>
        <w:ind w:firstLineChars="200" w:firstLine="420"/>
      </w:pPr>
      <w:r>
        <w:lastRenderedPageBreak/>
        <w:t>首选种属为大鼠，若选择其它种属动物应有合理理由，同时应避免选择生育力低且具有明显发育缺陷的动物种属。所选动物应健康且未经历任何试验，其中雌性动物应为未经产或未孕动物。受试物处理前，动物体重应控制在同性别平均体重的</w:t>
      </w:r>
      <w:r>
        <w:t>20%</w:t>
      </w:r>
      <w:r>
        <w:t>范围内，若有必要还应基于发情周期筛选动物，将发情周期正常的雌性纳入试验。动物开始交配的周龄在</w:t>
      </w:r>
      <w:r>
        <w:t>12-14</w:t>
      </w:r>
      <w:r>
        <w:t>周龄较为合适。</w:t>
      </w:r>
    </w:p>
    <w:p w14:paraId="6A0BBEED" w14:textId="77777777" w:rsidR="00E5691B" w:rsidRDefault="00EC13FE">
      <w:pPr>
        <w:pStyle w:val="af3"/>
        <w:widowControl w:val="0"/>
        <w:numPr>
          <w:ilvl w:val="1"/>
          <w:numId w:val="6"/>
        </w:numPr>
        <w:tabs>
          <w:tab w:val="clear" w:pos="284"/>
          <w:tab w:val="left" w:pos="567"/>
        </w:tabs>
        <w:spacing w:beforeLines="50" w:before="156" w:afterLines="50" w:after="156" w:line="300" w:lineRule="auto"/>
        <w:ind w:left="0" w:firstLineChars="0" w:firstLine="0"/>
        <w:jc w:val="both"/>
      </w:pPr>
      <w:r>
        <w:t>动物数量</w:t>
      </w:r>
    </w:p>
    <w:p w14:paraId="5FA8765E" w14:textId="77777777" w:rsidR="00E5691B" w:rsidRDefault="00EC13FE">
      <w:pPr>
        <w:spacing w:line="300" w:lineRule="auto"/>
        <w:ind w:firstLineChars="200" w:firstLine="420"/>
      </w:pPr>
      <w:r>
        <w:t>应保证每组至少有</w:t>
      </w:r>
      <w:r>
        <w:t>20</w:t>
      </w:r>
      <w:r>
        <w:t>只怀孕雌性动物，在极端情况下，未能产生足够的怀孕动物时，不表明研究数据无效，需个案分析。雄性动物数量推荐与雌性动物保持一致。</w:t>
      </w:r>
    </w:p>
    <w:p w14:paraId="5CD1E00B" w14:textId="77777777" w:rsidR="00E5691B" w:rsidRDefault="00EC13FE">
      <w:pPr>
        <w:pStyle w:val="af3"/>
        <w:widowControl w:val="0"/>
        <w:numPr>
          <w:ilvl w:val="1"/>
          <w:numId w:val="6"/>
        </w:numPr>
        <w:tabs>
          <w:tab w:val="clear" w:pos="284"/>
          <w:tab w:val="left" w:pos="567"/>
        </w:tabs>
        <w:spacing w:beforeLines="50" w:before="156" w:afterLines="50" w:after="156" w:line="300" w:lineRule="auto"/>
        <w:ind w:left="0" w:firstLineChars="0" w:firstLine="0"/>
        <w:jc w:val="both"/>
      </w:pPr>
      <w:r>
        <w:t>动物的准备和饲养</w:t>
      </w:r>
    </w:p>
    <w:p w14:paraId="7A8CF569" w14:textId="77777777" w:rsidR="00E5691B" w:rsidRDefault="00EC13FE">
      <w:pPr>
        <w:spacing w:line="300" w:lineRule="auto"/>
        <w:ind w:firstLineChars="200" w:firstLine="420"/>
      </w:pPr>
      <w:r>
        <w:t>动物抵达实验设施后，应有不少于</w:t>
      </w:r>
      <w:r>
        <w:t>5</w:t>
      </w:r>
      <w:r>
        <w:t>天的环境适应期。饲养环境应符合国标相关要求。动物自由采食和饮水，但应注意饮食中植物雌激素的含量，避免影响某些生殖终点。所用批次饲料留样并适当保存至报告完成，以便在某些情况下进行回溯分析。</w:t>
      </w:r>
    </w:p>
    <w:p w14:paraId="0CAFC12C" w14:textId="77777777" w:rsidR="00E5691B" w:rsidRDefault="00EC13FE">
      <w:pPr>
        <w:spacing w:line="300" w:lineRule="auto"/>
        <w:ind w:firstLineChars="200" w:firstLine="420"/>
      </w:pPr>
      <w:r>
        <w:t>动物交配前可以多只动物饲养于一笼，雌性动物交配成功后（检查到阴栓或阴道涂片阳性）应单笼饲养于含垫料的笼具内，其所产</w:t>
      </w:r>
      <w:r>
        <w:t>F1</w:t>
      </w:r>
      <w:r>
        <w:t>代同笼饲养至离乳。离乳后的</w:t>
      </w:r>
      <w:r>
        <w:t>F1</w:t>
      </w:r>
      <w:r>
        <w:t>代应按组别、性别分笼饲养，如有合理理由亦可单笼饲养。</w:t>
      </w:r>
    </w:p>
    <w:p w14:paraId="4D926A8F" w14:textId="77777777" w:rsidR="00E5691B" w:rsidRDefault="00EC13FE">
      <w:pPr>
        <w:pStyle w:val="af3"/>
        <w:widowControl w:val="0"/>
        <w:numPr>
          <w:ilvl w:val="0"/>
          <w:numId w:val="4"/>
        </w:numPr>
        <w:spacing w:beforeLines="50" w:before="156" w:afterLines="50" w:after="156" w:line="300" w:lineRule="auto"/>
        <w:ind w:firstLineChars="0"/>
        <w:jc w:val="both"/>
        <w:rPr>
          <w:rFonts w:eastAsia="黑体"/>
        </w:rPr>
      </w:pPr>
      <w:r>
        <w:rPr>
          <w:rFonts w:eastAsia="黑体"/>
        </w:rPr>
        <w:t>暴露途径的选择</w:t>
      </w:r>
    </w:p>
    <w:p w14:paraId="050EC4EC" w14:textId="77777777" w:rsidR="00E5691B" w:rsidRDefault="00EC13FE">
      <w:pPr>
        <w:spacing w:line="300" w:lineRule="auto"/>
        <w:ind w:firstLineChars="200" w:firstLine="420"/>
      </w:pPr>
      <w:r w:rsidRPr="005A52C6">
        <w:rPr>
          <w:rFonts w:hint="eastAsia"/>
        </w:rPr>
        <w:t>推荐采用经口方式（包括饲料、饮水和灌胃），除非其它暴露途径（经皮或吸入）更为合适。</w:t>
      </w:r>
    </w:p>
    <w:p w14:paraId="22A54477" w14:textId="77777777" w:rsidR="00E5691B" w:rsidRDefault="00EC13FE">
      <w:pPr>
        <w:pStyle w:val="af3"/>
        <w:widowControl w:val="0"/>
        <w:numPr>
          <w:ilvl w:val="0"/>
          <w:numId w:val="4"/>
        </w:numPr>
        <w:spacing w:beforeLines="50" w:before="156" w:afterLines="50" w:after="156" w:line="300" w:lineRule="auto"/>
        <w:ind w:firstLineChars="0"/>
        <w:jc w:val="both"/>
        <w:rPr>
          <w:rFonts w:eastAsia="黑体"/>
        </w:rPr>
      </w:pPr>
      <w:r>
        <w:rPr>
          <w:rFonts w:eastAsia="黑体"/>
        </w:rPr>
        <w:t>剂量和分组</w:t>
      </w:r>
    </w:p>
    <w:p w14:paraId="39403B95" w14:textId="77777777" w:rsidR="00E5691B" w:rsidRDefault="00EC13FE">
      <w:pPr>
        <w:pStyle w:val="af3"/>
        <w:widowControl w:val="0"/>
        <w:numPr>
          <w:ilvl w:val="1"/>
          <w:numId w:val="7"/>
        </w:numPr>
        <w:tabs>
          <w:tab w:val="clear" w:pos="284"/>
          <w:tab w:val="left" w:pos="567"/>
        </w:tabs>
        <w:spacing w:beforeLines="50" w:before="156" w:afterLines="50" w:after="156" w:line="300" w:lineRule="auto"/>
        <w:ind w:left="0" w:firstLineChars="0" w:firstLine="0"/>
        <w:jc w:val="both"/>
      </w:pPr>
      <w:r>
        <w:lastRenderedPageBreak/>
        <w:t>常规剂量设计</w:t>
      </w:r>
    </w:p>
    <w:p w14:paraId="703A9F5D" w14:textId="77777777" w:rsidR="00E5691B" w:rsidRDefault="00EC13FE">
      <w:pPr>
        <w:spacing w:line="300" w:lineRule="auto"/>
        <w:ind w:firstLineChars="200" w:firstLine="420"/>
      </w:pPr>
      <w:r>
        <w:t>通常情况下，设置</w:t>
      </w:r>
      <w:r>
        <w:t>3</w:t>
      </w:r>
      <w:r>
        <w:t>个剂量组和</w:t>
      </w:r>
      <w:r>
        <w:t>1</w:t>
      </w:r>
      <w:r>
        <w:t>个溶媒对照组。在有毒代动力学（</w:t>
      </w:r>
      <w:r>
        <w:t>Toxicokinetics, TK</w:t>
      </w:r>
      <w:r>
        <w:t>）数据的情况下，若受试物具有</w:t>
      </w:r>
      <w:bookmarkStart w:id="209" w:name="OLE_LINK1"/>
      <w:r>
        <w:t>剂量依赖性饱和特征</w:t>
      </w:r>
      <w:bookmarkEnd w:id="209"/>
      <w:r>
        <w:t>且人的暴露量远低于此，那么所选高剂量应避免出现饱和，比较合适的高剂量应为向非线性转变的拐点。在缺乏</w:t>
      </w:r>
      <w:r>
        <w:t>TK</w:t>
      </w:r>
      <w:r>
        <w:t>数据支持的情况下，剂量水平的选择应基于受试物的毒性，如高剂量应产生一定程度的全身毒性，但不致死或造成动物严重的痛苦。通常高剂量组亲代死亡率低于</w:t>
      </w:r>
      <w:r>
        <w:t>10%</w:t>
      </w:r>
      <w:r>
        <w:t>可以接受。</w:t>
      </w:r>
    </w:p>
    <w:p w14:paraId="1400A3A1" w14:textId="77777777" w:rsidR="00E5691B" w:rsidRDefault="00EC13FE">
      <w:pPr>
        <w:spacing w:line="300" w:lineRule="auto"/>
        <w:ind w:firstLineChars="200" w:firstLine="420"/>
      </w:pPr>
      <w:r>
        <w:t>在高剂量以下按等比关系设置中低剂量，低剂量应能够确定</w:t>
      </w:r>
      <w:r>
        <w:t>NOAEL</w:t>
      </w:r>
      <w:r>
        <w:t>或可以用于推导基准剂量（</w:t>
      </w:r>
      <w:r>
        <w:t>Bench mark dose, BMD</w:t>
      </w:r>
      <w:r>
        <w:t>）。通常</w:t>
      </w:r>
      <w:r>
        <w:t>2-4</w:t>
      </w:r>
      <w:r>
        <w:t>倍的剂量间距较为合适，不宜采用过大的间距，如拟设间距超过</w:t>
      </w:r>
      <w:r>
        <w:t>10</w:t>
      </w:r>
      <w:r>
        <w:t>，则应采用增加剂量组的方法以降低间距。若通过饲料给予受试物，则剂量间距不应超过</w:t>
      </w:r>
      <w:r>
        <w:t>3</w:t>
      </w:r>
      <w:r>
        <w:t>倍。</w:t>
      </w:r>
    </w:p>
    <w:p w14:paraId="7792203E" w14:textId="77777777" w:rsidR="00E5691B" w:rsidRDefault="00EC13FE">
      <w:pPr>
        <w:spacing w:line="300" w:lineRule="auto"/>
        <w:ind w:firstLineChars="200" w:firstLine="420"/>
      </w:pPr>
      <w:r>
        <w:t>若有溶媒对照，溶媒对照应采用受试物处理组用到的最大体积作为本组动物的给予体积。</w:t>
      </w:r>
    </w:p>
    <w:p w14:paraId="3BEBD2AD" w14:textId="77777777" w:rsidR="00E5691B" w:rsidRDefault="00EC13FE">
      <w:pPr>
        <w:pStyle w:val="af3"/>
        <w:widowControl w:val="0"/>
        <w:numPr>
          <w:ilvl w:val="1"/>
          <w:numId w:val="7"/>
        </w:numPr>
        <w:tabs>
          <w:tab w:val="clear" w:pos="284"/>
          <w:tab w:val="left" w:pos="567"/>
        </w:tabs>
        <w:spacing w:beforeLines="50" w:before="156" w:afterLines="50" w:after="156" w:line="300" w:lineRule="auto"/>
        <w:ind w:left="0" w:firstLineChars="0" w:firstLine="0"/>
        <w:jc w:val="both"/>
      </w:pPr>
      <w:r>
        <w:t>限制剂量试验</w:t>
      </w:r>
    </w:p>
    <w:p w14:paraId="60FDFCE7" w14:textId="77777777" w:rsidR="00E5691B" w:rsidRDefault="00EC13FE">
      <w:pPr>
        <w:spacing w:line="300" w:lineRule="auto"/>
        <w:ind w:firstLineChars="200" w:firstLine="420"/>
      </w:pPr>
      <w:r w:rsidRPr="005A52C6">
        <w:rPr>
          <w:rFonts w:hint="eastAsia"/>
        </w:rPr>
        <w:t>人的可能暴露水平低于</w:t>
      </w:r>
      <w:r w:rsidRPr="005A52C6">
        <w:t>1000 mg/kg</w:t>
      </w:r>
      <w:r w:rsidRPr="005A52C6">
        <w:rPr>
          <w:rFonts w:hint="eastAsia"/>
        </w:rPr>
        <w:t>，</w:t>
      </w:r>
      <w:r w:rsidR="00B1346D" w:rsidRPr="00851140">
        <w:rPr>
          <w:rFonts w:hint="eastAsia"/>
        </w:rPr>
        <w:t>是开展</w:t>
      </w:r>
      <w:r w:rsidRPr="005A52C6">
        <w:rPr>
          <w:rFonts w:hint="eastAsia"/>
        </w:rPr>
        <w:t>限</w:t>
      </w:r>
      <w:r w:rsidR="00B1346D" w:rsidRPr="00851140">
        <w:rPr>
          <w:rFonts w:hint="eastAsia"/>
        </w:rPr>
        <w:t>制剂量</w:t>
      </w:r>
      <w:r w:rsidRPr="005A52C6">
        <w:rPr>
          <w:rFonts w:hint="eastAsia"/>
        </w:rPr>
        <w:t>试验</w:t>
      </w:r>
      <w:r w:rsidR="00B1346D" w:rsidRPr="00851140">
        <w:rPr>
          <w:rFonts w:hint="eastAsia"/>
        </w:rPr>
        <w:t>的前提条件</w:t>
      </w:r>
      <w:r w:rsidRPr="005A52C6">
        <w:rPr>
          <w:rFonts w:hint="eastAsia"/>
        </w:rPr>
        <w:t>。</w:t>
      </w:r>
      <w:r w:rsidRPr="005A52C6">
        <w:t>在重复剂量毒</w:t>
      </w:r>
      <w:r>
        <w:t>性试验中低于</w:t>
      </w:r>
      <w:r>
        <w:t>1000 mg/kg</w:t>
      </w:r>
      <w:r>
        <w:t>的情况下无毒性表征，或者无结构或代谢类似物的相关资料，那么仅设计</w:t>
      </w:r>
      <w:r>
        <w:t>1000 mg/kg</w:t>
      </w:r>
      <w:r>
        <w:t>的单剂量水平已足够。若在此剂量水平观察到生殖发育毒性，则需要在更低剂量水平确定</w:t>
      </w:r>
      <w:r>
        <w:t>NOAEL</w:t>
      </w:r>
      <w:r>
        <w:t>。</w:t>
      </w:r>
    </w:p>
    <w:p w14:paraId="0ADC23C1" w14:textId="77777777" w:rsidR="00E5691B" w:rsidRDefault="00EC13FE">
      <w:pPr>
        <w:pStyle w:val="af3"/>
        <w:widowControl w:val="0"/>
        <w:numPr>
          <w:ilvl w:val="0"/>
          <w:numId w:val="4"/>
        </w:numPr>
        <w:spacing w:beforeLines="50" w:before="156" w:afterLines="50" w:after="156" w:line="300" w:lineRule="auto"/>
        <w:ind w:firstLineChars="0"/>
        <w:jc w:val="both"/>
        <w:rPr>
          <w:rFonts w:eastAsia="黑体"/>
        </w:rPr>
      </w:pPr>
      <w:r>
        <w:rPr>
          <w:rFonts w:eastAsia="黑体"/>
        </w:rPr>
        <w:t>试验内容</w:t>
      </w:r>
    </w:p>
    <w:p w14:paraId="3A5463ED" w14:textId="77777777" w:rsidR="00E5691B" w:rsidRDefault="00EC13FE">
      <w:pPr>
        <w:pStyle w:val="af3"/>
        <w:widowControl w:val="0"/>
        <w:numPr>
          <w:ilvl w:val="1"/>
          <w:numId w:val="8"/>
        </w:numPr>
        <w:tabs>
          <w:tab w:val="clear" w:pos="284"/>
          <w:tab w:val="left" w:pos="567"/>
        </w:tabs>
        <w:spacing w:beforeLines="50" w:before="156" w:afterLines="50" w:after="156" w:line="300" w:lineRule="auto"/>
        <w:ind w:left="0" w:firstLineChars="0" w:firstLine="0"/>
        <w:jc w:val="both"/>
      </w:pPr>
      <w:r>
        <w:t>试验步骤</w:t>
      </w:r>
    </w:p>
    <w:p w14:paraId="528A5982" w14:textId="77777777" w:rsidR="00E5691B" w:rsidRDefault="00EC13FE">
      <w:pPr>
        <w:spacing w:line="300" w:lineRule="auto"/>
        <w:ind w:firstLineChars="200" w:firstLine="420"/>
      </w:pPr>
      <w:r>
        <w:lastRenderedPageBreak/>
        <w:t>F0</w:t>
      </w:r>
      <w:r>
        <w:t>大鼠从</w:t>
      </w:r>
      <w:r>
        <w:t>5</w:t>
      </w:r>
      <w:r>
        <w:t>到</w:t>
      </w:r>
      <w:r>
        <w:t>9</w:t>
      </w:r>
      <w:r>
        <w:t>周龄开始连续给予受试物。雌性通常持续暴露至</w:t>
      </w:r>
      <w:r>
        <w:t>F1</w:t>
      </w:r>
      <w:r>
        <w:t>代离乳，雄性在不需进行其它生殖效应评价后可以人道处死，但是，所有</w:t>
      </w:r>
      <w:r>
        <w:t>F0</w:t>
      </w:r>
      <w:r>
        <w:t>代动物均应保证交配前共计</w:t>
      </w:r>
      <w:r>
        <w:t>10</w:t>
      </w:r>
      <w:r>
        <w:t>周，交配期共计</w:t>
      </w:r>
      <w:r>
        <w:t>2</w:t>
      </w:r>
      <w:r>
        <w:t>周的受试物暴露期。（流程见附图）</w:t>
      </w:r>
    </w:p>
    <w:p w14:paraId="2098A4F9" w14:textId="77777777" w:rsidR="00E5691B" w:rsidRDefault="00EC13FE">
      <w:pPr>
        <w:spacing w:line="300" w:lineRule="auto"/>
        <w:ind w:firstLineChars="200" w:firstLine="420"/>
      </w:pPr>
      <w:r>
        <w:t>F1</w:t>
      </w:r>
      <w:r>
        <w:t>离乳时，从每窝选择一雌一雄用于交配，自离乳开始每日给予受试物，若暴露途径为饮水或食物，则其实际暴露可能始于哺乳期。交配期前连续暴露至少</w:t>
      </w:r>
      <w:r>
        <w:t>10</w:t>
      </w:r>
      <w:r>
        <w:t>周，并在交配期仍持续暴露</w:t>
      </w:r>
      <w:r>
        <w:t>2</w:t>
      </w:r>
      <w:r>
        <w:t>周，一直持续至</w:t>
      </w:r>
      <w:r>
        <w:t>F2</w:t>
      </w:r>
      <w:r>
        <w:t>代离乳（流程见附图）。不用于交配的</w:t>
      </w:r>
      <w:r>
        <w:t>F1</w:t>
      </w:r>
      <w:r>
        <w:t>和所有</w:t>
      </w:r>
      <w:r>
        <w:t>F2</w:t>
      </w:r>
      <w:r>
        <w:t>均于离乳时人道处死，并从每窝分别选取一雌一雄用于大体解剖观察。</w:t>
      </w:r>
    </w:p>
    <w:p w14:paraId="1AFDA8A5" w14:textId="77777777" w:rsidR="00E5691B" w:rsidRDefault="00EC13FE">
      <w:pPr>
        <w:pStyle w:val="af3"/>
        <w:widowControl w:val="0"/>
        <w:numPr>
          <w:ilvl w:val="1"/>
          <w:numId w:val="8"/>
        </w:numPr>
        <w:tabs>
          <w:tab w:val="clear" w:pos="284"/>
          <w:tab w:val="left" w:pos="567"/>
        </w:tabs>
        <w:spacing w:beforeLines="50" w:before="156" w:afterLines="50" w:after="156" w:line="300" w:lineRule="auto"/>
        <w:ind w:left="0" w:firstLineChars="0" w:firstLine="0"/>
        <w:jc w:val="both"/>
      </w:pPr>
      <w:r>
        <w:t>交配</w:t>
      </w:r>
    </w:p>
    <w:p w14:paraId="103B80A9" w14:textId="77777777" w:rsidR="00E5691B" w:rsidRDefault="00EC13FE">
      <w:pPr>
        <w:spacing w:line="300" w:lineRule="auto"/>
        <w:ind w:firstLineChars="200" w:firstLine="420"/>
      </w:pPr>
      <w:r>
        <w:t>同剂量组的雌雄大鼠按</w:t>
      </w:r>
      <w:r>
        <w:t>1:1</w:t>
      </w:r>
      <w:r>
        <w:t>进行交配，交配最多持续</w:t>
      </w:r>
      <w:r>
        <w:t>2</w:t>
      </w:r>
      <w:r>
        <w:t>周。通过在早晨检查阴栓或阴道涂片来确定交配成功与否，一旦确定交配成功的雌性应单独饲养，并把发现交配成功的当天定为妊娠第</w:t>
      </w:r>
      <w:r>
        <w:t>0</w:t>
      </w:r>
      <w:r>
        <w:t>天（</w:t>
      </w:r>
      <w:r>
        <w:t>G0</w:t>
      </w:r>
      <w:r>
        <w:t>）。如若交配不成功，应选择同组已成功交配的其它雄性继续交配，配对信息应准确记录。</w:t>
      </w:r>
    </w:p>
    <w:p w14:paraId="55C38825" w14:textId="77777777" w:rsidR="00E5691B" w:rsidRDefault="00EC13FE">
      <w:pPr>
        <w:spacing w:line="300" w:lineRule="auto"/>
        <w:ind w:firstLineChars="200" w:firstLine="420"/>
      </w:pPr>
      <w:r>
        <w:t>在离乳动物中，从每窝选取至少一雌一雄在性成熟后进行交配且交配应在同组不同窝间开展。</w:t>
      </w:r>
      <w:r>
        <w:t>F1</w:t>
      </w:r>
      <w:r>
        <w:t>的选取应遵循随机原则，但体重不应低于每窝平均体重两个标准差。</w:t>
      </w:r>
    </w:p>
    <w:p w14:paraId="494AC87C" w14:textId="77777777" w:rsidR="00E5691B" w:rsidRDefault="00EC13FE">
      <w:pPr>
        <w:spacing w:line="300" w:lineRule="auto"/>
        <w:ind w:firstLineChars="200" w:firstLine="420"/>
      </w:pPr>
      <w:r>
        <w:t>通常情况下不推荐进行二次交配，因为二次交配将不得不失去着床信息。但是，如出现受试物相关的窝产仔数变化或第一次交配中观察到可疑的结果，仍建议</w:t>
      </w:r>
      <w:r>
        <w:t>F0</w:t>
      </w:r>
      <w:r>
        <w:t>或</w:t>
      </w:r>
      <w:r>
        <w:t>F1</w:t>
      </w:r>
      <w:r>
        <w:t>再次交配。同时，也建议将未成功怀孕的雌性动物与能正常生育的雄性进行二次交配，以确证雌性生育力。二次交配的时间应选在最后一胎离乳后大约一周左右。</w:t>
      </w:r>
    </w:p>
    <w:p w14:paraId="54FA1D1B" w14:textId="77777777" w:rsidR="00E5691B" w:rsidRDefault="00EC13FE">
      <w:pPr>
        <w:pStyle w:val="af3"/>
        <w:widowControl w:val="0"/>
        <w:numPr>
          <w:ilvl w:val="1"/>
          <w:numId w:val="8"/>
        </w:numPr>
        <w:tabs>
          <w:tab w:val="clear" w:pos="284"/>
          <w:tab w:val="left" w:pos="567"/>
        </w:tabs>
        <w:spacing w:beforeLines="50" w:before="156" w:afterLines="50" w:after="156" w:line="300" w:lineRule="auto"/>
        <w:ind w:left="0" w:firstLineChars="0" w:firstLine="0"/>
        <w:jc w:val="both"/>
      </w:pPr>
      <w:r>
        <w:t>窝的标准化</w:t>
      </w:r>
    </w:p>
    <w:p w14:paraId="1A3B6968" w14:textId="77777777" w:rsidR="00E5691B" w:rsidRDefault="00EC13FE">
      <w:pPr>
        <w:spacing w:line="300" w:lineRule="auto"/>
        <w:ind w:firstLineChars="200" w:firstLine="420"/>
      </w:pPr>
      <w:r>
        <w:lastRenderedPageBreak/>
        <w:t>在出生后第</w:t>
      </w:r>
      <w:r>
        <w:t>4</w:t>
      </w:r>
      <w:r>
        <w:t>天，通过随机选择调整窝的大小，尽可能达到每窝每性别</w:t>
      </w:r>
      <w:r>
        <w:t>5</w:t>
      </w:r>
      <w:r>
        <w:t>只，若难以达到，做部分调整也可接受（例如：</w:t>
      </w:r>
      <w:r>
        <w:t>4</w:t>
      </w:r>
      <w:r>
        <w:t>只雌性和</w:t>
      </w:r>
      <w:r>
        <w:t>6</w:t>
      </w:r>
      <w:r>
        <w:t>只雄性）。窝的标准化不宜以体重及肛殖距（</w:t>
      </w:r>
      <w:r>
        <w:t>AGD</w:t>
      </w:r>
      <w:r>
        <w:t>）为依据。</w:t>
      </w:r>
    </w:p>
    <w:p w14:paraId="74477107" w14:textId="77777777" w:rsidR="00E5691B" w:rsidRDefault="00EC13FE">
      <w:pPr>
        <w:pStyle w:val="af3"/>
        <w:widowControl w:val="0"/>
        <w:numPr>
          <w:ilvl w:val="1"/>
          <w:numId w:val="8"/>
        </w:numPr>
        <w:tabs>
          <w:tab w:val="clear" w:pos="284"/>
          <w:tab w:val="left" w:pos="567"/>
        </w:tabs>
        <w:spacing w:beforeLines="50" w:before="156" w:afterLines="50" w:after="156" w:line="300" w:lineRule="auto"/>
        <w:ind w:left="0" w:firstLineChars="0" w:firstLine="0"/>
        <w:jc w:val="both"/>
      </w:pPr>
      <w:r>
        <w:t>临床观察</w:t>
      </w:r>
    </w:p>
    <w:p w14:paraId="73C806DC" w14:textId="77777777" w:rsidR="00E5691B" w:rsidRDefault="00EC13FE">
      <w:pPr>
        <w:spacing w:line="300" w:lineRule="auto"/>
        <w:ind w:firstLineChars="200" w:firstLine="420"/>
      </w:pPr>
      <w:r>
        <w:t>每天应进行一般临床观察，在灌胃给药的情况下，其观察时间点应考虑到给药后预期的</w:t>
      </w:r>
      <w:r>
        <w:rPr>
          <w:rFonts w:hint="eastAsia"/>
        </w:rPr>
        <w:t>毒性效应</w:t>
      </w:r>
      <w:r>
        <w:t>高峰时期。观察并记录行为改变、难产或长时间分娩以及所有毒性症状。更详细的临床观察至少每周一次，可以在给动物称重时进行。每天两次笼旁观察，观察内容包括严重的毒性反应、发病率和死亡率。</w:t>
      </w:r>
    </w:p>
    <w:p w14:paraId="5BBC26B9" w14:textId="77777777" w:rsidR="00E5691B" w:rsidRDefault="00EC13FE">
      <w:pPr>
        <w:spacing w:line="300" w:lineRule="auto"/>
        <w:ind w:firstLineChars="200" w:firstLine="420"/>
      </w:pPr>
      <w:r>
        <w:t>每天应进行一般临床观察，在灌胃给药的情况下，其观察时间点应考虑到给药后预期的效果高峰时期，观察</w:t>
      </w:r>
      <w:r>
        <w:t>F1</w:t>
      </w:r>
      <w:r>
        <w:t>和</w:t>
      </w:r>
      <w:r>
        <w:t>F2</w:t>
      </w:r>
      <w:r>
        <w:t>是否有行为改变，是否有外观异常，是否出现毒性症状。此外，</w:t>
      </w:r>
      <w:r>
        <w:t>F1</w:t>
      </w:r>
      <w:r>
        <w:t>还应观察是否难产或长时间分娩。更详细的临床观察至少每周一次，可以在给动物称重时进行。每天两次笼旁观察，观察内容包括严重的毒性反应、发病率和死亡率。</w:t>
      </w:r>
    </w:p>
    <w:p w14:paraId="5C266A56" w14:textId="77777777" w:rsidR="00E5691B" w:rsidRDefault="00EC13FE">
      <w:pPr>
        <w:spacing w:line="300" w:lineRule="auto"/>
        <w:ind w:firstLineChars="200" w:firstLine="420"/>
      </w:pPr>
      <w:r>
        <w:t>在分娩后（</w:t>
      </w:r>
      <w:r>
        <w:t>LD0</w:t>
      </w:r>
      <w:r>
        <w:t>）应尽快检查每窝幼</w:t>
      </w:r>
      <w:r w:rsidR="00AB1694">
        <w:t>仔</w:t>
      </w:r>
      <w:r>
        <w:t>，以确定幼</w:t>
      </w:r>
      <w:r w:rsidR="00AB1694">
        <w:t>仔</w:t>
      </w:r>
      <w:r>
        <w:t>的数量和性别、存活与否以及是否存在明显外观异常。在第</w:t>
      </w:r>
      <w:r>
        <w:t>0</w:t>
      </w:r>
      <w:r>
        <w:t>天发现死亡的幼仔，如果不是浸软胎，建议检查可能存在缺陷和</w:t>
      </w:r>
      <w:r>
        <w:t>/</w:t>
      </w:r>
      <w:r>
        <w:t>或死亡原因，并将其保存。子代其它额外的发育信息，如睁眼，耳廓分离，萌牙，出毛的发生时间可以结合性成熟数据分析，如阴道口张开及包皮龟头分离时的日龄和体重。如果没有单独的功能观察组合试验，那么在</w:t>
      </w:r>
      <w:r>
        <w:t>F1</w:t>
      </w:r>
      <w:r>
        <w:t>（非交配用）离乳前后可以观察运动能力，感觉功能，个体反射（出现明显的发育异常时可以不开展功能观察组合试验）。若</w:t>
      </w:r>
      <w:r>
        <w:t>F1</w:t>
      </w:r>
      <w:r>
        <w:t>的性别比或性成熟时间出现受试物相关改变后，则需在</w:t>
      </w:r>
      <w:r>
        <w:t>PND0</w:t>
      </w:r>
      <w:r>
        <w:t>测量</w:t>
      </w:r>
      <w:r>
        <w:t>F2</w:t>
      </w:r>
      <w:r>
        <w:t>的肛殖距。</w:t>
      </w:r>
    </w:p>
    <w:p w14:paraId="48CA4AFF" w14:textId="77777777" w:rsidR="00E5691B" w:rsidRDefault="00EC13FE">
      <w:pPr>
        <w:pStyle w:val="af3"/>
        <w:widowControl w:val="0"/>
        <w:numPr>
          <w:ilvl w:val="1"/>
          <w:numId w:val="8"/>
        </w:numPr>
        <w:tabs>
          <w:tab w:val="clear" w:pos="284"/>
          <w:tab w:val="left" w:pos="567"/>
        </w:tabs>
        <w:spacing w:beforeLines="50" w:before="156" w:afterLines="50" w:after="156" w:line="300" w:lineRule="auto"/>
        <w:ind w:left="0" w:firstLineChars="0" w:firstLine="0"/>
        <w:jc w:val="both"/>
      </w:pPr>
      <w:r>
        <w:t>体重、摄食及饮水</w:t>
      </w:r>
    </w:p>
    <w:p w14:paraId="13ABE5BE" w14:textId="3F60C837" w:rsidR="00E5691B" w:rsidRDefault="00EC13FE">
      <w:pPr>
        <w:spacing w:line="300" w:lineRule="auto"/>
        <w:ind w:firstLineChars="200" w:firstLine="420"/>
      </w:pPr>
      <w:r>
        <w:lastRenderedPageBreak/>
        <w:t>亲代动物（</w:t>
      </w:r>
      <w:r w:rsidR="00411AF6">
        <w:t>F0</w:t>
      </w:r>
      <w:r>
        <w:t>和</w:t>
      </w:r>
      <w:r>
        <w:t>F1</w:t>
      </w:r>
      <w:r>
        <w:t>）受试物处理第一天应称体重，此后至少每周称一次。其中，雌性应在妊娠第</w:t>
      </w:r>
      <w:r>
        <w:t>0</w:t>
      </w:r>
      <w:r>
        <w:t>天、第</w:t>
      </w:r>
      <w:r>
        <w:t>7</w:t>
      </w:r>
      <w:r>
        <w:t>天、第</w:t>
      </w:r>
      <w:r>
        <w:t>14</w:t>
      </w:r>
      <w:r>
        <w:t>天和第</w:t>
      </w:r>
      <w:r>
        <w:t>20</w:t>
      </w:r>
      <w:r>
        <w:t>天（或第</w:t>
      </w:r>
      <w:r>
        <w:t>21</w:t>
      </w:r>
      <w:r>
        <w:t>天），以及解剖当天称重，哺乳期与幼仔同一天称量，但哺乳期第</w:t>
      </w:r>
      <w:r>
        <w:t>4</w:t>
      </w:r>
      <w:r>
        <w:t>天可以不称重。</w:t>
      </w:r>
    </w:p>
    <w:p w14:paraId="449959FA" w14:textId="77777777" w:rsidR="00E5691B" w:rsidRDefault="00EC13FE">
      <w:pPr>
        <w:spacing w:line="300" w:lineRule="auto"/>
        <w:ind w:firstLineChars="200" w:firstLine="420"/>
      </w:pPr>
      <w:r>
        <w:t>子代在哺乳期第</w:t>
      </w:r>
      <w:r>
        <w:t>0</w:t>
      </w:r>
      <w:r>
        <w:t>天、第</w:t>
      </w:r>
      <w:r>
        <w:t>4</w:t>
      </w:r>
      <w:r>
        <w:t>天、第</w:t>
      </w:r>
      <w:r>
        <w:t>7</w:t>
      </w:r>
      <w:r>
        <w:t>天、第</w:t>
      </w:r>
      <w:r>
        <w:t>14</w:t>
      </w:r>
      <w:r>
        <w:t>天和第</w:t>
      </w:r>
      <w:r>
        <w:t>21</w:t>
      </w:r>
      <w:r>
        <w:t>天及解剖当天称重。</w:t>
      </w:r>
    </w:p>
    <w:p w14:paraId="4A1DAF40" w14:textId="77777777" w:rsidR="00E5691B" w:rsidRDefault="00EC13FE">
      <w:pPr>
        <w:spacing w:line="300" w:lineRule="auto"/>
        <w:ind w:firstLineChars="200" w:firstLine="420"/>
      </w:pPr>
      <w:r>
        <w:t>交配前和妊娠期间，每周至少测量一次食物消耗量。如果受试物经饮水给予，则至少每周测量一次饮水。</w:t>
      </w:r>
    </w:p>
    <w:p w14:paraId="6FD90583" w14:textId="77777777" w:rsidR="00E5691B" w:rsidRDefault="00EC13FE">
      <w:pPr>
        <w:pStyle w:val="af3"/>
        <w:widowControl w:val="0"/>
        <w:numPr>
          <w:ilvl w:val="1"/>
          <w:numId w:val="8"/>
        </w:numPr>
        <w:tabs>
          <w:tab w:val="clear" w:pos="284"/>
          <w:tab w:val="left" w:pos="567"/>
        </w:tabs>
        <w:spacing w:beforeLines="50" w:before="156" w:afterLines="50" w:after="156" w:line="300" w:lineRule="auto"/>
        <w:ind w:left="0" w:firstLineChars="0" w:firstLine="0"/>
        <w:jc w:val="both"/>
      </w:pPr>
      <w:r>
        <w:t>动情周期</w:t>
      </w:r>
    </w:p>
    <w:p w14:paraId="73B55591" w14:textId="77777777" w:rsidR="00E5691B" w:rsidRDefault="00EC13FE">
      <w:pPr>
        <w:spacing w:line="300" w:lineRule="auto"/>
        <w:ind w:firstLineChars="200" w:firstLine="420"/>
      </w:pPr>
      <w:r>
        <w:t>交配前和交配期间通过阴道涂片进行雌性动情周期的评估，直到确认交配成功。在制作阴道涂片时，应注意避免过度刺激粘膜从而诱导假孕。</w:t>
      </w:r>
    </w:p>
    <w:p w14:paraId="0EA099EF" w14:textId="77777777" w:rsidR="00E5691B" w:rsidRDefault="00EC13FE">
      <w:pPr>
        <w:pStyle w:val="af3"/>
        <w:widowControl w:val="0"/>
        <w:numPr>
          <w:ilvl w:val="1"/>
          <w:numId w:val="8"/>
        </w:numPr>
        <w:tabs>
          <w:tab w:val="clear" w:pos="284"/>
          <w:tab w:val="left" w:pos="567"/>
        </w:tabs>
        <w:spacing w:beforeLines="50" w:before="156" w:afterLines="50" w:after="156" w:line="300" w:lineRule="auto"/>
        <w:ind w:left="0" w:firstLineChars="0" w:firstLine="0"/>
        <w:jc w:val="both"/>
      </w:pPr>
      <w:r>
        <w:t>精子参数</w:t>
      </w:r>
    </w:p>
    <w:p w14:paraId="423E1BD9" w14:textId="77777777" w:rsidR="00E5691B" w:rsidRDefault="00EC13FE">
      <w:pPr>
        <w:spacing w:line="300" w:lineRule="auto"/>
        <w:ind w:firstLineChars="200" w:firstLine="420"/>
      </w:pPr>
      <w:r>
        <w:t>解剖时，称重睾丸和附睾，至少保留一侧用于组织病理学检查。每组至少</w:t>
      </w:r>
      <w:r>
        <w:t>10</w:t>
      </w:r>
      <w:r>
        <w:t>只雄性的睾丸和附睾分别用于超声匀浆耐受精子细胞头部计数和附睾尾精子计数。用于精子计数的附睾，还可以用于评估精子活力和精子形态，也可另外从输精管采集精子用于以上分析。其中，用于精子形态分析的样本可以是湿样本，也可以是固定样本。精子形态分析应至少观察</w:t>
      </w:r>
      <w:r>
        <w:t>200</w:t>
      </w:r>
      <w:r>
        <w:t>个精子，异常精子形态包括头部融合、断头、头部异形、尾部异形。</w:t>
      </w:r>
    </w:p>
    <w:p w14:paraId="63BF2C3F" w14:textId="77777777" w:rsidR="00E5691B" w:rsidRDefault="00EC13FE">
      <w:pPr>
        <w:spacing w:line="300" w:lineRule="auto"/>
        <w:ind w:firstLineChars="200" w:firstLine="420"/>
      </w:pPr>
      <w:r>
        <w:t>若拟分析精子样本来自于解剖时及时冻存的样本或固定后的涂片，抑或直接采用精子分析仪等计算机辅助系统及时采集样本图像分析，那么精子参数的分析可仅限于高剂量组和对照组，在有受试物相关性时需扩展至更低的剂量组。</w:t>
      </w:r>
    </w:p>
    <w:p w14:paraId="3811539D" w14:textId="77777777" w:rsidR="00E5691B" w:rsidRDefault="00EC13FE">
      <w:pPr>
        <w:pStyle w:val="af3"/>
        <w:widowControl w:val="0"/>
        <w:numPr>
          <w:ilvl w:val="1"/>
          <w:numId w:val="8"/>
        </w:numPr>
        <w:tabs>
          <w:tab w:val="clear" w:pos="284"/>
          <w:tab w:val="left" w:pos="567"/>
        </w:tabs>
        <w:spacing w:beforeLines="50" w:before="156" w:afterLines="50" w:after="156" w:line="300" w:lineRule="auto"/>
        <w:ind w:left="0" w:firstLineChars="0" w:firstLine="0"/>
        <w:jc w:val="both"/>
      </w:pPr>
      <w:r>
        <w:lastRenderedPageBreak/>
        <w:t>解剖与病理</w:t>
      </w:r>
    </w:p>
    <w:p w14:paraId="0BC18900" w14:textId="77777777" w:rsidR="00E5691B" w:rsidRDefault="00EC13FE">
      <w:pPr>
        <w:spacing w:line="300" w:lineRule="auto"/>
        <w:ind w:firstLineChars="200" w:firstLine="420"/>
      </w:pPr>
      <w:r>
        <w:t>F0</w:t>
      </w:r>
      <w:r>
        <w:t>在解剖当日早上完成体重测量后，制作雌鼠阴道涂片以确定动情周期，便于结合卵巢的组织病理结果分析。解剖时大体观察所有组织脏器，尤其应重点关注生殖系统，并记录所有大体观察异常情况和子宫着床痕数量。以下脏器在完成肉眼观察后应称重，成对的脏器需单独称重。</w:t>
      </w:r>
    </w:p>
    <w:p w14:paraId="1AB18C1C" w14:textId="77777777" w:rsidR="00E5691B" w:rsidRDefault="00EC13FE">
      <w:pPr>
        <w:spacing w:line="300" w:lineRule="auto"/>
        <w:ind w:firstLineChars="200" w:firstLine="420"/>
      </w:pPr>
      <w:r>
        <w:t>子宫、卵巢；</w:t>
      </w:r>
    </w:p>
    <w:p w14:paraId="2858D01C" w14:textId="77777777" w:rsidR="00E5691B" w:rsidRDefault="00EC13FE">
      <w:pPr>
        <w:spacing w:line="300" w:lineRule="auto"/>
        <w:ind w:firstLineChars="200" w:firstLine="420"/>
      </w:pPr>
      <w:r>
        <w:t>睾丸、附睾（整体和尾部）；</w:t>
      </w:r>
    </w:p>
    <w:p w14:paraId="72349604" w14:textId="77777777" w:rsidR="00E5691B" w:rsidRDefault="00EC13FE">
      <w:pPr>
        <w:spacing w:line="300" w:lineRule="auto"/>
        <w:ind w:firstLineChars="200" w:firstLine="420"/>
      </w:pPr>
      <w:r>
        <w:t>前列腺；</w:t>
      </w:r>
    </w:p>
    <w:p w14:paraId="666BFB1B" w14:textId="77777777" w:rsidR="00E5691B" w:rsidRDefault="00EC13FE">
      <w:pPr>
        <w:spacing w:line="300" w:lineRule="auto"/>
        <w:ind w:firstLineChars="200" w:firstLine="420"/>
      </w:pPr>
      <w:r>
        <w:t>精囊腺、凝固腺及其分泌物（整体称重）；</w:t>
      </w:r>
    </w:p>
    <w:p w14:paraId="578D2B20" w14:textId="77777777" w:rsidR="00E5691B" w:rsidRDefault="00EC13FE">
      <w:pPr>
        <w:spacing w:line="300" w:lineRule="auto"/>
        <w:ind w:firstLineChars="200" w:firstLine="420"/>
      </w:pPr>
      <w:r>
        <w:t>脑、肝、肾、脾、垂体、甲状腺和肾上腺及已知靶器官。</w:t>
      </w:r>
    </w:p>
    <w:p w14:paraId="5DBC4F2D" w14:textId="77777777" w:rsidR="00E5691B" w:rsidRDefault="00EC13FE">
      <w:pPr>
        <w:spacing w:line="300" w:lineRule="auto"/>
        <w:ind w:firstLineChars="200" w:firstLine="420"/>
      </w:pPr>
      <w:r>
        <w:t>所保存的脏器中，需要开展组织病理检查的脏器包括：</w:t>
      </w:r>
    </w:p>
    <w:p w14:paraId="1C366869" w14:textId="77777777" w:rsidR="00E5691B" w:rsidRDefault="00EC13FE">
      <w:pPr>
        <w:spacing w:line="300" w:lineRule="auto"/>
        <w:ind w:firstLineChars="200" w:firstLine="420"/>
      </w:pPr>
      <w:r>
        <w:t>阴道、子宫（含宫颈）、卵巢；</w:t>
      </w:r>
    </w:p>
    <w:p w14:paraId="6E504FAB" w14:textId="77777777" w:rsidR="00E5691B" w:rsidRDefault="00EC13FE">
      <w:pPr>
        <w:spacing w:line="300" w:lineRule="auto"/>
        <w:ind w:firstLineChars="200" w:firstLine="420"/>
      </w:pPr>
      <w:r>
        <w:t>睾丸、附睾、前列腺、精囊腺、凝固腺；</w:t>
      </w:r>
    </w:p>
    <w:p w14:paraId="1A0D56EC" w14:textId="77777777" w:rsidR="00E5691B" w:rsidRDefault="00EC13FE">
      <w:pPr>
        <w:spacing w:line="300" w:lineRule="auto"/>
        <w:ind w:firstLineChars="200" w:firstLine="420"/>
      </w:pPr>
      <w:r>
        <w:t>已明确的的靶器官；</w:t>
      </w:r>
    </w:p>
    <w:p w14:paraId="0CCC62B2" w14:textId="77777777" w:rsidR="00E5691B" w:rsidRDefault="00EC13FE">
      <w:pPr>
        <w:spacing w:line="300" w:lineRule="auto"/>
        <w:ind w:firstLineChars="200" w:firstLine="420"/>
      </w:pPr>
      <w:r>
        <w:t>通常先在对照组和高剂量组开展组织病理检查，若发现受试物相关改变可继续检查其它剂量组。此外，疑似生育力降低的情况（未交配成功、未孕、未正常分娩、产生非健康后代、动情周期异常、精子参数改变等）需要对生殖系统进行组织病理检查，大体解剖肉眼观察异常的组织脏器也应进行组织病理检查。</w:t>
      </w:r>
    </w:p>
    <w:p w14:paraId="17F2FAAB" w14:textId="77777777" w:rsidR="00E5691B" w:rsidRDefault="00EC13FE">
      <w:pPr>
        <w:spacing w:line="300" w:lineRule="auto"/>
        <w:ind w:firstLineChars="200" w:firstLine="420"/>
      </w:pPr>
      <w:r>
        <w:t>睾丸的组织病理检查建议关注是否有精子潴留，上皮形态及细胞层数是否改变，是否有多核巨细胞的形成，管腔内是否有脱落上皮。附睾的检查应包含完整的头、体、尾纵切面。建议关注是否有白细胞浸润，管腔内是否有异常形态的精子细胞，是否发生巨噬细胞的吞噬现象。</w:t>
      </w:r>
    </w:p>
    <w:p w14:paraId="5F8727D8" w14:textId="77777777" w:rsidR="00E5691B" w:rsidRDefault="00EC13FE">
      <w:pPr>
        <w:spacing w:line="300" w:lineRule="auto"/>
        <w:ind w:firstLineChars="200" w:firstLine="420"/>
      </w:pPr>
      <w:r>
        <w:lastRenderedPageBreak/>
        <w:t>卵巢的组织病理检查则主要采用定量的方法以检测原始卵泡是否减少，也可以结合初级卵泡进行比较。定量分析时，应保证每组至少</w:t>
      </w:r>
      <w:r>
        <w:t>10</w:t>
      </w:r>
      <w:r>
        <w:t>只动物，同时还要考虑连续切片抽取间距及切片厚度等因素。</w:t>
      </w:r>
    </w:p>
    <w:p w14:paraId="5F106C5F" w14:textId="77777777" w:rsidR="00E5691B" w:rsidRDefault="00EC13FE">
      <w:pPr>
        <w:spacing w:line="300" w:lineRule="auto"/>
        <w:ind w:firstLineChars="200" w:firstLine="420"/>
      </w:pPr>
      <w:r>
        <w:t>需要解剖并大体观察的子代包括：</w:t>
      </w:r>
      <w:r>
        <w:t xml:space="preserve"> </w:t>
      </w:r>
    </w:p>
    <w:p w14:paraId="141A6FBA" w14:textId="77777777" w:rsidR="00E5691B" w:rsidRDefault="00EC13FE">
      <w:pPr>
        <w:spacing w:line="300" w:lineRule="auto"/>
        <w:ind w:firstLineChars="200" w:firstLine="420"/>
      </w:pPr>
      <w:r>
        <w:t>F2</w:t>
      </w:r>
      <w:r>
        <w:t>离乳时从每窝随机挑选的一雌一雄及其亲代</w:t>
      </w:r>
      <w:r>
        <w:t>F1</w:t>
      </w:r>
      <w:r>
        <w:t>；</w:t>
      </w:r>
    </w:p>
    <w:p w14:paraId="553CE5AC" w14:textId="77777777" w:rsidR="00E5691B" w:rsidRDefault="00EC13FE">
      <w:pPr>
        <w:spacing w:line="300" w:lineRule="auto"/>
        <w:ind w:firstLineChars="200" w:firstLine="420"/>
      </w:pPr>
      <w:r>
        <w:t>F1</w:t>
      </w:r>
      <w:r>
        <w:t>离乳时从每窝随机挑选的非交配用一雌一雄；</w:t>
      </w:r>
    </w:p>
    <w:p w14:paraId="1C43CCAE" w14:textId="77777777" w:rsidR="00E5691B" w:rsidRDefault="00EC13FE">
      <w:pPr>
        <w:spacing w:line="300" w:lineRule="auto"/>
        <w:ind w:firstLineChars="200" w:firstLine="420"/>
      </w:pPr>
      <w:r>
        <w:t>所有临床观察异常或外观异常的子代；</w:t>
      </w:r>
    </w:p>
    <w:p w14:paraId="700FF6D7" w14:textId="77777777" w:rsidR="00E5691B" w:rsidRDefault="00EC13FE">
      <w:pPr>
        <w:spacing w:line="300" w:lineRule="auto"/>
        <w:ind w:firstLineChars="200" w:firstLine="420"/>
      </w:pPr>
      <w:r>
        <w:t>濒死状态人道处死的幼仔；</w:t>
      </w:r>
    </w:p>
    <w:p w14:paraId="2F7D88D2" w14:textId="77777777" w:rsidR="00E5691B" w:rsidRDefault="00EC13FE">
      <w:pPr>
        <w:spacing w:line="300" w:lineRule="auto"/>
        <w:ind w:firstLineChars="200" w:firstLine="420"/>
      </w:pPr>
      <w:r>
        <w:t>死产幼仔（非浸软胎）。</w:t>
      </w:r>
    </w:p>
    <w:p w14:paraId="7DF6BDB9" w14:textId="77777777" w:rsidR="00E5691B" w:rsidRDefault="00EC13FE">
      <w:pPr>
        <w:spacing w:line="300" w:lineRule="auto"/>
        <w:ind w:firstLineChars="200" w:firstLine="420"/>
      </w:pPr>
      <w:r>
        <w:t>其中，在濒死状态人道处死的幼仔和死亡幼仔，应检查可能的缺陷和</w:t>
      </w:r>
      <w:r>
        <w:t>/</w:t>
      </w:r>
      <w:r>
        <w:t>或死亡原因，并保存。初产雌性子宫应在计数着床痕后固定保存。</w:t>
      </w:r>
    </w:p>
    <w:p w14:paraId="7DD94F73" w14:textId="77777777" w:rsidR="00E5691B" w:rsidRDefault="00EC13FE">
      <w:pPr>
        <w:spacing w:line="300" w:lineRule="auto"/>
        <w:ind w:firstLineChars="200" w:firstLine="420"/>
      </w:pPr>
      <w:r>
        <w:t>需要称重的组织脏器包括：</w:t>
      </w:r>
    </w:p>
    <w:p w14:paraId="14C9E8B0" w14:textId="77777777" w:rsidR="00E5691B" w:rsidRDefault="00EC13FE">
      <w:pPr>
        <w:spacing w:line="300" w:lineRule="auto"/>
        <w:ind w:firstLineChars="200" w:firstLine="420"/>
      </w:pPr>
      <w:r>
        <w:t>交配用</w:t>
      </w:r>
      <w:r>
        <w:t>F1</w:t>
      </w:r>
      <w:r>
        <w:t>子宫、卵巢；</w:t>
      </w:r>
    </w:p>
    <w:p w14:paraId="20F06FCC" w14:textId="77777777" w:rsidR="00E5691B" w:rsidRDefault="00EC13FE">
      <w:pPr>
        <w:spacing w:line="300" w:lineRule="auto"/>
        <w:ind w:firstLineChars="200" w:firstLine="420"/>
      </w:pPr>
      <w:r>
        <w:t>交配用</w:t>
      </w:r>
      <w:r>
        <w:t>F1</w:t>
      </w:r>
      <w:r>
        <w:t>睾丸、附睾（整体和尾部）；</w:t>
      </w:r>
    </w:p>
    <w:p w14:paraId="42FDA001" w14:textId="77777777" w:rsidR="00E5691B" w:rsidRDefault="00EC13FE">
      <w:pPr>
        <w:spacing w:line="300" w:lineRule="auto"/>
        <w:ind w:firstLineChars="200" w:firstLine="420"/>
      </w:pPr>
      <w:r>
        <w:t>交配用</w:t>
      </w:r>
      <w:r>
        <w:t>F1</w:t>
      </w:r>
      <w:r>
        <w:t>前列腺；</w:t>
      </w:r>
    </w:p>
    <w:p w14:paraId="16F0175D" w14:textId="77777777" w:rsidR="00E5691B" w:rsidRDefault="00EC13FE">
      <w:pPr>
        <w:spacing w:line="300" w:lineRule="auto"/>
        <w:ind w:firstLineChars="200" w:firstLine="420"/>
      </w:pPr>
      <w:r>
        <w:t>交配用</w:t>
      </w:r>
      <w:r>
        <w:t>F1</w:t>
      </w:r>
      <w:r>
        <w:t>精囊腺、凝固腺及其分泌物（整体称重）；</w:t>
      </w:r>
    </w:p>
    <w:p w14:paraId="13BD0BD3" w14:textId="77777777" w:rsidR="00E5691B" w:rsidRDefault="00EC13FE">
      <w:pPr>
        <w:spacing w:line="300" w:lineRule="auto"/>
        <w:ind w:firstLineChars="200" w:firstLine="420"/>
      </w:pPr>
      <w:r>
        <w:t>交配用</w:t>
      </w:r>
      <w:r>
        <w:t>F1</w:t>
      </w:r>
      <w:r>
        <w:t>脑、肝、肾、脾、垂体、甲状腺和肾上腺及已知靶器官。</w:t>
      </w:r>
    </w:p>
    <w:p w14:paraId="567B6A9A" w14:textId="77777777" w:rsidR="00E5691B" w:rsidRDefault="00EC13FE">
      <w:pPr>
        <w:spacing w:line="300" w:lineRule="auto"/>
        <w:ind w:firstLineChars="200" w:firstLine="420"/>
      </w:pPr>
      <w:r>
        <w:t>此外，离乳时从</w:t>
      </w:r>
      <w:r>
        <w:t>F1</w:t>
      </w:r>
      <w:r>
        <w:t>和</w:t>
      </w:r>
      <w:r>
        <w:t>F2</w:t>
      </w:r>
      <w:r>
        <w:t>随机选取用于大体解剖观察的一雌一雄仅需称重脑、胸腺和脾脏。</w:t>
      </w:r>
    </w:p>
    <w:p w14:paraId="57B584B0" w14:textId="77777777" w:rsidR="00E5691B" w:rsidRDefault="00EC13FE">
      <w:pPr>
        <w:spacing w:line="300" w:lineRule="auto"/>
        <w:ind w:firstLineChars="200" w:firstLine="420"/>
      </w:pPr>
      <w:r>
        <w:t>需要做组织病理的子代动物有：</w:t>
      </w:r>
    </w:p>
    <w:p w14:paraId="69B03F9B" w14:textId="77777777" w:rsidR="00E5691B" w:rsidRDefault="00EC13FE">
      <w:pPr>
        <w:spacing w:line="300" w:lineRule="auto"/>
        <w:ind w:firstLineChars="200" w:firstLine="420"/>
      </w:pPr>
      <w:r>
        <w:t>大体解剖观察到异常的动物；</w:t>
      </w:r>
    </w:p>
    <w:p w14:paraId="29851E30" w14:textId="77777777" w:rsidR="00E5691B" w:rsidRDefault="00EC13FE">
      <w:pPr>
        <w:spacing w:line="300" w:lineRule="auto"/>
        <w:ind w:firstLineChars="200" w:firstLine="420"/>
      </w:pPr>
      <w:r>
        <w:lastRenderedPageBreak/>
        <w:t>临床观察出现毒性反应的动物；</w:t>
      </w:r>
    </w:p>
    <w:p w14:paraId="72E3DB18" w14:textId="77777777" w:rsidR="00E5691B" w:rsidRDefault="00EC13FE">
      <w:pPr>
        <w:spacing w:line="300" w:lineRule="auto"/>
        <w:ind w:firstLineChars="200" w:firstLine="420"/>
      </w:pPr>
      <w:r>
        <w:t>离乳时每窝随机选取的一雌一雄</w:t>
      </w:r>
      <w:r>
        <w:t>F1</w:t>
      </w:r>
      <w:r>
        <w:t>和</w:t>
      </w:r>
      <w:r>
        <w:t>F2</w:t>
      </w:r>
    </w:p>
    <w:p w14:paraId="2A5928BF" w14:textId="77777777" w:rsidR="00E5691B" w:rsidRDefault="00EC13FE">
      <w:pPr>
        <w:spacing w:line="300" w:lineRule="auto"/>
        <w:ind w:firstLineChars="200" w:firstLine="420"/>
      </w:pPr>
      <w:r>
        <w:t>外观异常的动物；</w:t>
      </w:r>
    </w:p>
    <w:p w14:paraId="397CF922" w14:textId="77777777" w:rsidR="00E5691B" w:rsidRDefault="00EC13FE">
      <w:pPr>
        <w:spacing w:line="300" w:lineRule="auto"/>
        <w:ind w:firstLineChars="200" w:firstLine="420"/>
      </w:pPr>
      <w:r>
        <w:t>交配用</w:t>
      </w:r>
      <w:r>
        <w:t>F1</w:t>
      </w:r>
      <w:r>
        <w:t>；</w:t>
      </w:r>
    </w:p>
    <w:p w14:paraId="0A6E6DB7" w14:textId="77777777" w:rsidR="00E5691B" w:rsidRDefault="00EC13FE">
      <w:pPr>
        <w:spacing w:line="300" w:lineRule="auto"/>
        <w:ind w:firstLineChars="200" w:firstLine="420"/>
      </w:pPr>
      <w:r>
        <w:t>需要做组织病理检查的组织脏器包括：</w:t>
      </w:r>
    </w:p>
    <w:p w14:paraId="4973A939" w14:textId="77777777" w:rsidR="00E5691B" w:rsidRDefault="00EC13FE">
      <w:pPr>
        <w:spacing w:line="300" w:lineRule="auto"/>
        <w:ind w:firstLineChars="200" w:firstLine="420"/>
      </w:pPr>
      <w:r>
        <w:t>阴道、子宫（含宫颈）、卵巢；</w:t>
      </w:r>
    </w:p>
    <w:p w14:paraId="752FBBD5" w14:textId="77777777" w:rsidR="00E5691B" w:rsidRDefault="00EC13FE">
      <w:pPr>
        <w:spacing w:line="300" w:lineRule="auto"/>
        <w:ind w:firstLineChars="200" w:firstLine="420"/>
      </w:pPr>
      <w:r>
        <w:t>睾丸、附睾、前列腺、精囊腺、凝固腺；</w:t>
      </w:r>
    </w:p>
    <w:p w14:paraId="4345C933" w14:textId="77777777" w:rsidR="00E5691B" w:rsidRDefault="00EC13FE">
      <w:pPr>
        <w:spacing w:line="300" w:lineRule="auto"/>
        <w:ind w:firstLineChars="200" w:firstLine="420"/>
      </w:pPr>
      <w:r>
        <w:t>大体解剖观察到异常的组织脏器；</w:t>
      </w:r>
    </w:p>
    <w:p w14:paraId="674475E1" w14:textId="77777777" w:rsidR="00E5691B" w:rsidRDefault="00EC13FE">
      <w:pPr>
        <w:spacing w:line="300" w:lineRule="auto"/>
        <w:ind w:firstLineChars="200" w:firstLine="420"/>
      </w:pPr>
      <w:r>
        <w:t>已明确的靶器官。</w:t>
      </w:r>
    </w:p>
    <w:p w14:paraId="486B1619" w14:textId="77777777" w:rsidR="00E5691B" w:rsidRDefault="00EC13FE">
      <w:pPr>
        <w:spacing w:line="300" w:lineRule="auto"/>
        <w:ind w:firstLineChars="200" w:firstLine="420"/>
      </w:pPr>
      <w:r>
        <w:t>通常先在对照组和高剂量组开展组织病理检查，若发现受试物相关改变可继续检查其它剂量组。此外，疑似生育力降低的情况（未交配成功、未孕、未正常分娩、产生非健康后代、动情周期异常、精子参数改变等）需要对生殖系统进行组织病理检查，大体解剖肉眼观察异常的组织脏器也应进行组织病理检查。</w:t>
      </w:r>
    </w:p>
    <w:p w14:paraId="4F3BA35C" w14:textId="77777777" w:rsidR="00E5691B" w:rsidRDefault="00EC13FE">
      <w:pPr>
        <w:spacing w:line="300" w:lineRule="auto"/>
        <w:ind w:firstLineChars="200" w:firstLine="420"/>
      </w:pPr>
      <w:r>
        <w:t>睾丸的组织病理检查建议关注是否有精子潴留，上皮形态及细胞层数是否改变，是否有多核巨细胞的形成，管腔内是否有脱落上皮。附睾的检查应包含完整的头、体、尾纵切面。建议关注是否有白细胞浸润，管腔内是否有异常形态的精子细胞，是否发生巨噬细胞的吞噬现象。</w:t>
      </w:r>
    </w:p>
    <w:p w14:paraId="3DF6D7F0" w14:textId="77777777" w:rsidR="00E5691B" w:rsidRDefault="00EC13FE">
      <w:pPr>
        <w:spacing w:line="300" w:lineRule="auto"/>
        <w:ind w:firstLineChars="200" w:firstLine="420"/>
      </w:pPr>
      <w:r>
        <w:t>卵巢的组织病理检查主要关注原始卵泡是否减少，并计数原始卵泡数量，计数必须紧密结合切面的数量、切面间距及受检动物总数。</w:t>
      </w:r>
    </w:p>
    <w:p w14:paraId="41C6F205" w14:textId="77777777" w:rsidR="00E5691B" w:rsidRPr="005A52C6" w:rsidRDefault="00EC13FE">
      <w:pPr>
        <w:pStyle w:val="af3"/>
        <w:widowControl w:val="0"/>
        <w:numPr>
          <w:ilvl w:val="0"/>
          <w:numId w:val="4"/>
        </w:numPr>
        <w:spacing w:beforeLines="50" w:before="156" w:afterLines="50" w:after="156" w:line="300" w:lineRule="auto"/>
        <w:ind w:firstLineChars="0"/>
        <w:jc w:val="both"/>
        <w:rPr>
          <w:rFonts w:eastAsia="黑体"/>
        </w:rPr>
      </w:pPr>
      <w:r w:rsidRPr="005A52C6">
        <w:rPr>
          <w:rFonts w:eastAsia="黑体" w:hint="eastAsia"/>
        </w:rPr>
        <w:t>数据处理、统计方法及结果评定</w:t>
      </w:r>
    </w:p>
    <w:p w14:paraId="083F8FDF" w14:textId="77777777" w:rsidR="0032364E" w:rsidRDefault="0032364E" w:rsidP="00851140">
      <w:pPr>
        <w:spacing w:beforeLines="50" w:before="156" w:afterLines="50" w:after="156" w:line="300" w:lineRule="auto"/>
      </w:pPr>
      <w:r>
        <w:rPr>
          <w:rFonts w:hint="eastAsia"/>
        </w:rPr>
        <w:lastRenderedPageBreak/>
        <w:t xml:space="preserve">10.1 </w:t>
      </w:r>
      <w:r>
        <w:rPr>
          <w:rFonts w:hint="eastAsia"/>
        </w:rPr>
        <w:t>应获得的试验结果</w:t>
      </w:r>
    </w:p>
    <w:p w14:paraId="097F20A0" w14:textId="77777777" w:rsidR="0073333D" w:rsidRDefault="0073333D" w:rsidP="00851140">
      <w:pPr>
        <w:spacing w:line="300" w:lineRule="auto"/>
        <w:ind w:firstLineChars="200" w:firstLine="420"/>
      </w:pPr>
      <w:r w:rsidRPr="0073333D">
        <w:rPr>
          <w:rFonts w:hint="eastAsia"/>
        </w:rPr>
        <w:t>食物消耗，饮水消耗（如有），食物利用率（每克食物增重，合笼和哺乳期</w:t>
      </w:r>
      <w:r>
        <w:rPr>
          <w:rFonts w:hint="eastAsia"/>
        </w:rPr>
        <w:t>后期至少三分之一</w:t>
      </w:r>
      <w:r w:rsidRPr="0073333D">
        <w:rPr>
          <w:rFonts w:hint="eastAsia"/>
        </w:rPr>
        <w:t>除外），通过饲料和饮水给予受试物的还需要计算受试物的摄入；</w:t>
      </w:r>
    </w:p>
    <w:p w14:paraId="6D135FF5" w14:textId="77777777" w:rsidR="00E656AF" w:rsidRPr="00C44424" w:rsidRDefault="00E656AF" w:rsidP="00851140">
      <w:pPr>
        <w:spacing w:line="300" w:lineRule="auto"/>
        <w:ind w:firstLineChars="200" w:firstLine="420"/>
      </w:pPr>
      <w:r w:rsidRPr="00C44424">
        <w:rPr>
          <w:rFonts w:hint="eastAsia"/>
        </w:rPr>
        <w:t>吸收数据</w:t>
      </w:r>
      <w:r>
        <w:rPr>
          <w:rFonts w:hint="eastAsia"/>
        </w:rPr>
        <w:t>（如有）；</w:t>
      </w:r>
    </w:p>
    <w:p w14:paraId="1B551EEF" w14:textId="77777777" w:rsidR="0073333D" w:rsidRDefault="00E656AF" w:rsidP="00851140">
      <w:pPr>
        <w:spacing w:line="300" w:lineRule="auto"/>
        <w:ind w:firstLineChars="200" w:firstLine="420"/>
      </w:pPr>
      <w:r>
        <w:rPr>
          <w:rFonts w:hint="eastAsia"/>
        </w:rPr>
        <w:t>用于</w:t>
      </w:r>
      <w:r w:rsidR="0073333D">
        <w:rPr>
          <w:rFonts w:hint="eastAsia"/>
        </w:rPr>
        <w:t>交配的</w:t>
      </w:r>
      <w:r>
        <w:rPr>
          <w:rFonts w:hint="eastAsia"/>
        </w:rPr>
        <w:t>F0</w:t>
      </w:r>
      <w:r w:rsidR="0073333D">
        <w:rPr>
          <w:rFonts w:hint="eastAsia"/>
        </w:rPr>
        <w:t>和</w:t>
      </w:r>
      <w:r w:rsidR="0073333D">
        <w:rPr>
          <w:rFonts w:hint="eastAsia"/>
        </w:rPr>
        <w:t>F1</w:t>
      </w:r>
      <w:r w:rsidR="0073333D">
        <w:rPr>
          <w:rFonts w:hint="eastAsia"/>
        </w:rPr>
        <w:t>动物的体重数据</w:t>
      </w:r>
      <w:r>
        <w:rPr>
          <w:rFonts w:hint="eastAsia"/>
        </w:rPr>
        <w:t>；</w:t>
      </w:r>
    </w:p>
    <w:p w14:paraId="2B908414" w14:textId="77777777" w:rsidR="0073333D" w:rsidRDefault="00E656AF" w:rsidP="00851140">
      <w:pPr>
        <w:spacing w:line="300" w:lineRule="auto"/>
        <w:ind w:firstLineChars="200" w:firstLine="420"/>
      </w:pPr>
      <w:r>
        <w:rPr>
          <w:rFonts w:hint="eastAsia"/>
        </w:rPr>
        <w:t>窝体重和幼仔个体</w:t>
      </w:r>
      <w:r w:rsidR="0073333D">
        <w:rPr>
          <w:rFonts w:hint="eastAsia"/>
        </w:rPr>
        <w:t>体重数据</w:t>
      </w:r>
      <w:r>
        <w:rPr>
          <w:rFonts w:hint="eastAsia"/>
        </w:rPr>
        <w:t>；</w:t>
      </w:r>
    </w:p>
    <w:p w14:paraId="6227B128" w14:textId="77777777" w:rsidR="0073333D" w:rsidRDefault="00E656AF" w:rsidP="00851140">
      <w:pPr>
        <w:spacing w:line="300" w:lineRule="auto"/>
        <w:ind w:firstLineChars="200" w:firstLine="420"/>
      </w:pPr>
      <w:r w:rsidRPr="00E656AF">
        <w:rPr>
          <w:rFonts w:hint="eastAsia"/>
        </w:rPr>
        <w:t>安乐死解剖时</w:t>
      </w:r>
      <w:r w:rsidRPr="00E656AF">
        <w:rPr>
          <w:rFonts w:hint="eastAsia"/>
        </w:rPr>
        <w:t>F0</w:t>
      </w:r>
      <w:r w:rsidRPr="00E656AF">
        <w:rPr>
          <w:rFonts w:hint="eastAsia"/>
        </w:rPr>
        <w:t>的体重</w:t>
      </w:r>
      <w:r>
        <w:rPr>
          <w:rFonts w:hint="eastAsia"/>
        </w:rPr>
        <w:t>、</w:t>
      </w:r>
      <w:r w:rsidRPr="00E656AF">
        <w:rPr>
          <w:rFonts w:hint="eastAsia"/>
        </w:rPr>
        <w:t>脏器绝对和相对重量数据；</w:t>
      </w:r>
    </w:p>
    <w:p w14:paraId="27C426B9" w14:textId="77777777" w:rsidR="0073333D" w:rsidRPr="005A52C6" w:rsidRDefault="00E656AF" w:rsidP="00851140">
      <w:pPr>
        <w:spacing w:line="300" w:lineRule="auto"/>
        <w:ind w:firstLineChars="200" w:firstLine="420"/>
      </w:pPr>
      <w:r w:rsidRPr="00E656AF">
        <w:rPr>
          <w:rFonts w:hint="eastAsia"/>
        </w:rPr>
        <w:t>临床症状的性质、严重程度和持续时间（是否可逆）；</w:t>
      </w:r>
    </w:p>
    <w:p w14:paraId="2B0E3CDB" w14:textId="77777777" w:rsidR="0073333D" w:rsidRDefault="00E656AF" w:rsidP="00851140">
      <w:pPr>
        <w:spacing w:line="300" w:lineRule="auto"/>
        <w:ind w:firstLineChars="200" w:firstLine="420"/>
      </w:pPr>
      <w:r w:rsidRPr="00E656AF">
        <w:rPr>
          <w:rFonts w:hint="eastAsia"/>
        </w:rPr>
        <w:t>试验期间动物死亡时间或动物是否存活至试验结束；</w:t>
      </w:r>
    </w:p>
    <w:p w14:paraId="5C41797F" w14:textId="77777777" w:rsidR="0073333D" w:rsidRDefault="0073333D" w:rsidP="00851140">
      <w:pPr>
        <w:spacing w:line="300" w:lineRule="auto"/>
        <w:ind w:firstLineChars="200" w:firstLine="420"/>
      </w:pPr>
      <w:r>
        <w:rPr>
          <w:rFonts w:hint="eastAsia"/>
        </w:rPr>
        <w:t>按性别和剂量</w:t>
      </w:r>
      <w:r w:rsidR="00E656AF">
        <w:rPr>
          <w:rFonts w:hint="eastAsia"/>
        </w:rPr>
        <w:t>组别分析</w:t>
      </w:r>
      <w:r>
        <w:rPr>
          <w:rFonts w:hint="eastAsia"/>
        </w:rPr>
        <w:t>毒性反应数据，包括交配、生育、妊娠、出生，</w:t>
      </w:r>
      <w:r w:rsidR="00E656AF">
        <w:rPr>
          <w:rFonts w:hint="eastAsia"/>
        </w:rPr>
        <w:t>存活、哺乳，且</w:t>
      </w:r>
      <w:r>
        <w:rPr>
          <w:rFonts w:hint="eastAsia"/>
        </w:rPr>
        <w:t>报告中</w:t>
      </w:r>
      <w:r w:rsidR="00E656AF">
        <w:rPr>
          <w:rFonts w:hint="eastAsia"/>
        </w:rPr>
        <w:t>体现用于分析的样本量；</w:t>
      </w:r>
    </w:p>
    <w:p w14:paraId="56DED21B" w14:textId="77777777" w:rsidR="0073333D" w:rsidRDefault="00E656AF" w:rsidP="00851140">
      <w:pPr>
        <w:spacing w:line="300" w:lineRule="auto"/>
        <w:ind w:firstLineChars="200" w:firstLine="420"/>
      </w:pPr>
      <w:r>
        <w:rPr>
          <w:rFonts w:hint="eastAsia"/>
        </w:rPr>
        <w:t>在</w:t>
      </w:r>
      <w:r w:rsidR="0073333D">
        <w:rPr>
          <w:rFonts w:hint="eastAsia"/>
        </w:rPr>
        <w:t>生殖、</w:t>
      </w:r>
      <w:r>
        <w:rPr>
          <w:rFonts w:hint="eastAsia"/>
        </w:rPr>
        <w:t>子代及</w:t>
      </w:r>
      <w:r w:rsidR="0073333D">
        <w:rPr>
          <w:rFonts w:hint="eastAsia"/>
        </w:rPr>
        <w:t>出生后生长</w:t>
      </w:r>
      <w:r>
        <w:rPr>
          <w:rFonts w:hint="eastAsia"/>
        </w:rPr>
        <w:t>发育等方面</w:t>
      </w:r>
      <w:r w:rsidR="0073333D">
        <w:rPr>
          <w:rFonts w:hint="eastAsia"/>
        </w:rPr>
        <w:t>有毒性</w:t>
      </w:r>
      <w:r>
        <w:rPr>
          <w:rFonts w:hint="eastAsia"/>
        </w:rPr>
        <w:t>效应</w:t>
      </w:r>
      <w:r w:rsidR="0073333D">
        <w:rPr>
          <w:rFonts w:hint="eastAsia"/>
        </w:rPr>
        <w:t>或其他</w:t>
      </w:r>
      <w:r>
        <w:rPr>
          <w:rFonts w:hint="eastAsia"/>
        </w:rPr>
        <w:t>效应；</w:t>
      </w:r>
    </w:p>
    <w:p w14:paraId="3D2F2EE6" w14:textId="77777777" w:rsidR="0073333D" w:rsidRDefault="002200C6" w:rsidP="00851140">
      <w:pPr>
        <w:spacing w:line="300" w:lineRule="auto"/>
        <w:ind w:firstLineChars="200" w:firstLine="420"/>
      </w:pPr>
      <w:r w:rsidRPr="002200C6">
        <w:rPr>
          <w:rFonts w:hint="eastAsia"/>
        </w:rPr>
        <w:t>大体解剖观察结果；</w:t>
      </w:r>
    </w:p>
    <w:p w14:paraId="56270645" w14:textId="77777777" w:rsidR="0073333D" w:rsidRDefault="002200C6" w:rsidP="00851140">
      <w:pPr>
        <w:spacing w:line="300" w:lineRule="auto"/>
        <w:ind w:firstLineChars="200" w:firstLine="420"/>
      </w:pPr>
      <w:r w:rsidRPr="002200C6">
        <w:rPr>
          <w:rFonts w:hint="eastAsia"/>
        </w:rPr>
        <w:t>详细描述所有组织病理学发现；</w:t>
      </w:r>
    </w:p>
    <w:p w14:paraId="3228614E" w14:textId="77777777" w:rsidR="0073333D" w:rsidRDefault="002200C6" w:rsidP="00851140">
      <w:pPr>
        <w:spacing w:line="300" w:lineRule="auto"/>
        <w:ind w:firstLineChars="200" w:firstLine="420"/>
      </w:pPr>
      <w:r>
        <w:rPr>
          <w:rFonts w:hint="eastAsia"/>
        </w:rPr>
        <w:t>F0</w:t>
      </w:r>
      <w:r w:rsidR="0073333D">
        <w:rPr>
          <w:rFonts w:hint="eastAsia"/>
        </w:rPr>
        <w:t>和</w:t>
      </w:r>
      <w:r w:rsidR="0073333D">
        <w:rPr>
          <w:rFonts w:hint="eastAsia"/>
        </w:rPr>
        <w:t>F1</w:t>
      </w:r>
      <w:r w:rsidR="0073333D">
        <w:rPr>
          <w:rFonts w:hint="eastAsia"/>
        </w:rPr>
        <w:t>雌性</w:t>
      </w:r>
      <w:r>
        <w:rPr>
          <w:rFonts w:hint="eastAsia"/>
        </w:rPr>
        <w:t>具有正常动情周期的动物数量及动情</w:t>
      </w:r>
      <w:r w:rsidR="0073333D">
        <w:rPr>
          <w:rFonts w:hint="eastAsia"/>
        </w:rPr>
        <w:t>周期长度</w:t>
      </w:r>
      <w:r>
        <w:rPr>
          <w:rFonts w:hint="eastAsia"/>
        </w:rPr>
        <w:t>；</w:t>
      </w:r>
    </w:p>
    <w:p w14:paraId="5229B7D0" w14:textId="77777777" w:rsidR="0073333D" w:rsidRDefault="002200C6" w:rsidP="00851140">
      <w:pPr>
        <w:spacing w:line="300" w:lineRule="auto"/>
        <w:ind w:firstLineChars="200" w:firstLine="420"/>
      </w:pPr>
      <w:r w:rsidRPr="002200C6">
        <w:rPr>
          <w:rFonts w:hint="eastAsia"/>
        </w:rPr>
        <w:t>F0</w:t>
      </w:r>
      <w:r w:rsidRPr="002200C6">
        <w:rPr>
          <w:rFonts w:hint="eastAsia"/>
        </w:rPr>
        <w:t>和</w:t>
      </w:r>
      <w:r w:rsidRPr="002200C6">
        <w:rPr>
          <w:rFonts w:hint="eastAsia"/>
        </w:rPr>
        <w:t>F1</w:t>
      </w:r>
      <w:r w:rsidRPr="002200C6">
        <w:rPr>
          <w:rFonts w:hint="eastAsia"/>
        </w:rPr>
        <w:t>附睾尾精子总数，前进运动精子百分比，形态正常和异常精子百分比；</w:t>
      </w:r>
    </w:p>
    <w:p w14:paraId="257D9589" w14:textId="77777777" w:rsidR="0073333D" w:rsidRDefault="002200C6" w:rsidP="00851140">
      <w:pPr>
        <w:spacing w:line="300" w:lineRule="auto"/>
        <w:ind w:firstLineChars="200" w:firstLine="420"/>
      </w:pPr>
      <w:r w:rsidRPr="002200C6">
        <w:rPr>
          <w:rFonts w:hint="eastAsia"/>
        </w:rPr>
        <w:t>交配时间（即从开始合笼配对到交配完成的天数）</w:t>
      </w:r>
    </w:p>
    <w:p w14:paraId="5DDE5C9E" w14:textId="77777777" w:rsidR="0073333D" w:rsidRDefault="0073333D" w:rsidP="00851140">
      <w:pPr>
        <w:spacing w:line="300" w:lineRule="auto"/>
        <w:ind w:firstLineChars="200" w:firstLine="420"/>
      </w:pPr>
      <w:r>
        <w:rPr>
          <w:rFonts w:hint="eastAsia"/>
        </w:rPr>
        <w:t>妊娠</w:t>
      </w:r>
      <w:r w:rsidR="002200C6">
        <w:rPr>
          <w:rFonts w:hint="eastAsia"/>
        </w:rPr>
        <w:t>天数；</w:t>
      </w:r>
    </w:p>
    <w:p w14:paraId="36940DEA" w14:textId="77777777" w:rsidR="0073333D" w:rsidRDefault="002200C6" w:rsidP="00851140">
      <w:pPr>
        <w:spacing w:line="300" w:lineRule="auto"/>
        <w:ind w:firstLineChars="200" w:firstLine="420"/>
      </w:pPr>
      <w:r>
        <w:rPr>
          <w:rFonts w:hint="eastAsia"/>
        </w:rPr>
        <w:t>着床数、</w:t>
      </w:r>
      <w:r w:rsidR="0073333D">
        <w:rPr>
          <w:rFonts w:hint="eastAsia"/>
        </w:rPr>
        <w:t>黄体</w:t>
      </w:r>
      <w:r>
        <w:rPr>
          <w:rFonts w:hint="eastAsia"/>
        </w:rPr>
        <w:t>数、窝的大小；</w:t>
      </w:r>
    </w:p>
    <w:p w14:paraId="68E68ECA" w14:textId="77777777" w:rsidR="0073333D" w:rsidRDefault="0073333D" w:rsidP="00851140">
      <w:pPr>
        <w:spacing w:line="300" w:lineRule="auto"/>
        <w:ind w:firstLineChars="200" w:firstLine="420"/>
      </w:pPr>
      <w:r>
        <w:rPr>
          <w:rFonts w:hint="eastAsia"/>
        </w:rPr>
        <w:lastRenderedPageBreak/>
        <w:t>活产数和</w:t>
      </w:r>
      <w:r w:rsidR="002200C6">
        <w:rPr>
          <w:rFonts w:hint="eastAsia"/>
        </w:rPr>
        <w:t>着床</w:t>
      </w:r>
      <w:r>
        <w:rPr>
          <w:rFonts w:hint="eastAsia"/>
        </w:rPr>
        <w:t>后丢失数</w:t>
      </w:r>
      <w:r w:rsidR="002200C6">
        <w:rPr>
          <w:rFonts w:hint="eastAsia"/>
        </w:rPr>
        <w:t>；</w:t>
      </w:r>
    </w:p>
    <w:p w14:paraId="7000D1D8" w14:textId="77777777" w:rsidR="0073333D" w:rsidRDefault="002200C6" w:rsidP="00851140">
      <w:pPr>
        <w:spacing w:line="300" w:lineRule="auto"/>
        <w:ind w:firstLineChars="200" w:firstLine="420"/>
      </w:pPr>
      <w:r w:rsidRPr="002200C6">
        <w:rPr>
          <w:rFonts w:hint="eastAsia"/>
        </w:rPr>
        <w:t>有明显大体观察异常的幼仔数量</w:t>
      </w:r>
      <w:r w:rsidR="00AB1694">
        <w:rPr>
          <w:rFonts w:hint="eastAsia"/>
        </w:rPr>
        <w:t>，经确认为矮小幼仔的动物数量</w:t>
      </w:r>
      <w:r w:rsidRPr="002200C6">
        <w:rPr>
          <w:rFonts w:hint="eastAsia"/>
        </w:rPr>
        <w:t>；</w:t>
      </w:r>
    </w:p>
    <w:p w14:paraId="6A7F2BF9" w14:textId="77777777" w:rsidR="0073333D" w:rsidRDefault="002200C6" w:rsidP="00851140">
      <w:pPr>
        <w:spacing w:line="300" w:lineRule="auto"/>
        <w:ind w:firstLineChars="200" w:firstLine="420"/>
      </w:pPr>
      <w:r w:rsidRPr="002200C6">
        <w:rPr>
          <w:rFonts w:hint="eastAsia"/>
        </w:rPr>
        <w:t>幼仔发育里程碑的相关数据及其它产后发育数据</w:t>
      </w:r>
      <w:r>
        <w:rPr>
          <w:rFonts w:hint="eastAsia"/>
        </w:rPr>
        <w:t>，用于评估的发育里程碑事件应合理</w:t>
      </w:r>
      <w:r w:rsidRPr="002200C6">
        <w:rPr>
          <w:rFonts w:hint="eastAsia"/>
        </w:rPr>
        <w:t>；</w:t>
      </w:r>
    </w:p>
    <w:p w14:paraId="2BC6EDDD" w14:textId="77777777" w:rsidR="0073333D" w:rsidRDefault="002200C6" w:rsidP="00851140">
      <w:pPr>
        <w:spacing w:line="300" w:lineRule="auto"/>
        <w:ind w:firstLineChars="200" w:firstLine="420"/>
      </w:pPr>
      <w:r w:rsidRPr="002200C6">
        <w:rPr>
          <w:rFonts w:hint="eastAsia"/>
        </w:rPr>
        <w:t>幼仔和成年动物的功能观察数据（如适用）；</w:t>
      </w:r>
    </w:p>
    <w:p w14:paraId="099FFB2D" w14:textId="77777777" w:rsidR="0032364E" w:rsidRDefault="002200C6" w:rsidP="005A52C6">
      <w:pPr>
        <w:spacing w:line="300" w:lineRule="auto"/>
        <w:ind w:firstLineChars="200" w:firstLine="420"/>
      </w:pPr>
      <w:r w:rsidRPr="002200C6">
        <w:rPr>
          <w:rFonts w:hint="eastAsia"/>
        </w:rPr>
        <w:t>对试验结果进行合适的统计分析</w:t>
      </w:r>
      <w:r w:rsidR="0073333D">
        <w:rPr>
          <w:rFonts w:hint="eastAsia"/>
        </w:rPr>
        <w:t>。</w:t>
      </w:r>
    </w:p>
    <w:p w14:paraId="59739030" w14:textId="77777777" w:rsidR="0032364E" w:rsidRDefault="0032364E" w:rsidP="00851140">
      <w:pPr>
        <w:spacing w:beforeLines="50" w:before="156" w:afterLines="50" w:after="156" w:line="300" w:lineRule="auto"/>
      </w:pPr>
      <w:r>
        <w:rPr>
          <w:rFonts w:hint="eastAsia"/>
        </w:rPr>
        <w:t xml:space="preserve">10.2 </w:t>
      </w:r>
      <w:r>
        <w:rPr>
          <w:rFonts w:hint="eastAsia"/>
        </w:rPr>
        <w:t>数据的总结和评定</w:t>
      </w:r>
    </w:p>
    <w:p w14:paraId="416F6D09" w14:textId="77777777" w:rsidR="00E5691B" w:rsidRDefault="00EC13FE">
      <w:pPr>
        <w:spacing w:line="300" w:lineRule="auto"/>
        <w:ind w:firstLineChars="200" w:firstLine="420"/>
      </w:pPr>
      <w:r>
        <w:t>数据以报告附件的形式用表格汇总。报告中应包含以下内容：</w:t>
      </w:r>
    </w:p>
    <w:p w14:paraId="6AB6C5D0" w14:textId="77777777" w:rsidR="00E5691B" w:rsidRDefault="00EC13FE">
      <w:pPr>
        <w:spacing w:line="300" w:lineRule="auto"/>
        <w:ind w:firstLineChars="200" w:firstLine="420"/>
      </w:pPr>
      <w:r>
        <w:t>试验开始时的动物数量；</w:t>
      </w:r>
    </w:p>
    <w:p w14:paraId="00CFAAB6" w14:textId="7EEDA930" w:rsidR="00E5691B" w:rsidRDefault="00EC13FE">
      <w:pPr>
        <w:spacing w:line="300" w:lineRule="auto"/>
        <w:ind w:firstLineChars="200" w:firstLine="420"/>
      </w:pPr>
      <w:r>
        <w:t>试验中发现死亡或因人道原因</w:t>
      </w:r>
      <w:r w:rsidR="00411AF6">
        <w:t>处死</w:t>
      </w:r>
      <w:r>
        <w:t>的动物数量、时间；</w:t>
      </w:r>
    </w:p>
    <w:p w14:paraId="39D4BC0B" w14:textId="77777777" w:rsidR="00E5691B" w:rsidRDefault="00EC13FE">
      <w:pPr>
        <w:spacing w:line="300" w:lineRule="auto"/>
        <w:ind w:firstLineChars="200" w:firstLine="420"/>
      </w:pPr>
      <w:r>
        <w:t>可生育的动物数量；</w:t>
      </w:r>
    </w:p>
    <w:p w14:paraId="313EC71E" w14:textId="77777777" w:rsidR="00E5691B" w:rsidRDefault="00EC13FE">
      <w:pPr>
        <w:spacing w:line="300" w:lineRule="auto"/>
        <w:ind w:firstLineChars="200" w:firstLine="420"/>
      </w:pPr>
      <w:r>
        <w:t>怀孕的雌性动物数量；</w:t>
      </w:r>
    </w:p>
    <w:p w14:paraId="50699606" w14:textId="77777777" w:rsidR="00E5691B" w:rsidRDefault="00EC13FE">
      <w:pPr>
        <w:spacing w:line="300" w:lineRule="auto"/>
        <w:ind w:firstLineChars="200" w:firstLine="420"/>
      </w:pPr>
      <w:r>
        <w:t>分娩雌性动物数量；</w:t>
      </w:r>
    </w:p>
    <w:p w14:paraId="7DAD52FF" w14:textId="77777777" w:rsidR="00E5691B" w:rsidRDefault="00EC13FE">
      <w:pPr>
        <w:spacing w:line="300" w:lineRule="auto"/>
        <w:ind w:firstLineChars="200" w:firstLine="420"/>
      </w:pPr>
      <w:r>
        <w:t>出现毒性反应动物数量；</w:t>
      </w:r>
    </w:p>
    <w:p w14:paraId="7D55F346" w14:textId="77777777" w:rsidR="00E5691B" w:rsidRDefault="00EC13FE">
      <w:pPr>
        <w:spacing w:line="300" w:lineRule="auto"/>
        <w:ind w:firstLineChars="200" w:firstLine="420"/>
      </w:pPr>
      <w:r>
        <w:t>毒性反应的描症状、发病时间、持续时间和严重程度。</w:t>
      </w:r>
    </w:p>
    <w:p w14:paraId="6562C155" w14:textId="77777777" w:rsidR="00E5691B" w:rsidRDefault="00EC13FE">
      <w:pPr>
        <w:spacing w:line="300" w:lineRule="auto"/>
        <w:ind w:firstLineChars="200" w:firstLine="420"/>
      </w:pPr>
      <w:r>
        <w:t>数据应采用合适的、可接受的统计方法进行评估。应适当处理非正态数据（如计数数据）、截尾数据（如有限的观察时间）、非独立性数据（如窝效应和重复测量）和不等方差。报告中应包含具体的统计分析方法和用于统计分析的软件信息。</w:t>
      </w:r>
    </w:p>
    <w:p w14:paraId="189FD24B" w14:textId="77777777" w:rsidR="00E5691B" w:rsidRDefault="00EC13FE">
      <w:pPr>
        <w:spacing w:line="300" w:lineRule="auto"/>
        <w:ind w:firstLineChars="200" w:firstLine="420"/>
      </w:pPr>
      <w:r>
        <w:lastRenderedPageBreak/>
        <w:t>根据试验中观察到的结果（包括大体观察结果和显微镜检查结果）评价受试物的生殖发育毒性效应。包括是否存在剂量相关的异常、病变发生率和严重程度变化。此外，还包括靶器官、生育力、临床异常、生殖和产仔性能、体重变化、死亡率以及其他任何毒性和发育影响。需特别注意性别特异性变化。为了准确评价受试物的影响，也可以结合受试物的理化性质，以及</w:t>
      </w:r>
      <w:r>
        <w:t>TK</w:t>
      </w:r>
      <w:r>
        <w:t>数据</w:t>
      </w:r>
      <w:r>
        <w:t>(</w:t>
      </w:r>
      <w:r>
        <w:t>包括胎盘透过和乳汁排泄</w:t>
      </w:r>
      <w:r>
        <w:t>)</w:t>
      </w:r>
      <w:r>
        <w:t>进行分析。</w:t>
      </w:r>
    </w:p>
    <w:p w14:paraId="465336C0" w14:textId="77777777" w:rsidR="00E5691B" w:rsidRDefault="00EC13FE">
      <w:pPr>
        <w:spacing w:line="300" w:lineRule="auto"/>
        <w:ind w:firstLineChars="200" w:firstLine="420"/>
      </w:pPr>
      <w:r>
        <w:t>设计合理的生殖毒性试验应能估计</w:t>
      </w:r>
      <w:r>
        <w:t>NOAEL</w:t>
      </w:r>
      <w:r>
        <w:t>剂量水平，并对受试物在生殖、分娩、哺乳及出生后发育</w:t>
      </w:r>
      <w:r>
        <w:t>(</w:t>
      </w:r>
      <w:r>
        <w:t>包括生长和性发育</w:t>
      </w:r>
      <w:r>
        <w:t>)</w:t>
      </w:r>
      <w:r>
        <w:t>的不利影响尽可能充分暴露。</w:t>
      </w:r>
    </w:p>
    <w:p w14:paraId="016843BD" w14:textId="77777777" w:rsidR="00E5691B" w:rsidRDefault="00EC13FE">
      <w:pPr>
        <w:pStyle w:val="af3"/>
        <w:widowControl w:val="0"/>
        <w:numPr>
          <w:ilvl w:val="0"/>
          <w:numId w:val="4"/>
        </w:numPr>
        <w:spacing w:beforeLines="50" w:before="156" w:afterLines="50" w:after="156" w:line="300" w:lineRule="auto"/>
        <w:ind w:firstLineChars="0"/>
        <w:jc w:val="both"/>
        <w:rPr>
          <w:rFonts w:eastAsia="黑体"/>
        </w:rPr>
      </w:pPr>
      <w:r>
        <w:rPr>
          <w:rFonts w:eastAsia="黑体"/>
        </w:rPr>
        <w:t>结果解释</w:t>
      </w:r>
    </w:p>
    <w:p w14:paraId="17FB50ED" w14:textId="77777777" w:rsidR="00E5691B" w:rsidRDefault="00EC13FE">
      <w:pPr>
        <w:spacing w:line="300" w:lineRule="auto"/>
        <w:ind w:firstLineChars="200" w:firstLine="420"/>
      </w:pPr>
      <w:bookmarkStart w:id="210" w:name="_Hlk135344137"/>
      <w:r>
        <w:t>两代生殖发育毒性研究资料可以提供受试物在生殖周期所有阶段重复暴露的影响。尤其是提供了有关生殖功能及生育力相关参数以及关于后代生长发育和存活情况的信息。该研究的结果应结合亚慢性毒性、产前发育、毒性动力学以及其他现有研究的结果来解释。其结果有助于评估是否有必要将受试物推进到下一个研究节点。同时，该结果在一定程度上外推至人是有效的，可以用于提供</w:t>
      </w:r>
      <w:r>
        <w:t>NOAEL</w:t>
      </w:r>
      <w:r>
        <w:t>及人体暴露风险信息。</w:t>
      </w:r>
      <w:bookmarkEnd w:id="210"/>
    </w:p>
    <w:p w14:paraId="1F5C4E78" w14:textId="77777777" w:rsidR="00E5691B" w:rsidRDefault="00E5691B">
      <w:pPr>
        <w:spacing w:line="300" w:lineRule="auto"/>
        <w:ind w:firstLineChars="200" w:firstLine="420"/>
      </w:pPr>
    </w:p>
    <w:p w14:paraId="333B23AE" w14:textId="77777777" w:rsidR="00E5691B" w:rsidRDefault="00E5691B">
      <w:pPr>
        <w:spacing w:line="300" w:lineRule="auto"/>
        <w:ind w:firstLineChars="200" w:firstLine="420"/>
      </w:pPr>
    </w:p>
    <w:p w14:paraId="7ED49061" w14:textId="77777777" w:rsidR="00E5691B" w:rsidRDefault="00E5691B">
      <w:pPr>
        <w:spacing w:line="300" w:lineRule="auto"/>
        <w:ind w:firstLineChars="200" w:firstLine="420"/>
        <w:sectPr w:rsidR="00E5691B">
          <w:pgSz w:w="11906" w:h="16838"/>
          <w:pgMar w:top="1440" w:right="1803" w:bottom="1440" w:left="1803" w:header="851" w:footer="992" w:gutter="0"/>
          <w:cols w:space="425"/>
          <w:docGrid w:type="lines" w:linePitch="312"/>
        </w:sectPr>
      </w:pPr>
    </w:p>
    <w:p w14:paraId="3BB3CA58" w14:textId="77777777" w:rsidR="00E5691B" w:rsidRDefault="00EC13FE">
      <w:pPr>
        <w:spacing w:beforeLines="50" w:before="156" w:afterLines="50" w:after="156" w:line="300" w:lineRule="auto"/>
        <w:jc w:val="center"/>
        <w:rPr>
          <w:rFonts w:eastAsia="黑体"/>
          <w:b/>
        </w:rPr>
      </w:pPr>
      <w:r>
        <w:rPr>
          <w:rFonts w:eastAsia="黑体"/>
          <w:b/>
        </w:rPr>
        <w:lastRenderedPageBreak/>
        <w:t>附图</w:t>
      </w:r>
    </w:p>
    <w:p w14:paraId="7B665FD1" w14:textId="77777777" w:rsidR="00E5691B" w:rsidRDefault="00EC13FE">
      <w:pPr>
        <w:spacing w:line="300" w:lineRule="auto"/>
      </w:pPr>
      <w:r>
        <w:rPr>
          <w:noProof/>
        </w:rPr>
        <w:drawing>
          <wp:inline distT="0" distB="0" distL="0" distR="0" wp14:anchorId="4A1C5894" wp14:editId="3C7EFA23">
            <wp:extent cx="5274310" cy="1694180"/>
            <wp:effectExtent l="0" t="0" r="254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cstate="print"/>
                    <a:stretch>
                      <a:fillRect/>
                    </a:stretch>
                  </pic:blipFill>
                  <pic:spPr>
                    <a:xfrm>
                      <a:off x="0" y="0"/>
                      <a:ext cx="5274310" cy="1694616"/>
                    </a:xfrm>
                    <a:prstGeom prst="rect">
                      <a:avLst/>
                    </a:prstGeom>
                  </pic:spPr>
                </pic:pic>
              </a:graphicData>
            </a:graphic>
          </wp:inline>
        </w:drawing>
      </w:r>
    </w:p>
    <w:tbl>
      <w:tblPr>
        <w:tblStyle w:val="ae"/>
        <w:tblW w:w="0" w:type="auto"/>
        <w:jc w:val="right"/>
        <w:tblLook w:val="04A0" w:firstRow="1" w:lastRow="0" w:firstColumn="1" w:lastColumn="0" w:noHBand="0" w:noVBand="1"/>
      </w:tblPr>
      <w:tblGrid>
        <w:gridCol w:w="325"/>
        <w:gridCol w:w="1517"/>
      </w:tblGrid>
      <w:tr w:rsidR="00E5691B" w14:paraId="4357ADF1" w14:textId="77777777">
        <w:trPr>
          <w:jc w:val="right"/>
        </w:trPr>
        <w:tc>
          <w:tcPr>
            <w:tcW w:w="325" w:type="dxa"/>
            <w:shd w:val="clear" w:color="auto" w:fill="808080" w:themeFill="background1" w:themeFillShade="80"/>
          </w:tcPr>
          <w:p w14:paraId="2176CA91" w14:textId="77777777" w:rsidR="00E5691B" w:rsidRDefault="00E5691B">
            <w:pPr>
              <w:spacing w:line="300" w:lineRule="auto"/>
              <w:jc w:val="center"/>
            </w:pPr>
          </w:p>
        </w:tc>
        <w:tc>
          <w:tcPr>
            <w:tcW w:w="1517" w:type="dxa"/>
            <w:tcBorders>
              <w:top w:val="nil"/>
              <w:bottom w:val="nil"/>
              <w:right w:val="nil"/>
            </w:tcBorders>
          </w:tcPr>
          <w:p w14:paraId="6545D70B" w14:textId="77777777" w:rsidR="00E5691B" w:rsidRDefault="00EC13FE">
            <w:pPr>
              <w:spacing w:line="300" w:lineRule="auto"/>
            </w:pPr>
            <w:r>
              <w:t>受试物暴露期</w:t>
            </w:r>
          </w:p>
        </w:tc>
      </w:tr>
    </w:tbl>
    <w:p w14:paraId="15B8D470" w14:textId="77777777" w:rsidR="00E5691B" w:rsidRDefault="00EC13FE">
      <w:pPr>
        <w:spacing w:beforeLines="50" w:before="156" w:afterLines="50" w:after="156" w:line="300" w:lineRule="auto"/>
        <w:jc w:val="center"/>
      </w:pPr>
      <w:r>
        <w:rPr>
          <w:rFonts w:eastAsia="黑体"/>
        </w:rPr>
        <w:t>两代生殖发育毒性试验流程</w:t>
      </w:r>
    </w:p>
    <w:sectPr w:rsidR="00E5691B">
      <w:footerReference w:type="default" r:id="rId13"/>
      <w:pgSz w:w="11906" w:h="16838"/>
      <w:pgMar w:top="1440" w:right="1803" w:bottom="1440" w:left="180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021E7" w14:textId="77777777" w:rsidR="00967A09" w:rsidRDefault="00967A09">
      <w:r>
        <w:separator/>
      </w:r>
    </w:p>
  </w:endnote>
  <w:endnote w:type="continuationSeparator" w:id="0">
    <w:p w14:paraId="4DC39506" w14:textId="77777777" w:rsidR="00967A09" w:rsidRDefault="0096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EE2FE" w14:textId="77777777" w:rsidR="00E43170" w:rsidRDefault="00E43170">
    <w:pPr>
      <w:pStyle w:val="aa"/>
      <w:framePr w:wrap="around" w:vAnchor="text" w:hAnchor="margin" w:xAlign="outside" w:y="1"/>
      <w:ind w:left="420"/>
      <w:rPr>
        <w:rStyle w:val="af0"/>
      </w:rPr>
    </w:pPr>
    <w:r>
      <w:rPr>
        <w:rStyle w:val="af0"/>
      </w:rPr>
      <w:fldChar w:fldCharType="begin"/>
    </w:r>
    <w:r>
      <w:rPr>
        <w:rStyle w:val="af0"/>
      </w:rPr>
      <w:instrText xml:space="preserve">PAGE  </w:instrText>
    </w:r>
    <w:r>
      <w:rPr>
        <w:rStyle w:val="af0"/>
      </w:rPr>
      <w:fldChar w:fldCharType="separate"/>
    </w:r>
    <w:r>
      <w:rPr>
        <w:rStyle w:val="af0"/>
      </w:rPr>
      <w:t>132</w:t>
    </w:r>
    <w:r>
      <w:rPr>
        <w:rStyle w:val="af0"/>
      </w:rPr>
      <w:fldChar w:fldCharType="end"/>
    </w:r>
  </w:p>
  <w:p w14:paraId="34E70C48" w14:textId="77777777" w:rsidR="00E43170" w:rsidRDefault="00E43170">
    <w:pPr>
      <w:pStyle w:val="aa"/>
      <w:ind w:left="420"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E46BB" w14:textId="77777777" w:rsidR="00E43170" w:rsidRDefault="00E43170">
    <w:pPr>
      <w:pStyle w:val="aa"/>
      <w:tabs>
        <w:tab w:val="clear" w:pos="4153"/>
      </w:tabs>
      <w:ind w:left="420" w:right="360" w:firstLine="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020403"/>
    </w:sdtPr>
    <w:sdtEndPr/>
    <w:sdtContent>
      <w:p w14:paraId="60320898" w14:textId="77777777" w:rsidR="00E43170" w:rsidRDefault="00E43170">
        <w:pPr>
          <w:pStyle w:val="aa"/>
          <w:jc w:val="center"/>
        </w:pPr>
        <w:r>
          <w:fldChar w:fldCharType="begin"/>
        </w:r>
        <w:r>
          <w:instrText>PAGE   \* MERGEFORMAT</w:instrText>
        </w:r>
        <w:r>
          <w:fldChar w:fldCharType="separate"/>
        </w:r>
        <w:r w:rsidR="006174A9" w:rsidRPr="006174A9">
          <w:rPr>
            <w:noProof/>
            <w:lang w:val="zh-CN"/>
          </w:rPr>
          <w:t>1</w:t>
        </w:r>
        <w: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133565"/>
    </w:sdtPr>
    <w:sdtEndPr/>
    <w:sdtContent>
      <w:p w14:paraId="30A0DB61" w14:textId="77777777" w:rsidR="00E43170" w:rsidRDefault="00E43170">
        <w:pPr>
          <w:pStyle w:val="aa"/>
          <w:jc w:val="center"/>
        </w:pPr>
        <w:r>
          <w:fldChar w:fldCharType="begin"/>
        </w:r>
        <w:r>
          <w:instrText>PAGE   \* MERGEFORMAT</w:instrText>
        </w:r>
        <w:r>
          <w:fldChar w:fldCharType="separate"/>
        </w:r>
        <w:r w:rsidR="009434F5" w:rsidRPr="009434F5">
          <w:rPr>
            <w:noProof/>
            <w:lang w:val="zh-CN"/>
          </w:rPr>
          <w:t>34</w:t>
        </w:r>
        <w: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864932"/>
    </w:sdtPr>
    <w:sdtEndPr/>
    <w:sdtContent>
      <w:p w14:paraId="5787D3C4" w14:textId="77777777" w:rsidR="00E43170" w:rsidRDefault="00E43170">
        <w:pPr>
          <w:pStyle w:val="aa"/>
          <w:jc w:val="center"/>
        </w:pPr>
        <w:r>
          <w:fldChar w:fldCharType="begin"/>
        </w:r>
        <w:r>
          <w:instrText>PAGE   \* MERGEFORMAT</w:instrText>
        </w:r>
        <w:r>
          <w:fldChar w:fldCharType="separate"/>
        </w:r>
        <w:r w:rsidR="009434F5" w:rsidRPr="009434F5">
          <w:rPr>
            <w:noProof/>
            <w:lang w:val="zh-CN"/>
          </w:rPr>
          <w:t>35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E2F7A" w14:textId="77777777" w:rsidR="00967A09" w:rsidRDefault="00967A09">
      <w:r>
        <w:separator/>
      </w:r>
    </w:p>
  </w:footnote>
  <w:footnote w:type="continuationSeparator" w:id="0">
    <w:p w14:paraId="2E27CBA2" w14:textId="77777777" w:rsidR="00967A09" w:rsidRDefault="00967A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4142"/>
    <w:multiLevelType w:val="multilevel"/>
    <w:tmpl w:val="070E4142"/>
    <w:lvl w:ilvl="0">
      <w:start w:val="3"/>
      <w:numFmt w:val="decimal"/>
      <w:lvlText w:val="%1"/>
      <w:lvlJc w:val="left"/>
      <w:pPr>
        <w:ind w:left="360" w:hanging="360"/>
      </w:pPr>
      <w:rPr>
        <w:rFonts w:hint="default"/>
      </w:rPr>
    </w:lvl>
    <w:lvl w:ilvl="1">
      <w:start w:val="1"/>
      <w:numFmt w:val="decimal"/>
      <w:lvlText w:val="%1.%2"/>
      <w:lvlJc w:val="left"/>
      <w:pPr>
        <w:tabs>
          <w:tab w:val="left" w:pos="284"/>
        </w:tabs>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8976B1"/>
    <w:multiLevelType w:val="multilevel"/>
    <w:tmpl w:val="098976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55C0D02"/>
    <w:multiLevelType w:val="multilevel"/>
    <w:tmpl w:val="155C0D02"/>
    <w:lvl w:ilvl="0">
      <w:start w:val="9"/>
      <w:numFmt w:val="decimal"/>
      <w:lvlText w:val="%1"/>
      <w:lvlJc w:val="left"/>
      <w:pPr>
        <w:ind w:left="360" w:hanging="360"/>
      </w:pPr>
      <w:rPr>
        <w:rFonts w:hint="default"/>
      </w:rPr>
    </w:lvl>
    <w:lvl w:ilvl="1">
      <w:start w:val="1"/>
      <w:numFmt w:val="decimal"/>
      <w:lvlText w:val="%1.%2"/>
      <w:lvlJc w:val="left"/>
      <w:pPr>
        <w:tabs>
          <w:tab w:val="left" w:pos="284"/>
        </w:tabs>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632518"/>
    <w:multiLevelType w:val="multilevel"/>
    <w:tmpl w:val="D10E8C60"/>
    <w:lvl w:ilvl="0">
      <w:start w:val="1"/>
      <w:numFmt w:val="decimal"/>
      <w:lvlText w:val="%1."/>
      <w:lvlJc w:val="left"/>
      <w:pPr>
        <w:ind w:left="420" w:hanging="420"/>
      </w:pPr>
      <w:rPr>
        <w:rFonts w:ascii="Times New Roman" w:hAnsi="Times New Roman" w:cs="Times New Roman" w:hint="default"/>
        <w:b w:val="0"/>
      </w:rPr>
    </w:lvl>
    <w:lvl w:ilvl="1">
      <w:start w:val="1"/>
      <w:numFmt w:val="decimal"/>
      <w:isLgl/>
      <w:lvlText w:val="%1.%2"/>
      <w:lvlJc w:val="left"/>
      <w:pPr>
        <w:tabs>
          <w:tab w:val="left" w:pos="284"/>
        </w:tabs>
        <w:ind w:left="360" w:hanging="360"/>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2B8761A"/>
    <w:multiLevelType w:val="multilevel"/>
    <w:tmpl w:val="32B8761A"/>
    <w:lvl w:ilvl="0">
      <w:start w:val="6"/>
      <w:numFmt w:val="decimal"/>
      <w:lvlText w:val="%1"/>
      <w:lvlJc w:val="left"/>
      <w:pPr>
        <w:ind w:left="360" w:hanging="360"/>
      </w:pPr>
      <w:rPr>
        <w:rFonts w:hint="default"/>
      </w:rPr>
    </w:lvl>
    <w:lvl w:ilvl="1">
      <w:start w:val="1"/>
      <w:numFmt w:val="decimal"/>
      <w:lvlText w:val="%1.%2"/>
      <w:lvlJc w:val="left"/>
      <w:pPr>
        <w:tabs>
          <w:tab w:val="left" w:pos="284"/>
        </w:tabs>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3744E38"/>
    <w:multiLevelType w:val="multilevel"/>
    <w:tmpl w:val="53744E38"/>
    <w:lvl w:ilvl="0">
      <w:start w:val="8"/>
      <w:numFmt w:val="decimal"/>
      <w:lvlText w:val="%1"/>
      <w:lvlJc w:val="left"/>
      <w:pPr>
        <w:ind w:left="360" w:hanging="360"/>
      </w:pPr>
      <w:rPr>
        <w:rFonts w:hint="default"/>
      </w:rPr>
    </w:lvl>
    <w:lvl w:ilvl="1">
      <w:start w:val="1"/>
      <w:numFmt w:val="decimal"/>
      <w:lvlText w:val="%1.%2"/>
      <w:lvlJc w:val="left"/>
      <w:pPr>
        <w:tabs>
          <w:tab w:val="left" w:pos="284"/>
        </w:tabs>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7C3020A"/>
    <w:multiLevelType w:val="multilevel"/>
    <w:tmpl w:val="67C3020A"/>
    <w:lvl w:ilvl="0">
      <w:start w:val="1"/>
      <w:numFmt w:val="decimal"/>
      <w:lvlText w:val="（%1）"/>
      <w:lvlJc w:val="left"/>
      <w:pPr>
        <w:ind w:left="1140" w:hanging="72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7" w15:restartNumberingAfterBreak="0">
    <w:nsid w:val="6F8D5537"/>
    <w:multiLevelType w:val="multilevel"/>
    <w:tmpl w:val="8AF2EB30"/>
    <w:lvl w:ilvl="0">
      <w:start w:val="1"/>
      <w:numFmt w:val="decimal"/>
      <w:lvlText w:val="（%1）"/>
      <w:lvlJc w:val="left"/>
      <w:pPr>
        <w:ind w:left="1140" w:hanging="720"/>
      </w:pPr>
      <w:rPr>
        <w:rFonts w:ascii="Times New Roman" w:hAnsi="Times New Roman" w:cs="Times New Roman" w:hint="default"/>
        <w:color w:val="2A2B2E"/>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abstractNumId w:val="3"/>
  </w:num>
  <w:num w:numId="2">
    <w:abstractNumId w:val="7"/>
  </w:num>
  <w:num w:numId="3">
    <w:abstractNumId w:val="6"/>
  </w:num>
  <w:num w:numId="4">
    <w:abstractNumId w:val="1"/>
  </w:num>
  <w:num w:numId="5">
    <w:abstractNumId w:val="0"/>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4NzA0NTJjZTE3ZmM3MGI4ZjQ4ZmZjZjg5OGZiOGEifQ=="/>
  </w:docVars>
  <w:rsids>
    <w:rsidRoot w:val="005278C0"/>
    <w:rsid w:val="00014B72"/>
    <w:rsid w:val="00053ADF"/>
    <w:rsid w:val="00055B18"/>
    <w:rsid w:val="000C480C"/>
    <w:rsid w:val="000C65B0"/>
    <w:rsid w:val="000E5DEE"/>
    <w:rsid w:val="001117E5"/>
    <w:rsid w:val="00120D1A"/>
    <w:rsid w:val="00125F2B"/>
    <w:rsid w:val="00132E3D"/>
    <w:rsid w:val="001655B1"/>
    <w:rsid w:val="00165C86"/>
    <w:rsid w:val="001C27D7"/>
    <w:rsid w:val="001D0734"/>
    <w:rsid w:val="001F32C2"/>
    <w:rsid w:val="00205B06"/>
    <w:rsid w:val="002200C6"/>
    <w:rsid w:val="002278F1"/>
    <w:rsid w:val="00233144"/>
    <w:rsid w:val="002725B8"/>
    <w:rsid w:val="0029466E"/>
    <w:rsid w:val="002B5838"/>
    <w:rsid w:val="002D276D"/>
    <w:rsid w:val="002E681C"/>
    <w:rsid w:val="00311595"/>
    <w:rsid w:val="0032364E"/>
    <w:rsid w:val="0036096B"/>
    <w:rsid w:val="00384924"/>
    <w:rsid w:val="003C276B"/>
    <w:rsid w:val="003C5A3D"/>
    <w:rsid w:val="003D4440"/>
    <w:rsid w:val="00411AF6"/>
    <w:rsid w:val="00500421"/>
    <w:rsid w:val="005278C0"/>
    <w:rsid w:val="00540C45"/>
    <w:rsid w:val="00560BB0"/>
    <w:rsid w:val="0056381D"/>
    <w:rsid w:val="00563DDD"/>
    <w:rsid w:val="005A52C6"/>
    <w:rsid w:val="005B0090"/>
    <w:rsid w:val="005B03FE"/>
    <w:rsid w:val="005B1EF9"/>
    <w:rsid w:val="005B2D10"/>
    <w:rsid w:val="005D4806"/>
    <w:rsid w:val="005D7DBA"/>
    <w:rsid w:val="005F4A8D"/>
    <w:rsid w:val="005F58A9"/>
    <w:rsid w:val="006174A9"/>
    <w:rsid w:val="006307A0"/>
    <w:rsid w:val="006515EE"/>
    <w:rsid w:val="00671AB5"/>
    <w:rsid w:val="0067415F"/>
    <w:rsid w:val="0068116D"/>
    <w:rsid w:val="006B56C6"/>
    <w:rsid w:val="006F3E42"/>
    <w:rsid w:val="007263B1"/>
    <w:rsid w:val="0073333D"/>
    <w:rsid w:val="00744FB9"/>
    <w:rsid w:val="007649D1"/>
    <w:rsid w:val="007B2270"/>
    <w:rsid w:val="007D0BB4"/>
    <w:rsid w:val="007E55AC"/>
    <w:rsid w:val="00802270"/>
    <w:rsid w:val="00835ED1"/>
    <w:rsid w:val="0085073A"/>
    <w:rsid w:val="00851140"/>
    <w:rsid w:val="00874C03"/>
    <w:rsid w:val="008E75BA"/>
    <w:rsid w:val="00905B88"/>
    <w:rsid w:val="00916AB9"/>
    <w:rsid w:val="00931DF1"/>
    <w:rsid w:val="009434F5"/>
    <w:rsid w:val="00945D0B"/>
    <w:rsid w:val="009471B0"/>
    <w:rsid w:val="00967A09"/>
    <w:rsid w:val="0099723B"/>
    <w:rsid w:val="009B24BA"/>
    <w:rsid w:val="009E07CC"/>
    <w:rsid w:val="00A00F74"/>
    <w:rsid w:val="00A341D3"/>
    <w:rsid w:val="00A5034A"/>
    <w:rsid w:val="00A52155"/>
    <w:rsid w:val="00A533C3"/>
    <w:rsid w:val="00A574B1"/>
    <w:rsid w:val="00A57EB5"/>
    <w:rsid w:val="00A70E00"/>
    <w:rsid w:val="00A83E0E"/>
    <w:rsid w:val="00AB1694"/>
    <w:rsid w:val="00AE6BBE"/>
    <w:rsid w:val="00B1346D"/>
    <w:rsid w:val="00B31037"/>
    <w:rsid w:val="00B362D3"/>
    <w:rsid w:val="00B50B80"/>
    <w:rsid w:val="00B523B1"/>
    <w:rsid w:val="00B72F85"/>
    <w:rsid w:val="00B8174D"/>
    <w:rsid w:val="00B94D1E"/>
    <w:rsid w:val="00BC1D26"/>
    <w:rsid w:val="00BE19C1"/>
    <w:rsid w:val="00C01060"/>
    <w:rsid w:val="00C53FCF"/>
    <w:rsid w:val="00C93686"/>
    <w:rsid w:val="00CA55B0"/>
    <w:rsid w:val="00CD1276"/>
    <w:rsid w:val="00D372A4"/>
    <w:rsid w:val="00D37727"/>
    <w:rsid w:val="00D46B86"/>
    <w:rsid w:val="00D756E6"/>
    <w:rsid w:val="00D845FF"/>
    <w:rsid w:val="00DA34F7"/>
    <w:rsid w:val="00DC2C54"/>
    <w:rsid w:val="00DD021C"/>
    <w:rsid w:val="00E0314F"/>
    <w:rsid w:val="00E43170"/>
    <w:rsid w:val="00E5691B"/>
    <w:rsid w:val="00E63B11"/>
    <w:rsid w:val="00E656AF"/>
    <w:rsid w:val="00EA3F8D"/>
    <w:rsid w:val="00EC13FE"/>
    <w:rsid w:val="00EC5EDE"/>
    <w:rsid w:val="00ED1C14"/>
    <w:rsid w:val="00F13929"/>
    <w:rsid w:val="00F656F7"/>
    <w:rsid w:val="00FE3949"/>
    <w:rsid w:val="01D06C53"/>
    <w:rsid w:val="053E6F8E"/>
    <w:rsid w:val="062736E9"/>
    <w:rsid w:val="0D737888"/>
    <w:rsid w:val="0FB56209"/>
    <w:rsid w:val="0FDC19E8"/>
    <w:rsid w:val="12470955"/>
    <w:rsid w:val="124C3245"/>
    <w:rsid w:val="16813FC1"/>
    <w:rsid w:val="18616F2E"/>
    <w:rsid w:val="18B90B18"/>
    <w:rsid w:val="1A6E5932"/>
    <w:rsid w:val="1C9E76A5"/>
    <w:rsid w:val="1DDE2DCF"/>
    <w:rsid w:val="21EA2CC9"/>
    <w:rsid w:val="28373807"/>
    <w:rsid w:val="285F2D5E"/>
    <w:rsid w:val="2980764F"/>
    <w:rsid w:val="2F4F47F1"/>
    <w:rsid w:val="30DC621B"/>
    <w:rsid w:val="330E785B"/>
    <w:rsid w:val="3598278D"/>
    <w:rsid w:val="363B2150"/>
    <w:rsid w:val="40A47F47"/>
    <w:rsid w:val="41864B84"/>
    <w:rsid w:val="43963680"/>
    <w:rsid w:val="4687355F"/>
    <w:rsid w:val="49DB1DED"/>
    <w:rsid w:val="53EB4221"/>
    <w:rsid w:val="572B6870"/>
    <w:rsid w:val="5EF67F85"/>
    <w:rsid w:val="5F1F40D2"/>
    <w:rsid w:val="6D162FB8"/>
    <w:rsid w:val="6F343BCA"/>
    <w:rsid w:val="71810C1C"/>
    <w:rsid w:val="7A2011CA"/>
    <w:rsid w:val="7CD267D0"/>
    <w:rsid w:val="7D666135"/>
    <w:rsid w:val="7ED65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4937B"/>
  <w15:docId w15:val="{DBCF4E64-57BE-41EA-9753-F88E6AC3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Arial" w:eastAsia="黑体" w:hAnsi="Arial"/>
      <w:sz w:val="20"/>
    </w:rPr>
  </w:style>
  <w:style w:type="paragraph" w:styleId="a4">
    <w:name w:val="annotation text"/>
    <w:basedOn w:val="a"/>
    <w:link w:val="a5"/>
    <w:uiPriority w:val="99"/>
    <w:semiHidden/>
    <w:unhideWhenUsed/>
  </w:style>
  <w:style w:type="paragraph" w:styleId="a6">
    <w:name w:val="Body Text Indent"/>
    <w:basedOn w:val="a"/>
    <w:link w:val="a7"/>
    <w:unhideWhenUsed/>
    <w:qFormat/>
    <w:pPr>
      <w:topLinePunct/>
      <w:ind w:firstLineChars="200" w:firstLine="560"/>
    </w:pPr>
    <w:rPr>
      <w:rFonts w:eastAsia="仿宋_GB2312"/>
      <w:sz w:val="28"/>
      <w:szCs w:val="20"/>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tabs>
        <w:tab w:val="center" w:pos="4153"/>
        <w:tab w:val="right" w:pos="8306"/>
      </w:tabs>
      <w:snapToGrid w:val="0"/>
      <w:jc w:val="center"/>
    </w:pPr>
    <w:rPr>
      <w:sz w:val="18"/>
      <w:szCs w:val="18"/>
    </w:rPr>
  </w:style>
  <w:style w:type="paragraph" w:styleId="1">
    <w:name w:val="toc 1"/>
    <w:basedOn w:val="a"/>
    <w:next w:val="a"/>
    <w:uiPriority w:val="39"/>
    <w:qFormat/>
  </w:style>
  <w:style w:type="paragraph" w:styleId="2">
    <w:name w:val="toc 2"/>
    <w:basedOn w:val="a"/>
    <w:next w:val="a"/>
    <w:uiPriority w:val="39"/>
    <w:qFormat/>
    <w:pPr>
      <w:ind w:leftChars="200" w:left="420"/>
    </w:pPr>
  </w:style>
  <w:style w:type="table" w:styleId="ae">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Pr>
      <w:b/>
    </w:rPr>
  </w:style>
  <w:style w:type="character" w:styleId="af0">
    <w:name w:val="page number"/>
    <w:uiPriority w:val="99"/>
    <w:qFormat/>
  </w:style>
  <w:style w:type="character" w:styleId="af1">
    <w:name w:val="Emphasis"/>
    <w:basedOn w:val="a0"/>
    <w:uiPriority w:val="20"/>
    <w:qFormat/>
    <w:rPr>
      <w:i/>
    </w:rPr>
  </w:style>
  <w:style w:type="character" w:styleId="af2">
    <w:name w:val="Hyperlink"/>
    <w:basedOn w:val="a0"/>
    <w:uiPriority w:val="99"/>
    <w:unhideWhenUsed/>
    <w:qFormat/>
    <w:rPr>
      <w:color w:val="0563C1" w:themeColor="hyperlink"/>
      <w:u w:val="single"/>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7">
    <w:name w:val="正文文本缩进 字符"/>
    <w:basedOn w:val="a0"/>
    <w:link w:val="a6"/>
    <w:qFormat/>
    <w:rPr>
      <w:rFonts w:ascii="Times New Roman" w:eastAsia="仿宋_GB2312" w:hAnsi="Times New Roman" w:cs="Times New Roman"/>
      <w:sz w:val="28"/>
      <w:szCs w:val="20"/>
    </w:rPr>
  </w:style>
  <w:style w:type="paragraph" w:styleId="af3">
    <w:name w:val="List Paragraph"/>
    <w:basedOn w:val="a"/>
    <w:uiPriority w:val="34"/>
    <w:qFormat/>
    <w:pPr>
      <w:ind w:firstLineChars="200" w:firstLine="420"/>
    </w:p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character" w:styleId="af4">
    <w:name w:val="annotation reference"/>
    <w:basedOn w:val="a0"/>
    <w:uiPriority w:val="99"/>
    <w:semiHidden/>
    <w:unhideWhenUsed/>
    <w:rPr>
      <w:sz w:val="21"/>
      <w:szCs w:val="21"/>
    </w:rPr>
  </w:style>
  <w:style w:type="paragraph" w:styleId="af5">
    <w:name w:val="annotation subject"/>
    <w:basedOn w:val="a4"/>
    <w:next w:val="a4"/>
    <w:link w:val="af6"/>
    <w:uiPriority w:val="99"/>
    <w:semiHidden/>
    <w:unhideWhenUsed/>
    <w:rsid w:val="005A52C6"/>
    <w:rPr>
      <w:b/>
      <w:bCs/>
    </w:rPr>
  </w:style>
  <w:style w:type="character" w:customStyle="1" w:styleId="a5">
    <w:name w:val="批注文字 字符"/>
    <w:basedOn w:val="a0"/>
    <w:link w:val="a4"/>
    <w:uiPriority w:val="99"/>
    <w:semiHidden/>
    <w:rsid w:val="005A52C6"/>
    <w:rPr>
      <w:kern w:val="2"/>
      <w:sz w:val="21"/>
      <w:szCs w:val="24"/>
    </w:rPr>
  </w:style>
  <w:style w:type="character" w:customStyle="1" w:styleId="af6">
    <w:name w:val="批注主题 字符"/>
    <w:basedOn w:val="a5"/>
    <w:link w:val="af5"/>
    <w:uiPriority w:val="99"/>
    <w:semiHidden/>
    <w:rsid w:val="005A52C6"/>
    <w:rPr>
      <w:b/>
      <w:bCs/>
      <w:kern w:val="2"/>
      <w:sz w:val="21"/>
      <w:szCs w:val="24"/>
    </w:rPr>
  </w:style>
  <w:style w:type="paragraph" w:styleId="af7">
    <w:name w:val="Revision"/>
    <w:hidden/>
    <w:uiPriority w:val="99"/>
    <w:unhideWhenUsed/>
    <w:rsid w:val="005A52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3851</Words>
  <Characters>21956</Characters>
  <Application>Microsoft Office Word</Application>
  <DocSecurity>0</DocSecurity>
  <Lines>182</Lines>
  <Paragraphs>51</Paragraphs>
  <ScaleCrop>false</ScaleCrop>
  <Company>Microsoft</Company>
  <LinksUpToDate>false</LinksUpToDate>
  <CharactersWithSpaces>25756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dc:creator>
  <cp:lastModifiedBy>Windows 用户</cp:lastModifiedBy>
  <cp:revision>2</cp:revision>
  <dcterms:created xsi:type="dcterms:W3CDTF">2023-09-07T06:53:00Z</dcterms:created>
  <dcterms:modified xsi:type="dcterms:W3CDTF">2023-09-07T06:53:00Z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8413FA509F6B4AAF89595D32B60FC762_13</vt:lpwstr>
  </property>
</Properties>
</file>