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56" w:rsidRPr="00AE6E56" w:rsidRDefault="00AE6E56" w:rsidP="00975A63">
      <w:pPr>
        <w:spacing w:line="276" w:lineRule="auto"/>
        <w:jc w:val="center"/>
        <w:rPr>
          <w:rFonts w:asciiTheme="minorEastAsia" w:hAnsiTheme="minorEastAsia"/>
          <w:sz w:val="24"/>
          <w:szCs w:val="24"/>
        </w:rPr>
      </w:pPr>
      <w:r w:rsidRPr="00AE6E56">
        <w:rPr>
          <w:rFonts w:asciiTheme="minorEastAsia" w:hAnsiTheme="minorEastAsia" w:hint="eastAsia"/>
          <w:sz w:val="24"/>
          <w:szCs w:val="24"/>
        </w:rPr>
        <w:t>[草</w:t>
      </w:r>
      <w:r w:rsidR="00975A63">
        <w:rPr>
          <w:rFonts w:asciiTheme="minorEastAsia" w:hAnsiTheme="minorEastAsia" w:hint="eastAsia"/>
          <w:sz w:val="24"/>
          <w:szCs w:val="24"/>
        </w:rPr>
        <w:t>案</w:t>
      </w:r>
      <w:r w:rsidRPr="00AE6E56">
        <w:rPr>
          <w:rFonts w:asciiTheme="minorEastAsia" w:hAnsiTheme="minorEastAsia" w:hint="eastAsia"/>
          <w:sz w:val="24"/>
          <w:szCs w:val="24"/>
        </w:rPr>
        <w:t>]</w:t>
      </w:r>
    </w:p>
    <w:p w:rsidR="00AE6E56" w:rsidRPr="00AE6E56" w:rsidRDefault="00AE6E56" w:rsidP="00975A63">
      <w:pPr>
        <w:spacing w:line="276" w:lineRule="auto"/>
        <w:jc w:val="center"/>
        <w:rPr>
          <w:rFonts w:asciiTheme="minorEastAsia" w:hAnsiTheme="minorEastAsia"/>
          <w:sz w:val="24"/>
          <w:szCs w:val="24"/>
        </w:rPr>
      </w:pPr>
    </w:p>
    <w:p w:rsidR="00AE6E56" w:rsidRPr="00694F0B" w:rsidRDefault="00AE6E56" w:rsidP="00975A63">
      <w:pPr>
        <w:spacing w:line="276" w:lineRule="auto"/>
        <w:jc w:val="center"/>
        <w:rPr>
          <w:rFonts w:asciiTheme="minorEastAsia" w:hAnsiTheme="minorEastAsia"/>
          <w:b/>
          <w:sz w:val="32"/>
          <w:szCs w:val="32"/>
        </w:rPr>
      </w:pPr>
      <w:r w:rsidRPr="00694F0B">
        <w:rPr>
          <w:rFonts w:asciiTheme="minorEastAsia" w:hAnsiTheme="minorEastAsia" w:hint="eastAsia"/>
          <w:b/>
          <w:sz w:val="32"/>
          <w:szCs w:val="32"/>
        </w:rPr>
        <w:t>LED体表光动力治疗设备通用技术条件</w:t>
      </w:r>
    </w:p>
    <w:p w:rsidR="00AE6E56" w:rsidRPr="00AE6E56" w:rsidRDefault="00AE6E56" w:rsidP="00975A63">
      <w:pPr>
        <w:spacing w:line="276" w:lineRule="auto"/>
        <w:jc w:val="center"/>
        <w:rPr>
          <w:rFonts w:asciiTheme="minorEastAsia" w:hAnsiTheme="minorEastAsia"/>
          <w:b/>
          <w:sz w:val="24"/>
          <w:szCs w:val="24"/>
        </w:rPr>
      </w:pPr>
    </w:p>
    <w:p w:rsidR="00AE6E56" w:rsidRPr="00AE6E56" w:rsidRDefault="00AE6E56" w:rsidP="00975A63">
      <w:pPr>
        <w:spacing w:line="276" w:lineRule="auto"/>
        <w:jc w:val="center"/>
        <w:rPr>
          <w:rFonts w:asciiTheme="minorEastAsia" w:hAnsiTheme="minorEastAsia"/>
          <w:b/>
          <w:sz w:val="24"/>
          <w:szCs w:val="24"/>
        </w:rPr>
      </w:pPr>
      <w:r w:rsidRPr="00AE6E56">
        <w:rPr>
          <w:rFonts w:asciiTheme="minorEastAsia" w:hAnsiTheme="minorEastAsia"/>
          <w:b/>
          <w:sz w:val="24"/>
          <w:szCs w:val="24"/>
        </w:rPr>
        <w:t>General Specification of LED Instrument for</w:t>
      </w:r>
    </w:p>
    <w:p w:rsidR="00AE6E56" w:rsidRPr="00AE6E56" w:rsidRDefault="00AE6E56" w:rsidP="00975A63">
      <w:pPr>
        <w:spacing w:line="276" w:lineRule="auto"/>
        <w:jc w:val="center"/>
        <w:rPr>
          <w:rFonts w:asciiTheme="minorEastAsia" w:hAnsiTheme="minorEastAsia"/>
          <w:b/>
          <w:sz w:val="24"/>
          <w:szCs w:val="24"/>
        </w:rPr>
      </w:pPr>
      <w:r w:rsidRPr="00AE6E56">
        <w:rPr>
          <w:rFonts w:asciiTheme="minorEastAsia" w:hAnsiTheme="minorEastAsia"/>
          <w:b/>
          <w:sz w:val="24"/>
          <w:szCs w:val="24"/>
        </w:rPr>
        <w:t>Topical Photodynamic Therapy</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sz w:val="24"/>
          <w:szCs w:val="24"/>
        </w:rPr>
        <w:t xml:space="preserve"> </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sz w:val="24"/>
          <w:szCs w:val="24"/>
        </w:rPr>
        <w:br w:type="page"/>
      </w:r>
    </w:p>
    <w:p w:rsidR="00AE6E56" w:rsidRPr="00975A63" w:rsidRDefault="00AE6E56" w:rsidP="00975A63">
      <w:pPr>
        <w:spacing w:line="276" w:lineRule="auto"/>
        <w:jc w:val="center"/>
        <w:rPr>
          <w:rFonts w:asciiTheme="minorEastAsia" w:hAnsiTheme="minorEastAsia"/>
          <w:b/>
          <w:sz w:val="32"/>
          <w:szCs w:val="32"/>
        </w:rPr>
      </w:pPr>
      <w:r w:rsidRPr="00975A63">
        <w:rPr>
          <w:rFonts w:asciiTheme="minorEastAsia" w:hAnsiTheme="minorEastAsia" w:hint="eastAsia"/>
          <w:b/>
          <w:sz w:val="32"/>
          <w:szCs w:val="32"/>
        </w:rPr>
        <w:lastRenderedPageBreak/>
        <w:t>前</w:t>
      </w:r>
      <w:r w:rsidR="00AC1007" w:rsidRPr="00975A63">
        <w:rPr>
          <w:rFonts w:asciiTheme="minorEastAsia" w:hAnsiTheme="minorEastAsia" w:hint="eastAsia"/>
          <w:b/>
          <w:sz w:val="32"/>
          <w:szCs w:val="32"/>
        </w:rPr>
        <w:tab/>
      </w:r>
      <w:r w:rsidRPr="00975A63">
        <w:rPr>
          <w:rFonts w:asciiTheme="minorEastAsia" w:hAnsiTheme="minorEastAsia" w:hint="eastAsia"/>
          <w:b/>
          <w:sz w:val="32"/>
          <w:szCs w:val="32"/>
        </w:rPr>
        <w:t>言</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随着发光二极管（LED）技术的发展和现代医疗需求的增加，基于LED光源的光动力治疗设备已得到广泛的临床应用。本标准是适用于体表光动力治疗使用的</w:t>
      </w:r>
      <w:r w:rsidR="00767C48">
        <w:rPr>
          <w:rFonts w:asciiTheme="minorEastAsia" w:hAnsiTheme="minorEastAsia" w:hint="eastAsia"/>
          <w:sz w:val="24"/>
          <w:szCs w:val="24"/>
        </w:rPr>
        <w:t>可见光谱</w:t>
      </w:r>
      <w:r w:rsidRPr="00AE6E56">
        <w:rPr>
          <w:rFonts w:asciiTheme="minorEastAsia" w:hAnsiTheme="minorEastAsia" w:hint="eastAsia"/>
          <w:sz w:val="24"/>
          <w:szCs w:val="24"/>
        </w:rPr>
        <w:t>LED光源设备的通用技术要求，它规定了该类治疗设备的LED光的术语和定义、基本参数、技术要求、发光控制、检验方法、安全防护等方面的技术要求。</w:t>
      </w:r>
    </w:p>
    <w:p w:rsidR="00AE6E56" w:rsidRPr="00AE6E56" w:rsidRDefault="00AE6E56" w:rsidP="00975A63">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本标准全面贯彻GB 9706.1-2007《医用电器设备 第一部分：安全通用要求》的内容，鉴于</w:t>
      </w:r>
      <w:r w:rsidR="00767C48">
        <w:rPr>
          <w:rFonts w:asciiTheme="minorEastAsia" w:hAnsiTheme="minorEastAsia" w:hint="eastAsia"/>
          <w:sz w:val="24"/>
          <w:szCs w:val="24"/>
        </w:rPr>
        <w:t>有部分</w:t>
      </w:r>
      <w:r w:rsidRPr="00AE6E56">
        <w:rPr>
          <w:rFonts w:asciiTheme="minorEastAsia" w:hAnsiTheme="minorEastAsia" w:hint="eastAsia"/>
          <w:sz w:val="24"/>
          <w:szCs w:val="24"/>
        </w:rPr>
        <w:t>LED光治疗机为</w:t>
      </w:r>
      <w:r>
        <w:rPr>
          <w:rFonts w:asciiTheme="minorEastAsia" w:hAnsiTheme="minorEastAsia" w:hint="eastAsia"/>
          <w:sz w:val="24"/>
          <w:szCs w:val="24"/>
        </w:rPr>
        <w:t>Ⅲ</w:t>
      </w:r>
      <w:r w:rsidRPr="00AE6E56">
        <w:rPr>
          <w:rFonts w:asciiTheme="minorEastAsia" w:hAnsiTheme="minorEastAsia" w:hint="eastAsia"/>
          <w:sz w:val="24"/>
          <w:szCs w:val="24"/>
        </w:rPr>
        <w:t>类危险光源产品，特增加了GB 9706.20-2000《医用电器设备 第2部分：诊断和治疗激光设备专用安全要求》的要求，并将它们列入附录A（规范性附录）中。</w:t>
      </w:r>
    </w:p>
    <w:p w:rsidR="00AE6E56" w:rsidRPr="00AE6E56" w:rsidRDefault="00767C48" w:rsidP="00975A63">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对以疾病</w:t>
      </w:r>
      <w:r w:rsidR="00AE6E56" w:rsidRPr="00AE6E56">
        <w:rPr>
          <w:rFonts w:asciiTheme="minorEastAsia" w:hAnsiTheme="minorEastAsia" w:hint="eastAsia"/>
          <w:sz w:val="24"/>
          <w:szCs w:val="24"/>
        </w:rPr>
        <w:t>治疗</w:t>
      </w:r>
      <w:r>
        <w:rPr>
          <w:rFonts w:asciiTheme="minorEastAsia" w:hAnsiTheme="minorEastAsia" w:hint="eastAsia"/>
          <w:sz w:val="24"/>
          <w:szCs w:val="24"/>
        </w:rPr>
        <w:t>为目的特定</w:t>
      </w:r>
      <w:r w:rsidR="00AE6E56" w:rsidRPr="00AE6E56">
        <w:rPr>
          <w:rFonts w:asciiTheme="minorEastAsia" w:hAnsiTheme="minorEastAsia" w:hint="eastAsia"/>
          <w:sz w:val="24"/>
          <w:szCs w:val="24"/>
        </w:rPr>
        <w:t>颜色和波长的LED光源，在没有专用标准的情况下，本标准可作为其安全要求的一个适用的导则。</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本标准执行了GB 9706.1-2007《医用电器设备 第一部分：安全通用要求》。</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本标准执行了GB 9706.20-2000《医用电器设备 第 2部分：诊断和治疗激光设备安全专用要求》。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本标准执行了GB/T 14710-2009《医用电器设备环境要求及试验方法》。</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本标准的附录A、附录B为规范性附录。</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本文件的某些内容可能涉及专利，本文件的发布机构不承担识别这些专利的责任。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本标准由国家食品药品监督管理局提出。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本标准由全国医用光学和仪器标准化分技术委员会归口。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本标准由福建师范大学医学光电科学与技术教育部重点实验室、武汉亚格光电技术股份有限公司负责起草。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本标准主要起草人：黄正、王敏、张家荣。</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hint="eastAsia"/>
          <w:sz w:val="24"/>
          <w:szCs w:val="24"/>
        </w:rPr>
        <w:t xml:space="preserve"> </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sz w:val="24"/>
          <w:szCs w:val="24"/>
        </w:rPr>
        <w:br w:type="page"/>
      </w:r>
    </w:p>
    <w:p w:rsidR="00AE6E56" w:rsidRPr="00AE6E56" w:rsidRDefault="00AE6E56" w:rsidP="00975A63">
      <w:pPr>
        <w:spacing w:line="276" w:lineRule="auto"/>
        <w:jc w:val="center"/>
        <w:rPr>
          <w:rFonts w:asciiTheme="minorEastAsia" w:hAnsiTheme="minorEastAsia"/>
          <w:b/>
          <w:sz w:val="24"/>
          <w:szCs w:val="24"/>
        </w:rPr>
      </w:pPr>
      <w:r w:rsidRPr="00AE6E56">
        <w:rPr>
          <w:rFonts w:asciiTheme="minorEastAsia" w:hAnsiTheme="minorEastAsia" w:hint="eastAsia"/>
          <w:b/>
          <w:sz w:val="24"/>
          <w:szCs w:val="24"/>
        </w:rPr>
        <w:lastRenderedPageBreak/>
        <w:t>LED体表光动力治疗设备通用技术条件</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sz w:val="24"/>
          <w:szCs w:val="24"/>
        </w:rPr>
      </w:pPr>
      <w:r w:rsidRPr="00AE6E56">
        <w:rPr>
          <w:rFonts w:asciiTheme="minorEastAsia" w:hAnsiTheme="minorEastAsia" w:hint="eastAsia"/>
          <w:b/>
          <w:sz w:val="24"/>
          <w:szCs w:val="24"/>
        </w:rPr>
        <w:t>1   范围</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本标准规定了</w:t>
      </w:r>
      <w:r w:rsidR="00057ADF">
        <w:rPr>
          <w:rFonts w:asciiTheme="minorEastAsia" w:hAnsiTheme="minorEastAsia" w:hint="eastAsia"/>
          <w:sz w:val="24"/>
          <w:szCs w:val="24"/>
        </w:rPr>
        <w:t>可见光谱</w:t>
      </w:r>
      <w:r w:rsidRPr="00AE6E56">
        <w:rPr>
          <w:rFonts w:asciiTheme="minorEastAsia" w:hAnsiTheme="minorEastAsia" w:hint="eastAsia"/>
          <w:sz w:val="24"/>
          <w:szCs w:val="24"/>
        </w:rPr>
        <w:t>LED体表光动力治疗设备通用技术条件（以下简称治疗机）的定义、分类、要求、试验方法、抽样和标志、标签、包装等要求。</w:t>
      </w:r>
    </w:p>
    <w:p w:rsidR="00AE6E56" w:rsidRPr="00AE6E56" w:rsidRDefault="00AE6E56" w:rsidP="00EA42E1">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本标准适用于</w:t>
      </w:r>
      <w:r w:rsidR="00570FEB">
        <w:rPr>
          <w:rFonts w:asciiTheme="minorEastAsia" w:hAnsiTheme="minorEastAsia" w:hint="eastAsia"/>
          <w:sz w:val="24"/>
          <w:szCs w:val="24"/>
        </w:rPr>
        <w:t>峰值</w:t>
      </w:r>
      <w:r w:rsidRPr="00AE6E56">
        <w:rPr>
          <w:rFonts w:asciiTheme="minorEastAsia" w:hAnsiTheme="minorEastAsia" w:hint="eastAsia"/>
          <w:sz w:val="24"/>
          <w:szCs w:val="24"/>
        </w:rPr>
        <w:t>波长</w:t>
      </w:r>
      <w:r w:rsidR="00057ADF">
        <w:rPr>
          <w:rFonts w:asciiTheme="minorEastAsia" w:hAnsiTheme="minorEastAsia" w:hint="eastAsia"/>
          <w:sz w:val="24"/>
          <w:szCs w:val="24"/>
        </w:rPr>
        <w:t xml:space="preserve">在400 </w:t>
      </w:r>
      <w:r w:rsidR="00057ADF">
        <w:rPr>
          <w:rFonts w:asciiTheme="minorEastAsia" w:hAnsiTheme="minorEastAsia"/>
          <w:sz w:val="24"/>
          <w:szCs w:val="24"/>
        </w:rPr>
        <w:t>–</w:t>
      </w:r>
      <w:r w:rsidR="00057ADF">
        <w:rPr>
          <w:rFonts w:asciiTheme="minorEastAsia" w:hAnsiTheme="minorEastAsia" w:hint="eastAsia"/>
          <w:sz w:val="24"/>
          <w:szCs w:val="24"/>
        </w:rPr>
        <w:t xml:space="preserve"> 800 </w:t>
      </w:r>
      <w:r w:rsidRPr="00AE6E56">
        <w:rPr>
          <w:rFonts w:asciiTheme="minorEastAsia" w:hAnsiTheme="minorEastAsia" w:hint="eastAsia"/>
          <w:sz w:val="24"/>
          <w:szCs w:val="24"/>
        </w:rPr>
        <w:t>纳米</w:t>
      </w:r>
      <w:r w:rsidR="00057ADF">
        <w:rPr>
          <w:rFonts w:asciiTheme="minorEastAsia" w:hAnsiTheme="minorEastAsia" w:hint="eastAsia"/>
          <w:sz w:val="24"/>
          <w:szCs w:val="24"/>
        </w:rPr>
        <w:t>之间</w:t>
      </w:r>
      <w:r w:rsidRPr="00AE6E56">
        <w:rPr>
          <w:rFonts w:asciiTheme="minorEastAsia" w:hAnsiTheme="minorEastAsia" w:hint="eastAsia"/>
          <w:sz w:val="24"/>
          <w:szCs w:val="24"/>
        </w:rPr>
        <w:t>的</w:t>
      </w:r>
      <w:r w:rsidR="00570FEB">
        <w:rPr>
          <w:rFonts w:asciiTheme="minorEastAsia" w:hAnsiTheme="minorEastAsia" w:hint="eastAsia"/>
          <w:sz w:val="24"/>
          <w:szCs w:val="24"/>
        </w:rPr>
        <w:t>单色或多色</w:t>
      </w:r>
      <w:r w:rsidRPr="00AE6E56">
        <w:rPr>
          <w:rFonts w:asciiTheme="minorEastAsia" w:hAnsiTheme="minorEastAsia" w:hint="eastAsia"/>
          <w:sz w:val="24"/>
          <w:szCs w:val="24"/>
        </w:rPr>
        <w:t>LED体表光动力治疗设备。该设备主要用于体表病灶（不包括自然腔道）的</w:t>
      </w:r>
      <w:r w:rsidR="00057ADF" w:rsidRPr="00AE6E56">
        <w:rPr>
          <w:rFonts w:asciiTheme="minorEastAsia" w:hAnsiTheme="minorEastAsia" w:hint="eastAsia"/>
          <w:sz w:val="24"/>
          <w:szCs w:val="24"/>
        </w:rPr>
        <w:t>浅表血管性病变</w:t>
      </w:r>
      <w:r w:rsidR="00057ADF">
        <w:rPr>
          <w:rFonts w:asciiTheme="minorEastAsia" w:hAnsiTheme="minorEastAsia" w:hint="eastAsia"/>
          <w:sz w:val="24"/>
          <w:szCs w:val="24"/>
        </w:rPr>
        <w:t>、癌性病变和感染性病变的</w:t>
      </w:r>
      <w:r w:rsidRPr="00AE6E56">
        <w:rPr>
          <w:rFonts w:asciiTheme="minorEastAsia" w:hAnsiTheme="minorEastAsia" w:hint="eastAsia"/>
          <w:sz w:val="24"/>
          <w:szCs w:val="24"/>
        </w:rPr>
        <w:t>光动力治疗。</w:t>
      </w:r>
      <w:r w:rsidR="00EA42E1" w:rsidRPr="00AE6E56">
        <w:rPr>
          <w:rFonts w:asciiTheme="minorEastAsia" w:hAnsiTheme="minorEastAsia" w:hint="eastAsia"/>
          <w:sz w:val="24"/>
          <w:szCs w:val="24"/>
        </w:rPr>
        <w:t>该设备</w:t>
      </w:r>
      <w:r w:rsidR="00570FEB">
        <w:rPr>
          <w:rFonts w:asciiTheme="minorEastAsia" w:hAnsiTheme="minorEastAsia" w:hint="eastAsia"/>
          <w:sz w:val="24"/>
          <w:szCs w:val="24"/>
        </w:rPr>
        <w:t>峰值</w:t>
      </w:r>
      <w:r w:rsidR="00EA42E1" w:rsidRPr="00AE6E56">
        <w:rPr>
          <w:rFonts w:asciiTheme="minorEastAsia" w:hAnsiTheme="minorEastAsia" w:hint="eastAsia"/>
          <w:sz w:val="24"/>
          <w:szCs w:val="24"/>
        </w:rPr>
        <w:t>波长</w:t>
      </w:r>
      <w:r w:rsidR="00EA42E1">
        <w:rPr>
          <w:rFonts w:asciiTheme="minorEastAsia" w:hAnsiTheme="minorEastAsia" w:hint="eastAsia"/>
          <w:sz w:val="24"/>
          <w:szCs w:val="24"/>
        </w:rPr>
        <w:t>与光敏剂药的主要吸收峰相吻合。</w:t>
      </w:r>
      <w:r w:rsidR="00EA42E1" w:rsidRPr="00AE6E56">
        <w:rPr>
          <w:rFonts w:asciiTheme="minorEastAsia" w:hAnsiTheme="minorEastAsia" w:hint="eastAsia"/>
          <w:sz w:val="24"/>
          <w:szCs w:val="24"/>
        </w:rPr>
        <w:t>对于体表光动力治疗使用的其他</w:t>
      </w:r>
      <w:r w:rsidRPr="00AE6E56">
        <w:rPr>
          <w:rFonts w:asciiTheme="minorEastAsia" w:hAnsiTheme="minorEastAsia" w:hint="eastAsia"/>
          <w:sz w:val="24"/>
          <w:szCs w:val="24"/>
        </w:rPr>
        <w:t>非激光设备和激光设备也应参照使用本标准，但不包括激光光源设备的特殊性。</w:t>
      </w:r>
    </w:p>
    <w:p w:rsidR="00AE6E56" w:rsidRPr="00AE6E56" w:rsidRDefault="00EA42E1" w:rsidP="00975A63">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以</w:t>
      </w:r>
      <w:r w:rsidRPr="00AE6E56">
        <w:rPr>
          <w:rFonts w:asciiTheme="minorEastAsia" w:hAnsiTheme="minorEastAsia" w:hint="eastAsia"/>
          <w:sz w:val="24"/>
          <w:szCs w:val="24"/>
        </w:rPr>
        <w:t>体表</w:t>
      </w:r>
      <w:r>
        <w:rPr>
          <w:rFonts w:asciiTheme="minorEastAsia" w:hAnsiTheme="minorEastAsia" w:hint="eastAsia"/>
          <w:sz w:val="24"/>
          <w:szCs w:val="24"/>
        </w:rPr>
        <w:t>病灶治疗为目的的</w:t>
      </w:r>
      <w:r w:rsidR="00AE6E56" w:rsidRPr="00AE6E56">
        <w:rPr>
          <w:rFonts w:asciiTheme="minorEastAsia" w:hAnsiTheme="minorEastAsia" w:hint="eastAsia"/>
          <w:sz w:val="24"/>
          <w:szCs w:val="24"/>
        </w:rPr>
        <w:t>其它颜色和波长的LED光源，在没有专用标准的情况下，本标准可作为其安全要求的一个适用的导则，但不包括该光源设备的特殊性。</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sz w:val="24"/>
          <w:szCs w:val="24"/>
        </w:rPr>
      </w:pPr>
      <w:r w:rsidRPr="00AE6E56">
        <w:rPr>
          <w:rFonts w:asciiTheme="minorEastAsia" w:hAnsiTheme="minorEastAsia" w:hint="eastAsia"/>
          <w:b/>
          <w:sz w:val="24"/>
          <w:szCs w:val="24"/>
        </w:rPr>
        <w:t>2   规范性引用文件</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下列文件中的条款通过本标准的引用而成为本标准的条款。凡是注明日期的引用文件，其随后所有的修改单（不包括勘误的内容）或修订版均不适用于本标准，然而，鼓励根据本标准达成协议的各方研究是否可使用这些文件的最新版本。凡是未注明日期的引用文件，其最新版本适用于本标准。</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GB/T 191-2008       包装储运图示标志</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GB 9706.1-2007      医用电气设备 第一部分：安全通用要求</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GB 9706.15-2008 </w:t>
      </w:r>
      <w:r w:rsidRPr="00AE6E56">
        <w:rPr>
          <w:rFonts w:asciiTheme="minorEastAsia" w:hAnsiTheme="minorEastAsia" w:hint="eastAsia"/>
          <w:sz w:val="24"/>
          <w:szCs w:val="24"/>
        </w:rPr>
        <w:tab/>
        <w:t xml:space="preserve">医用电气设备 第1-1部分：安全通用要求 并列标准：医用电气系统安全要求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GB/T 14710-2009 </w:t>
      </w:r>
      <w:r w:rsidRPr="00AE6E56">
        <w:rPr>
          <w:rFonts w:asciiTheme="minorEastAsia" w:hAnsiTheme="minorEastAsia" w:hint="eastAsia"/>
          <w:sz w:val="24"/>
          <w:szCs w:val="24"/>
        </w:rPr>
        <w:tab/>
        <w:t>医用电器设备环境要求及试验方法</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GB/T 20145-2006 </w:t>
      </w:r>
      <w:r w:rsidRPr="00AE6E56">
        <w:rPr>
          <w:rFonts w:asciiTheme="minorEastAsia" w:hAnsiTheme="minorEastAsia" w:hint="eastAsia"/>
          <w:sz w:val="24"/>
          <w:szCs w:val="24"/>
        </w:rPr>
        <w:tab/>
        <w:t>灯和灯系统的光生物安全性</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GB 7247.1-2012 </w:t>
      </w:r>
      <w:r>
        <w:rPr>
          <w:rFonts w:asciiTheme="minorEastAsia" w:hAnsiTheme="minorEastAsia"/>
          <w:sz w:val="24"/>
          <w:szCs w:val="24"/>
        </w:rPr>
        <w:t xml:space="preserve">    </w:t>
      </w:r>
      <w:r w:rsidRPr="00AE6E56">
        <w:rPr>
          <w:rFonts w:asciiTheme="minorEastAsia" w:hAnsiTheme="minorEastAsia" w:hint="eastAsia"/>
          <w:sz w:val="24"/>
          <w:szCs w:val="24"/>
        </w:rPr>
        <w:t xml:space="preserve">《激光产品的安全 第 1部分：设备分类 、要求和用户指南》 </w:t>
      </w:r>
    </w:p>
    <w:p w:rsidR="00627B79"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YY/T 1534-2017</w:t>
      </w:r>
      <w:r w:rsidRPr="00AE6E56">
        <w:rPr>
          <w:rFonts w:asciiTheme="minorEastAsia" w:hAnsiTheme="minorEastAsia" w:hint="eastAsia"/>
          <w:sz w:val="24"/>
          <w:szCs w:val="24"/>
        </w:rPr>
        <w:tab/>
        <w:t>医用LED设备光辐射安全分类的检测方法</w:t>
      </w:r>
    </w:p>
    <w:p w:rsidR="00AE6E56" w:rsidRPr="00AE6E56" w:rsidRDefault="00627B79" w:rsidP="00975A63">
      <w:pPr>
        <w:spacing w:line="276" w:lineRule="auto"/>
        <w:ind w:firstLineChars="200" w:firstLine="480"/>
        <w:rPr>
          <w:rFonts w:asciiTheme="minorEastAsia" w:hAnsiTheme="minorEastAsia"/>
          <w:sz w:val="24"/>
          <w:szCs w:val="24"/>
        </w:rPr>
      </w:pPr>
      <w:r w:rsidRPr="00627B79">
        <w:rPr>
          <w:rFonts w:asciiTheme="minorEastAsia" w:hAnsiTheme="minorEastAsia"/>
          <w:sz w:val="24"/>
          <w:szCs w:val="24"/>
        </w:rPr>
        <w:lastRenderedPageBreak/>
        <w:t>YY/T 0316-2008</w:t>
      </w:r>
      <w:r>
        <w:rPr>
          <w:rFonts w:asciiTheme="minorEastAsia" w:hAnsiTheme="minorEastAsia"/>
          <w:sz w:val="24"/>
          <w:szCs w:val="24"/>
        </w:rPr>
        <w:tab/>
      </w:r>
      <w:r w:rsidRPr="00627B79">
        <w:rPr>
          <w:rFonts w:asciiTheme="minorEastAsia" w:hAnsiTheme="minorEastAsia"/>
          <w:sz w:val="24"/>
          <w:szCs w:val="24"/>
        </w:rPr>
        <w:t>医疗器械</w:t>
      </w:r>
      <w:r w:rsidR="0056404C">
        <w:rPr>
          <w:rFonts w:asciiTheme="minorEastAsia" w:hAnsiTheme="minorEastAsia" w:hint="eastAsia"/>
          <w:sz w:val="24"/>
          <w:szCs w:val="24"/>
        </w:rPr>
        <w:t xml:space="preserve"> </w:t>
      </w:r>
      <w:r w:rsidRPr="00627B79">
        <w:rPr>
          <w:rFonts w:asciiTheme="minorEastAsia" w:hAnsiTheme="minorEastAsia"/>
          <w:sz w:val="24"/>
          <w:szCs w:val="24"/>
        </w:rPr>
        <w:t>风险管理对医疗器械的应用</w:t>
      </w:r>
      <w:r w:rsidR="00AE6E56" w:rsidRPr="00AE6E56">
        <w:rPr>
          <w:rFonts w:asciiTheme="minorEastAsia" w:hAnsiTheme="minorEastAsia" w:hint="eastAsia"/>
          <w:sz w:val="24"/>
          <w:szCs w:val="24"/>
        </w:rPr>
        <w:t xml:space="preserve">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YY/T 0466.1-2016    医疗器械用于医疗器械标签、标记和提供信息的符号 第1部分：通用要求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YY 0505-2012 </w:t>
      </w:r>
      <w:r w:rsidRPr="00AE6E56">
        <w:rPr>
          <w:rFonts w:asciiTheme="minorEastAsia" w:hAnsiTheme="minorEastAsia" w:hint="eastAsia"/>
          <w:sz w:val="24"/>
          <w:szCs w:val="24"/>
        </w:rPr>
        <w:tab/>
      </w:r>
      <w:r>
        <w:rPr>
          <w:rFonts w:asciiTheme="minorEastAsia" w:hAnsiTheme="minorEastAsia"/>
          <w:sz w:val="24"/>
          <w:szCs w:val="24"/>
        </w:rPr>
        <w:t xml:space="preserve">   </w:t>
      </w:r>
      <w:r w:rsidR="008928DA">
        <w:rPr>
          <w:rFonts w:asciiTheme="minorEastAsia" w:hAnsiTheme="minorEastAsia" w:hint="eastAsia"/>
          <w:sz w:val="24"/>
          <w:szCs w:val="24"/>
        </w:rPr>
        <w:t xml:space="preserve">   </w:t>
      </w:r>
      <w:r w:rsidRPr="00AE6E56">
        <w:rPr>
          <w:rFonts w:asciiTheme="minorEastAsia" w:hAnsiTheme="minorEastAsia" w:hint="eastAsia"/>
          <w:sz w:val="24"/>
          <w:szCs w:val="24"/>
        </w:rPr>
        <w:t>医用电气设备 第1-2部分：安全通用要求 并列标准： 电磁兼容 要求和试验</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YY/T 1146-2016</w:t>
      </w:r>
      <w:r w:rsidRPr="00AE6E56">
        <w:rPr>
          <w:rFonts w:asciiTheme="minorEastAsia" w:hAnsiTheme="minorEastAsia" w:hint="eastAsia"/>
          <w:sz w:val="24"/>
          <w:szCs w:val="24"/>
        </w:rPr>
        <w:tab/>
        <w:t>医用光学仪器照度测试方法</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 xml:space="preserve">YY/T 1496-2016 </w:t>
      </w:r>
      <w:r w:rsidRPr="00AE6E56">
        <w:rPr>
          <w:rFonts w:asciiTheme="minorEastAsia" w:hAnsiTheme="minorEastAsia" w:hint="eastAsia"/>
          <w:sz w:val="24"/>
          <w:szCs w:val="24"/>
        </w:rPr>
        <w:tab/>
        <w:t>红光治疗设备</w:t>
      </w:r>
    </w:p>
    <w:p w:rsid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YY 0845-2011</w:t>
      </w:r>
      <w:r w:rsidRPr="00AE6E56">
        <w:rPr>
          <w:rFonts w:asciiTheme="minorEastAsia" w:hAnsiTheme="minorEastAsia" w:hint="eastAsia"/>
          <w:sz w:val="24"/>
          <w:szCs w:val="24"/>
        </w:rPr>
        <w:tab/>
        <w:t xml:space="preserve">   </w:t>
      </w:r>
      <w:r w:rsidR="008928DA">
        <w:rPr>
          <w:rFonts w:asciiTheme="minorEastAsia" w:hAnsiTheme="minorEastAsia" w:hint="eastAsia"/>
          <w:sz w:val="24"/>
          <w:szCs w:val="24"/>
        </w:rPr>
        <w:tab/>
      </w:r>
      <w:r w:rsidRPr="00AE6E56">
        <w:rPr>
          <w:rFonts w:asciiTheme="minorEastAsia" w:hAnsiTheme="minorEastAsia" w:hint="eastAsia"/>
          <w:sz w:val="24"/>
          <w:szCs w:val="24"/>
        </w:rPr>
        <w:t>激光治疗设备</w:t>
      </w:r>
      <w:r w:rsidR="00B24668">
        <w:rPr>
          <w:rFonts w:asciiTheme="minorEastAsia" w:hAnsiTheme="minorEastAsia" w:hint="eastAsia"/>
          <w:sz w:val="24"/>
          <w:szCs w:val="24"/>
        </w:rPr>
        <w:t xml:space="preserve"> </w:t>
      </w:r>
      <w:r w:rsidRPr="00AE6E56">
        <w:rPr>
          <w:rFonts w:asciiTheme="minorEastAsia" w:hAnsiTheme="minorEastAsia" w:hint="eastAsia"/>
          <w:sz w:val="24"/>
          <w:szCs w:val="24"/>
        </w:rPr>
        <w:t>半导体激光光动力治疗机</w:t>
      </w:r>
    </w:p>
    <w:p w:rsidR="00EA42E1" w:rsidRPr="00AE6E56" w:rsidRDefault="00EA42E1" w:rsidP="00975A63">
      <w:pPr>
        <w:spacing w:line="276" w:lineRule="auto"/>
        <w:ind w:firstLine="480"/>
        <w:rPr>
          <w:rFonts w:asciiTheme="minorEastAsia" w:hAnsiTheme="minorEastAsia"/>
          <w:sz w:val="24"/>
          <w:szCs w:val="24"/>
        </w:rPr>
      </w:pPr>
      <w:r w:rsidRPr="00EA42E1">
        <w:rPr>
          <w:rFonts w:asciiTheme="minorEastAsia" w:hAnsiTheme="minorEastAsia" w:hint="eastAsia"/>
          <w:sz w:val="24"/>
          <w:szCs w:val="24"/>
        </w:rPr>
        <w:t xml:space="preserve">YY 0669-2008 </w:t>
      </w:r>
      <w:r>
        <w:rPr>
          <w:rFonts w:asciiTheme="minorEastAsia" w:hAnsiTheme="minorEastAsia" w:hint="eastAsia"/>
          <w:sz w:val="24"/>
          <w:szCs w:val="24"/>
        </w:rPr>
        <w:tab/>
      </w:r>
      <w:r>
        <w:rPr>
          <w:rFonts w:asciiTheme="minorEastAsia" w:hAnsiTheme="minorEastAsia" w:hint="eastAsia"/>
          <w:sz w:val="24"/>
          <w:szCs w:val="24"/>
        </w:rPr>
        <w:tab/>
      </w:r>
      <w:r w:rsidRPr="00EA42E1">
        <w:rPr>
          <w:rFonts w:asciiTheme="minorEastAsia" w:hAnsiTheme="minorEastAsia" w:hint="eastAsia"/>
          <w:sz w:val="24"/>
          <w:szCs w:val="24"/>
        </w:rPr>
        <w:t>医用电气设备 第2部分：婴儿光治疗设备安全专用要求</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 xml:space="preserve">YY/T 0193-1994  </w:t>
      </w:r>
      <w:r w:rsidR="008928DA">
        <w:rPr>
          <w:rFonts w:asciiTheme="minorEastAsia" w:hAnsiTheme="minorEastAsia" w:hint="eastAsia"/>
          <w:sz w:val="24"/>
          <w:szCs w:val="24"/>
        </w:rPr>
        <w:t xml:space="preserve"> </w:t>
      </w:r>
      <w:r w:rsidRPr="00AE6E56">
        <w:rPr>
          <w:rFonts w:asciiTheme="minorEastAsia" w:hAnsiTheme="minorEastAsia" w:hint="eastAsia"/>
          <w:sz w:val="24"/>
          <w:szCs w:val="24"/>
        </w:rPr>
        <w:t xml:space="preserve">   医疗器械铝制件阳极氧化膜技术条件</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 xml:space="preserve">YY 0076-1992  </w:t>
      </w:r>
      <w:r w:rsidR="008928DA">
        <w:rPr>
          <w:rFonts w:asciiTheme="minorEastAsia" w:hAnsiTheme="minorEastAsia" w:hint="eastAsia"/>
          <w:sz w:val="24"/>
          <w:szCs w:val="24"/>
        </w:rPr>
        <w:t xml:space="preserve">   </w:t>
      </w:r>
      <w:r w:rsidRPr="00AE6E56">
        <w:rPr>
          <w:rFonts w:asciiTheme="minorEastAsia" w:hAnsiTheme="minorEastAsia" w:hint="eastAsia"/>
          <w:sz w:val="24"/>
          <w:szCs w:val="24"/>
        </w:rPr>
        <w:t xml:space="preserve">   金属制件的镀层分类、技术条件</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 xml:space="preserve">YY 91055-1999   </w:t>
      </w:r>
      <w:r w:rsidRPr="00AE6E56">
        <w:rPr>
          <w:rFonts w:asciiTheme="minorEastAsia" w:hAnsiTheme="minorEastAsia" w:hint="eastAsia"/>
          <w:sz w:val="24"/>
          <w:szCs w:val="24"/>
        </w:rPr>
        <w:tab/>
        <w:t>医疗器械的油漆涂层分类、技术条件</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sz w:val="24"/>
          <w:szCs w:val="24"/>
        </w:rPr>
      </w:pPr>
      <w:r w:rsidRPr="00AE6E56">
        <w:rPr>
          <w:rFonts w:asciiTheme="minorEastAsia" w:hAnsiTheme="minorEastAsia" w:hint="eastAsia"/>
          <w:b/>
          <w:sz w:val="24"/>
          <w:szCs w:val="24"/>
        </w:rPr>
        <w:t>3   术语和定义</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下列术语和定义适用于本标准。</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除下列条款外，</w:t>
      </w:r>
      <w:r>
        <w:rPr>
          <w:rFonts w:asciiTheme="minorEastAsia" w:hAnsiTheme="minorEastAsia" w:hint="eastAsia"/>
          <w:sz w:val="24"/>
          <w:szCs w:val="24"/>
        </w:rPr>
        <w:t>GB 7247.1-2012</w:t>
      </w:r>
      <w:r w:rsidRPr="00AE6E56">
        <w:rPr>
          <w:rFonts w:asciiTheme="minorEastAsia" w:hAnsiTheme="minorEastAsia" w:hint="eastAsia"/>
          <w:sz w:val="24"/>
          <w:szCs w:val="24"/>
        </w:rPr>
        <w:t>第3章适用。</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   定义</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3.1.1  光动力疗法</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基于光敏剂、氧分子介导和联合辐照</w:t>
      </w:r>
      <w:r>
        <w:rPr>
          <w:rFonts w:asciiTheme="minorEastAsia" w:hAnsiTheme="minorEastAsia" w:hint="eastAsia"/>
          <w:sz w:val="24"/>
          <w:szCs w:val="24"/>
        </w:rPr>
        <w:t>产生</w:t>
      </w:r>
      <w:r w:rsidRPr="00AE6E56">
        <w:rPr>
          <w:rFonts w:asciiTheme="minorEastAsia" w:hAnsiTheme="minorEastAsia" w:hint="eastAsia"/>
          <w:sz w:val="24"/>
          <w:szCs w:val="24"/>
        </w:rPr>
        <w:t>的光动力作用的一种治疗技术。</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3.1.2  LED体表光动力治疗设备</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在医疗监督下的预期联合光敏剂使用的</w:t>
      </w:r>
      <w:r w:rsidR="00570FEB">
        <w:rPr>
          <w:rFonts w:asciiTheme="minorEastAsia" w:hAnsiTheme="minorEastAsia" w:hint="eastAsia"/>
          <w:sz w:val="24"/>
          <w:szCs w:val="24"/>
        </w:rPr>
        <w:t>单色或多色</w:t>
      </w:r>
      <w:r w:rsidR="00EA42E1">
        <w:rPr>
          <w:rFonts w:asciiTheme="minorEastAsia" w:hAnsiTheme="minorEastAsia" w:hint="eastAsia"/>
          <w:sz w:val="24"/>
          <w:szCs w:val="24"/>
        </w:rPr>
        <w:t>窄带可见光谱</w:t>
      </w:r>
      <w:r w:rsidRPr="00AE6E56">
        <w:rPr>
          <w:rFonts w:asciiTheme="minorEastAsia" w:hAnsiTheme="minorEastAsia" w:hint="eastAsia"/>
          <w:sz w:val="24"/>
          <w:szCs w:val="24"/>
        </w:rPr>
        <w:t>LED光对患者体表（不包括自然腔道）病灶进行光动力疗法治疗的医用电气设备。</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3.1.3  辐照器有效辐照面</w:t>
      </w:r>
    </w:p>
    <w:p w:rsidR="00AE6E56" w:rsidRPr="00AE6E56" w:rsidRDefault="00AE6E56" w:rsidP="00975A63">
      <w:pPr>
        <w:spacing w:line="276" w:lineRule="auto"/>
        <w:ind w:firstLineChars="200" w:firstLine="480"/>
        <w:rPr>
          <w:rFonts w:asciiTheme="minorEastAsia" w:hAnsiTheme="minorEastAsia"/>
          <w:b/>
          <w:sz w:val="24"/>
          <w:szCs w:val="24"/>
        </w:rPr>
      </w:pPr>
      <w:r w:rsidRPr="00AE6E56">
        <w:rPr>
          <w:rFonts w:asciiTheme="minorEastAsia" w:hAnsiTheme="minorEastAsia" w:hint="eastAsia"/>
          <w:sz w:val="24"/>
          <w:szCs w:val="24"/>
        </w:rPr>
        <w:lastRenderedPageBreak/>
        <w:t>制造商设定的最大辐照面，包括可治疗表面的最大治疗面积与形状及其相关的辐照距离、辐照角度的信息。</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3.1.4  有效辐照面温度传感器</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一种信号传感装置（包括与设备的连接部分），用作监测有效辐照面内的皮肤温度。</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3.1.5  辐照度</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辐照面内单位面元上的</w:t>
      </w:r>
      <w:r w:rsidR="00570FEB">
        <w:rPr>
          <w:rFonts w:asciiTheme="minorEastAsia" w:hAnsiTheme="minorEastAsia" w:hint="eastAsia"/>
          <w:sz w:val="24"/>
          <w:szCs w:val="24"/>
        </w:rPr>
        <w:t>各个峰值波长的</w:t>
      </w:r>
      <w:r w:rsidRPr="00AE6E56">
        <w:rPr>
          <w:rFonts w:asciiTheme="minorEastAsia" w:hAnsiTheme="minorEastAsia" w:hint="eastAsia"/>
          <w:sz w:val="24"/>
          <w:szCs w:val="24"/>
        </w:rPr>
        <w:t>LED光辐照度。</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3.1.6  辐照面中心辐照度</w:t>
      </w:r>
    </w:p>
    <w:p w:rsidR="00AE6E56" w:rsidRPr="00AE6E56" w:rsidRDefault="00AE6E56" w:rsidP="00975A63">
      <w:pPr>
        <w:spacing w:line="276" w:lineRule="auto"/>
        <w:ind w:firstLineChars="200" w:firstLine="480"/>
        <w:rPr>
          <w:rFonts w:asciiTheme="minorEastAsia" w:hAnsiTheme="minorEastAsia"/>
          <w:b/>
          <w:sz w:val="24"/>
          <w:szCs w:val="24"/>
        </w:rPr>
      </w:pPr>
      <w:r w:rsidRPr="00AE6E56">
        <w:rPr>
          <w:rFonts w:asciiTheme="minorEastAsia" w:hAnsiTheme="minorEastAsia" w:hint="eastAsia"/>
          <w:sz w:val="24"/>
          <w:szCs w:val="24"/>
        </w:rPr>
        <w:t>辐照面几何中心的</w:t>
      </w:r>
      <w:r w:rsidR="00570FEB">
        <w:rPr>
          <w:rFonts w:asciiTheme="minorEastAsia" w:hAnsiTheme="minorEastAsia" w:hint="eastAsia"/>
          <w:sz w:val="24"/>
          <w:szCs w:val="24"/>
        </w:rPr>
        <w:t>各个峰值波长的</w:t>
      </w:r>
      <w:r w:rsidRPr="00AE6E56">
        <w:rPr>
          <w:rFonts w:asciiTheme="minorEastAsia" w:hAnsiTheme="minorEastAsia" w:hint="eastAsia"/>
          <w:sz w:val="24"/>
          <w:szCs w:val="24"/>
        </w:rPr>
        <w:t>LED光辐照度。</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3.1.7  辐照度均匀性</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有效辐照边缘辐照度与辐照中心辐照度的比值。</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3.1.8  辐照度稳定性</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预期最长辐照治疗时间内辐照面中心辐照度最小值和最大值的比值。</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3.1.9  辐照度复现性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改变某一工作条件，然后再回到原始工作条件时辐照度回复原值的能力。</w:t>
      </w:r>
    </w:p>
    <w:p w:rsidR="00AE6E56" w:rsidRPr="00AE6E56" w:rsidRDefault="00AE6E56" w:rsidP="00975A63">
      <w:pPr>
        <w:spacing w:line="276" w:lineRule="auto"/>
        <w:rPr>
          <w:rFonts w:asciiTheme="minorEastAsia" w:hAnsiTheme="minorEastAsia"/>
          <w:i/>
          <w:sz w:val="24"/>
          <w:szCs w:val="24"/>
        </w:rPr>
      </w:pPr>
      <w:r w:rsidRPr="00AE6E56">
        <w:rPr>
          <w:rFonts w:asciiTheme="minorEastAsia" w:hAnsiTheme="minorEastAsia" w:hint="eastAsia"/>
          <w:b/>
          <w:bCs/>
          <w:sz w:val="24"/>
          <w:szCs w:val="24"/>
        </w:rPr>
        <w:t xml:space="preserve">3.2 </w:t>
      </w:r>
      <w:r w:rsidRPr="00AE6E56">
        <w:rPr>
          <w:rFonts w:asciiTheme="minorEastAsia" w:hAnsiTheme="minorEastAsia" w:hint="eastAsia"/>
          <w:b/>
          <w:bCs/>
          <w:sz w:val="24"/>
          <w:szCs w:val="24"/>
        </w:rPr>
        <w:tab/>
        <w:t>符号</w:t>
      </w:r>
    </w:p>
    <w:p w:rsidR="00AE6E56" w:rsidRPr="00AE6E56" w:rsidRDefault="008928DA" w:rsidP="00975A63">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 xml:space="preserve">a) </w:t>
      </w:r>
      <w:r w:rsidR="00AE6E56" w:rsidRPr="00975A63">
        <w:rPr>
          <w:rFonts w:asciiTheme="minorEastAsia" w:hAnsiTheme="minorEastAsia" w:hint="eastAsia"/>
          <w:i/>
          <w:sz w:val="24"/>
          <w:szCs w:val="24"/>
        </w:rPr>
        <w:t>E</w:t>
      </w:r>
      <w:r w:rsidR="00AE6E56" w:rsidRPr="00975A63">
        <w:rPr>
          <w:rFonts w:asciiTheme="minorEastAsia" w:hAnsiTheme="minorEastAsia" w:hint="eastAsia"/>
          <w:i/>
          <w:sz w:val="24"/>
          <w:szCs w:val="24"/>
          <w:vertAlign w:val="subscript"/>
        </w:rPr>
        <w:t>i</w:t>
      </w:r>
      <w:r w:rsidR="00AE6E56" w:rsidRPr="00AE6E56">
        <w:rPr>
          <w:rFonts w:asciiTheme="minorEastAsia" w:hAnsiTheme="minorEastAsia" w:hint="eastAsia"/>
          <w:sz w:val="24"/>
          <w:szCs w:val="24"/>
        </w:rPr>
        <w:t>是探头置于光斑中心处（示值回零后）记录一次功率值；</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b) </w:t>
      </w:r>
      <w:r w:rsidR="00AE6E56" w:rsidRPr="00975A63">
        <w:rPr>
          <w:rFonts w:asciiTheme="minorEastAsia" w:hAnsiTheme="minorEastAsia" w:hint="eastAsia"/>
          <w:i/>
          <w:sz w:val="24"/>
          <w:szCs w:val="24"/>
        </w:rPr>
        <w:t>E</w:t>
      </w:r>
      <w:r w:rsidR="00AE6E56" w:rsidRPr="00975A63">
        <w:rPr>
          <w:rFonts w:asciiTheme="minorEastAsia" w:hAnsiTheme="minorEastAsia" w:hint="eastAsia"/>
          <w:i/>
          <w:sz w:val="24"/>
          <w:szCs w:val="24"/>
          <w:vertAlign w:val="subscript"/>
        </w:rPr>
        <w:t>m</w:t>
      </w:r>
      <w:r w:rsidR="00AE6E56" w:rsidRPr="00AE6E56">
        <w:rPr>
          <w:rFonts w:asciiTheme="minorEastAsia" w:hAnsiTheme="minorEastAsia" w:hint="eastAsia"/>
          <w:sz w:val="24"/>
          <w:szCs w:val="24"/>
        </w:rPr>
        <w:t>是额定辐照度的平均值；</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c) </w:t>
      </w:r>
      <w:r w:rsidR="00AE6E56" w:rsidRPr="00975A63">
        <w:rPr>
          <w:rFonts w:asciiTheme="minorEastAsia" w:hAnsiTheme="minorEastAsia" w:hint="eastAsia"/>
          <w:i/>
          <w:sz w:val="24"/>
          <w:szCs w:val="24"/>
        </w:rPr>
        <w:t>E</w:t>
      </w:r>
      <w:r w:rsidR="00AE6E56" w:rsidRPr="00975A63">
        <w:rPr>
          <w:rFonts w:asciiTheme="minorEastAsia" w:hAnsiTheme="minorEastAsia" w:hint="eastAsia"/>
          <w:i/>
          <w:sz w:val="24"/>
          <w:szCs w:val="24"/>
          <w:vertAlign w:val="subscript"/>
        </w:rPr>
        <w:t>p</w:t>
      </w:r>
      <w:r w:rsidR="00AE6E56" w:rsidRPr="00AE6E56">
        <w:rPr>
          <w:rFonts w:asciiTheme="minorEastAsia" w:hAnsiTheme="minorEastAsia" w:hint="eastAsia"/>
          <w:sz w:val="24"/>
          <w:szCs w:val="24"/>
        </w:rPr>
        <w:t>是辐照度复现性；</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d) </w:t>
      </w:r>
      <w:r w:rsidR="00AE6E56" w:rsidRPr="00975A63">
        <w:rPr>
          <w:rFonts w:asciiTheme="minorEastAsia" w:hAnsiTheme="minorEastAsia" w:hint="eastAsia"/>
          <w:i/>
          <w:sz w:val="24"/>
          <w:szCs w:val="24"/>
        </w:rPr>
        <w:t>△E</w:t>
      </w:r>
      <w:r w:rsidR="00AE6E56" w:rsidRPr="00AE6E56">
        <w:rPr>
          <w:rFonts w:asciiTheme="minorEastAsia" w:hAnsiTheme="minorEastAsia" w:hint="eastAsia"/>
          <w:sz w:val="24"/>
          <w:szCs w:val="24"/>
        </w:rPr>
        <w:t>是额定辐照不稳定度；</w:t>
      </w:r>
    </w:p>
    <w:p w:rsidR="00AE6E56" w:rsidRPr="00AE6E56" w:rsidRDefault="008928DA" w:rsidP="00975A63">
      <w:pPr>
        <w:spacing w:line="276" w:lineRule="auto"/>
        <w:ind w:firstLine="480"/>
        <w:rPr>
          <w:rFonts w:asciiTheme="minorEastAsia" w:hAnsiTheme="minorEastAsia"/>
          <w:sz w:val="24"/>
          <w:szCs w:val="24"/>
        </w:rPr>
      </w:pPr>
      <w:r>
        <w:rPr>
          <w:rFonts w:ascii="Times New Roman" w:hAnsi="Times New Roman" w:cs="Times New Roman" w:hint="eastAsia"/>
          <w:sz w:val="24"/>
          <w:szCs w:val="24"/>
        </w:rPr>
        <w:t xml:space="preserve">e) </w:t>
      </w:r>
      <w:r w:rsidRPr="00975A63">
        <w:rPr>
          <w:rFonts w:ascii="Times New Roman" w:hAnsi="Times New Roman" w:cs="Times New Roman" w:hint="eastAsia"/>
          <w:i/>
          <w:sz w:val="24"/>
          <w:szCs w:val="24"/>
        </w:rPr>
        <w:t xml:space="preserve"> </w:t>
      </w:r>
      <w:r w:rsidR="00AE6E56" w:rsidRPr="00975A63">
        <w:rPr>
          <w:rFonts w:ascii="Times New Roman" w:hAnsi="Times New Roman" w:cs="Times New Roman"/>
          <w:i/>
          <w:sz w:val="24"/>
          <w:szCs w:val="24"/>
        </w:rPr>
        <w:t>ƞ</w:t>
      </w:r>
      <w:r w:rsidR="00AE6E56" w:rsidRPr="00AE6E56">
        <w:rPr>
          <w:rFonts w:asciiTheme="minorEastAsia" w:hAnsiTheme="minorEastAsia" w:hint="eastAsia"/>
          <w:sz w:val="24"/>
          <w:szCs w:val="24"/>
        </w:rPr>
        <w:t xml:space="preserve">（%）是辐照均匀性；     </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f) </w:t>
      </w:r>
      <w:r w:rsidR="00AE6E56" w:rsidRPr="00975A63">
        <w:rPr>
          <w:rFonts w:asciiTheme="minorEastAsia" w:hAnsiTheme="minorEastAsia" w:hint="eastAsia"/>
          <w:i/>
          <w:sz w:val="24"/>
          <w:szCs w:val="24"/>
        </w:rPr>
        <w:t>n</w:t>
      </w:r>
      <w:r w:rsidR="00AE6E56" w:rsidRPr="00AE6E56">
        <w:rPr>
          <w:rFonts w:asciiTheme="minorEastAsia" w:hAnsiTheme="minorEastAsia" w:hint="eastAsia"/>
          <w:sz w:val="24"/>
          <w:szCs w:val="24"/>
        </w:rPr>
        <w:t>是测量次数。</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   分类与基本参数</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4.1  LED产品光辐射安全分类</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按 GBT 20145-2006灯和灯系统的光生物安全性中6分类为3类危险产品。</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4.2  医用电气设备安全分类</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按GB 9706.1-2007中14分类为</w:t>
      </w:r>
      <w:r>
        <w:rPr>
          <w:rFonts w:asciiTheme="minorEastAsia" w:hAnsiTheme="minorEastAsia" w:hint="eastAsia"/>
          <w:sz w:val="24"/>
          <w:szCs w:val="24"/>
        </w:rPr>
        <w:t>Ⅰ</w:t>
      </w:r>
      <w:r w:rsidRPr="00AE6E56">
        <w:rPr>
          <w:rFonts w:asciiTheme="minorEastAsia" w:hAnsiTheme="minorEastAsia" w:hint="eastAsia"/>
          <w:sz w:val="24"/>
          <w:szCs w:val="24"/>
        </w:rPr>
        <w:t>类或</w:t>
      </w:r>
      <w:r>
        <w:rPr>
          <w:rFonts w:asciiTheme="minorEastAsia" w:hAnsiTheme="minorEastAsia" w:hint="eastAsia"/>
          <w:sz w:val="24"/>
          <w:szCs w:val="24"/>
        </w:rPr>
        <w:t>Ⅱ</w:t>
      </w:r>
      <w:r w:rsidRPr="00AE6E56">
        <w:rPr>
          <w:rFonts w:asciiTheme="minorEastAsia" w:hAnsiTheme="minorEastAsia" w:hint="eastAsia"/>
          <w:sz w:val="24"/>
          <w:szCs w:val="24"/>
        </w:rPr>
        <w:t>类，B型或BF型设备，无通用要求。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4.3  型号命名</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由制造商确定。</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4.4  规格</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制造商根据</w:t>
      </w:r>
      <w:r w:rsidR="00570FEB">
        <w:rPr>
          <w:rFonts w:asciiTheme="minorEastAsia" w:hAnsiTheme="minorEastAsia" w:hint="eastAsia"/>
          <w:sz w:val="24"/>
          <w:szCs w:val="24"/>
        </w:rPr>
        <w:t>LED波长或颜色、</w:t>
      </w:r>
      <w:r w:rsidRPr="00AE6E56">
        <w:rPr>
          <w:rFonts w:asciiTheme="minorEastAsia" w:hAnsiTheme="minorEastAsia" w:hint="eastAsia"/>
          <w:sz w:val="24"/>
          <w:szCs w:val="24"/>
        </w:rPr>
        <w:t>最大辐照度、辐照场面积和辐照场形状规定治疗机规格。</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4.5  治疗机的组成</w:t>
      </w:r>
    </w:p>
    <w:p w:rsidR="00AE6E56" w:rsidRPr="00AE6E56" w:rsidRDefault="008928DA" w:rsidP="00975A63">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AE6E56" w:rsidRPr="00AE6E56">
        <w:rPr>
          <w:rFonts w:asciiTheme="minorEastAsia" w:hAnsiTheme="minorEastAsia" w:hint="eastAsia"/>
          <w:sz w:val="24"/>
          <w:szCs w:val="24"/>
        </w:rPr>
        <w:t xml:space="preserve">主机 </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 </w:t>
      </w:r>
      <w:r w:rsidR="00AE6E56" w:rsidRPr="00AE6E56">
        <w:rPr>
          <w:rFonts w:asciiTheme="minorEastAsia" w:hAnsiTheme="minorEastAsia" w:hint="eastAsia"/>
          <w:sz w:val="24"/>
          <w:szCs w:val="24"/>
        </w:rPr>
        <w:t>光辐射器</w:t>
      </w:r>
    </w:p>
    <w:p w:rsidR="00AE6E56" w:rsidRPr="00AE6E56" w:rsidRDefault="008928DA" w:rsidP="00975A63">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AE6E56" w:rsidRPr="00AE6E56">
        <w:rPr>
          <w:rFonts w:asciiTheme="minorEastAsia" w:hAnsiTheme="minorEastAsia" w:hint="eastAsia"/>
          <w:sz w:val="24"/>
          <w:szCs w:val="24"/>
        </w:rPr>
        <w:t>辐照面定位光系统</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 </w:t>
      </w:r>
      <w:r w:rsidR="00AE6E56" w:rsidRPr="00AE6E56">
        <w:rPr>
          <w:rFonts w:asciiTheme="minorEastAsia" w:hAnsiTheme="minorEastAsia" w:hint="eastAsia"/>
          <w:sz w:val="24"/>
          <w:szCs w:val="24"/>
        </w:rPr>
        <w:t>辐照面温度传感器</w:t>
      </w:r>
    </w:p>
    <w:p w:rsidR="00AE6E56" w:rsidRPr="00AE6E56" w:rsidRDefault="008928DA" w:rsidP="00975A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 </w:t>
      </w:r>
      <w:r w:rsidR="00AE6E56" w:rsidRPr="00AE6E56">
        <w:rPr>
          <w:rFonts w:asciiTheme="minorEastAsia" w:hAnsiTheme="minorEastAsia" w:hint="eastAsia"/>
          <w:sz w:val="24"/>
          <w:szCs w:val="24"/>
        </w:rPr>
        <w:t>机械调节定位装置</w:t>
      </w:r>
    </w:p>
    <w:p w:rsidR="00AE6E56" w:rsidRPr="008928DA" w:rsidRDefault="00AE6E56" w:rsidP="00975A63">
      <w:pPr>
        <w:pStyle w:val="a3"/>
        <w:numPr>
          <w:ilvl w:val="0"/>
          <w:numId w:val="2"/>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人机交互界面</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主机 – 由电源装置、控制装置和冷却系统组成。</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4.6  治疗机的基本参数</w:t>
      </w:r>
    </w:p>
    <w:p w:rsidR="00AE6E56" w:rsidRPr="00AE6E56" w:rsidRDefault="00AE6E56" w:rsidP="00975A63">
      <w:pPr>
        <w:spacing w:line="276" w:lineRule="auto"/>
        <w:rPr>
          <w:rFonts w:asciiTheme="minorEastAsia" w:hAnsiTheme="minorEastAsia"/>
          <w:b/>
          <w:bCs/>
          <w:sz w:val="24"/>
          <w:szCs w:val="24"/>
        </w:rPr>
      </w:pP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工作光峰值波长范围和半峰宽</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额定辐照度</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有效光照范围</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最大辐照度</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lastRenderedPageBreak/>
        <w:t>辐照度复现性</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治疗机辐照不稳定度</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治疗机辐照不均匀性</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治疗机输出功率调节</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工作光输出时间</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辐照面温度</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定位波长和最大功率</w:t>
      </w:r>
    </w:p>
    <w:p w:rsidR="00AE6E56" w:rsidRPr="008928DA" w:rsidRDefault="00AE6E56" w:rsidP="00975A63">
      <w:pPr>
        <w:pStyle w:val="a3"/>
        <w:numPr>
          <w:ilvl w:val="0"/>
          <w:numId w:val="3"/>
        </w:numPr>
        <w:spacing w:line="276" w:lineRule="auto"/>
        <w:ind w:firstLineChars="0"/>
        <w:rPr>
          <w:rFonts w:asciiTheme="minorEastAsia" w:hAnsiTheme="minorEastAsia"/>
          <w:sz w:val="24"/>
          <w:szCs w:val="24"/>
        </w:rPr>
      </w:pPr>
      <w:r w:rsidRPr="008928DA">
        <w:rPr>
          <w:rFonts w:asciiTheme="minorEastAsia" w:hAnsiTheme="minorEastAsia" w:hint="eastAsia"/>
          <w:sz w:val="24"/>
          <w:szCs w:val="24"/>
        </w:rPr>
        <w:t xml:space="preserve">工作噪声   </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hint="eastAsia"/>
          <w:sz w:val="24"/>
          <w:szCs w:val="24"/>
        </w:rPr>
        <w:t xml:space="preserve"> </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4.7  治疗机的环境、工作条件</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治疗机的环境、工作条件如下：</w:t>
      </w:r>
    </w:p>
    <w:p w:rsidR="00AE6E56" w:rsidRPr="00F24671" w:rsidRDefault="00AE6E56" w:rsidP="00975A63">
      <w:pPr>
        <w:pStyle w:val="a3"/>
        <w:numPr>
          <w:ilvl w:val="0"/>
          <w:numId w:val="4"/>
        </w:numPr>
        <w:spacing w:line="276" w:lineRule="auto"/>
        <w:ind w:firstLineChars="0"/>
        <w:rPr>
          <w:rFonts w:asciiTheme="minorEastAsia" w:hAnsiTheme="minorEastAsia"/>
          <w:sz w:val="24"/>
          <w:szCs w:val="24"/>
        </w:rPr>
      </w:pPr>
      <w:r w:rsidRPr="00F24671">
        <w:rPr>
          <w:rFonts w:asciiTheme="minorEastAsia" w:hAnsiTheme="minorEastAsia" w:hint="eastAsia"/>
          <w:sz w:val="24"/>
          <w:szCs w:val="24"/>
        </w:rPr>
        <w:t xml:space="preserve">环境温度 5℃ </w:t>
      </w:r>
      <w:r w:rsidR="00712FDE" w:rsidRPr="00712FDE">
        <w:rPr>
          <w:rFonts w:ascii="仿宋" w:eastAsia="仿宋" w:hAnsi="仿宋" w:cs="仿宋"/>
          <w:w w:val="105"/>
          <w:sz w:val="24"/>
          <w:szCs w:val="24"/>
        </w:rPr>
        <w:t>～</w:t>
      </w:r>
      <w:r w:rsidRPr="00F24671">
        <w:rPr>
          <w:rFonts w:asciiTheme="minorEastAsia" w:hAnsiTheme="minorEastAsia" w:hint="eastAsia"/>
          <w:sz w:val="24"/>
          <w:szCs w:val="24"/>
        </w:rPr>
        <w:t xml:space="preserve"> 35℃；</w:t>
      </w:r>
    </w:p>
    <w:p w:rsidR="00AE6E56" w:rsidRPr="00F24671" w:rsidRDefault="00AE6E56" w:rsidP="00975A63">
      <w:pPr>
        <w:pStyle w:val="a3"/>
        <w:numPr>
          <w:ilvl w:val="0"/>
          <w:numId w:val="4"/>
        </w:numPr>
        <w:spacing w:line="276" w:lineRule="auto"/>
        <w:ind w:firstLineChars="0"/>
        <w:rPr>
          <w:rFonts w:asciiTheme="minorEastAsia" w:hAnsiTheme="minorEastAsia"/>
          <w:sz w:val="24"/>
          <w:szCs w:val="24"/>
        </w:rPr>
      </w:pPr>
      <w:r w:rsidRPr="00F24671">
        <w:rPr>
          <w:rFonts w:asciiTheme="minorEastAsia" w:hAnsiTheme="minorEastAsia" w:hint="eastAsia"/>
          <w:sz w:val="24"/>
          <w:szCs w:val="24"/>
        </w:rPr>
        <w:t xml:space="preserve">相对湿度 10% </w:t>
      </w:r>
      <w:r w:rsidR="00712FDE" w:rsidRPr="00712FDE">
        <w:rPr>
          <w:rFonts w:ascii="仿宋" w:eastAsia="仿宋" w:hAnsi="仿宋" w:cs="仿宋"/>
          <w:w w:val="105"/>
          <w:sz w:val="24"/>
          <w:szCs w:val="24"/>
        </w:rPr>
        <w:t>～</w:t>
      </w:r>
      <w:r w:rsidRPr="00F24671">
        <w:rPr>
          <w:rFonts w:asciiTheme="minorEastAsia" w:hAnsiTheme="minorEastAsia" w:hint="eastAsia"/>
          <w:sz w:val="24"/>
          <w:szCs w:val="24"/>
        </w:rPr>
        <w:t xml:space="preserve"> 90%</w:t>
      </w:r>
      <w:r w:rsidR="00F24671">
        <w:rPr>
          <w:rFonts w:asciiTheme="minorEastAsia" w:hAnsiTheme="minorEastAsia" w:hint="eastAsia"/>
          <w:sz w:val="24"/>
          <w:szCs w:val="24"/>
        </w:rPr>
        <w:t>；</w:t>
      </w:r>
    </w:p>
    <w:p w:rsidR="00AE6E56" w:rsidRPr="00F24671" w:rsidRDefault="00AE6E56" w:rsidP="00975A63">
      <w:pPr>
        <w:pStyle w:val="a3"/>
        <w:numPr>
          <w:ilvl w:val="0"/>
          <w:numId w:val="4"/>
        </w:numPr>
        <w:spacing w:line="276" w:lineRule="auto"/>
        <w:ind w:firstLineChars="0"/>
        <w:rPr>
          <w:rFonts w:asciiTheme="minorEastAsia" w:hAnsiTheme="minorEastAsia"/>
          <w:sz w:val="24"/>
          <w:szCs w:val="24"/>
        </w:rPr>
      </w:pPr>
      <w:r w:rsidRPr="00F24671">
        <w:rPr>
          <w:rFonts w:asciiTheme="minorEastAsia" w:hAnsiTheme="minorEastAsia" w:hint="eastAsia"/>
          <w:sz w:val="24"/>
          <w:szCs w:val="24"/>
        </w:rPr>
        <w:t>治疗机使用电源：220 V±22 V，50 Hz±1 Hz</w:t>
      </w:r>
      <w:r w:rsidR="00F24671">
        <w:rPr>
          <w:rFonts w:asciiTheme="minorEastAsia" w:hAnsiTheme="minorEastAsia" w:hint="eastAsia"/>
          <w:sz w:val="24"/>
          <w:szCs w:val="24"/>
        </w:rPr>
        <w:t>；</w:t>
      </w:r>
    </w:p>
    <w:p w:rsidR="00AE6E56" w:rsidRPr="00F24671" w:rsidRDefault="00AE6E56" w:rsidP="00975A63">
      <w:pPr>
        <w:pStyle w:val="a3"/>
        <w:numPr>
          <w:ilvl w:val="0"/>
          <w:numId w:val="4"/>
        </w:numPr>
        <w:spacing w:line="276" w:lineRule="auto"/>
        <w:ind w:firstLineChars="0"/>
        <w:rPr>
          <w:rFonts w:asciiTheme="minorEastAsia" w:hAnsiTheme="minorEastAsia"/>
          <w:sz w:val="24"/>
          <w:szCs w:val="24"/>
        </w:rPr>
      </w:pPr>
      <w:r w:rsidRPr="00F24671">
        <w:rPr>
          <w:rFonts w:asciiTheme="minorEastAsia" w:hAnsiTheme="minorEastAsia" w:hint="eastAsia"/>
          <w:sz w:val="24"/>
          <w:szCs w:val="24"/>
        </w:rPr>
        <w:t>冷却系统</w:t>
      </w:r>
      <w:r w:rsidR="00F24671">
        <w:rPr>
          <w:rFonts w:asciiTheme="minorEastAsia" w:hAnsiTheme="minorEastAsia" w:hint="eastAsia"/>
          <w:sz w:val="24"/>
          <w:szCs w:val="24"/>
        </w:rPr>
        <w:t>；</w:t>
      </w:r>
    </w:p>
    <w:p w:rsidR="00AE6E56" w:rsidRPr="00AE6E56" w:rsidRDefault="00AE6E56" w:rsidP="00975A63">
      <w:pPr>
        <w:spacing w:line="276" w:lineRule="auto"/>
        <w:ind w:firstLineChars="300" w:firstLine="720"/>
        <w:rPr>
          <w:rFonts w:asciiTheme="minorEastAsia" w:hAnsiTheme="minorEastAsia"/>
          <w:sz w:val="24"/>
          <w:szCs w:val="24"/>
        </w:rPr>
      </w:pPr>
      <w:r w:rsidRPr="00AE6E56">
        <w:rPr>
          <w:rFonts w:asciiTheme="minorEastAsia" w:hAnsiTheme="minorEastAsia" w:hint="eastAsia"/>
          <w:sz w:val="24"/>
          <w:szCs w:val="24"/>
        </w:rPr>
        <w:t>可采用风冷、水冷、或者其他冷却方式。</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    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w:t>
      </w:r>
      <w:r w:rsidRPr="00AE6E56">
        <w:rPr>
          <w:rFonts w:asciiTheme="minorEastAsia" w:hAnsiTheme="minorEastAsia" w:hint="eastAsia"/>
          <w:b/>
          <w:bCs/>
          <w:sz w:val="24"/>
          <w:szCs w:val="24"/>
        </w:rPr>
        <w:tab/>
        <w:t xml:space="preserve">  工作辐照光的要求</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5.1.1  LED工作光峰值波长范围</w:t>
      </w:r>
    </w:p>
    <w:p w:rsidR="00AE6E56" w:rsidRPr="00AE6E56" w:rsidRDefault="00570FEB" w:rsidP="00975A63">
      <w:pPr>
        <w:spacing w:line="276" w:lineRule="auto"/>
        <w:ind w:firstLine="720"/>
        <w:rPr>
          <w:rFonts w:asciiTheme="minorEastAsia" w:hAnsiTheme="minorEastAsia"/>
          <w:sz w:val="24"/>
          <w:szCs w:val="24"/>
        </w:rPr>
      </w:pPr>
      <w:r>
        <w:rPr>
          <w:rFonts w:asciiTheme="minorEastAsia" w:hAnsiTheme="minorEastAsia" w:hint="eastAsia"/>
          <w:sz w:val="24"/>
          <w:szCs w:val="24"/>
        </w:rPr>
        <w:t>制造商应给出峰值波长的标称值，在</w:t>
      </w:r>
      <w:r w:rsidR="003657B1">
        <w:rPr>
          <w:rFonts w:asciiTheme="minorEastAsia" w:hAnsiTheme="minorEastAsia" w:hint="eastAsia"/>
          <w:sz w:val="24"/>
          <w:szCs w:val="24"/>
        </w:rPr>
        <w:t>连续工作2 h内，其实测值与标称值的偏差范围不大于</w:t>
      </w:r>
      <w:r w:rsidR="00AE6E56" w:rsidRPr="00AE6E56">
        <w:rPr>
          <w:rFonts w:asciiTheme="minorEastAsia" w:hAnsiTheme="minorEastAsia" w:hint="eastAsia"/>
          <w:sz w:val="24"/>
          <w:szCs w:val="24"/>
        </w:rPr>
        <w:t xml:space="preserve"> ± 3 nm。</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5.1.2  半峰宽</w:t>
      </w:r>
    </w:p>
    <w:p w:rsidR="00AE6E56" w:rsidRPr="00AE6E56" w:rsidRDefault="003657B1" w:rsidP="00975A63">
      <w:pPr>
        <w:spacing w:line="276" w:lineRule="auto"/>
        <w:ind w:firstLine="720"/>
        <w:rPr>
          <w:rFonts w:asciiTheme="minorEastAsia" w:hAnsiTheme="minorEastAsia"/>
          <w:sz w:val="24"/>
          <w:szCs w:val="24"/>
        </w:rPr>
      </w:pPr>
      <w:r>
        <w:rPr>
          <w:rFonts w:asciiTheme="minorEastAsia" w:hAnsiTheme="minorEastAsia" w:hint="eastAsia"/>
          <w:sz w:val="24"/>
          <w:szCs w:val="24"/>
        </w:rPr>
        <w:lastRenderedPageBreak/>
        <w:t>制造商应给出峰值波长对应的半峰宽的标称值，其范围不大于</w:t>
      </w:r>
      <w:r w:rsidR="00AE6E56" w:rsidRPr="00AE6E56">
        <w:rPr>
          <w:rFonts w:asciiTheme="minorEastAsia" w:hAnsiTheme="minorEastAsia" w:hint="eastAsia"/>
          <w:sz w:val="24"/>
          <w:szCs w:val="24"/>
        </w:rPr>
        <w:t>±10 nm。</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5.1.2  发光模式</w:t>
      </w: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连续。</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5.1.3  有效光照范围</w:t>
      </w: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不小于制造商规定。</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5.1.4  LED额定最大辐照度 </w:t>
      </w: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 xml:space="preserve">100 </w:t>
      </w:r>
      <w:r w:rsidR="00712FDE" w:rsidRPr="00712FDE">
        <w:rPr>
          <w:rFonts w:ascii="仿宋" w:eastAsia="仿宋" w:hAnsi="仿宋" w:cs="仿宋"/>
          <w:w w:val="105"/>
          <w:sz w:val="24"/>
          <w:szCs w:val="24"/>
        </w:rPr>
        <w:t>～</w:t>
      </w:r>
      <w:r w:rsidRPr="00AE6E56">
        <w:rPr>
          <w:rFonts w:asciiTheme="minorEastAsia" w:hAnsiTheme="minorEastAsia" w:hint="eastAsia"/>
          <w:sz w:val="24"/>
          <w:szCs w:val="24"/>
        </w:rPr>
        <w:t xml:space="preserve"> 1</w:t>
      </w:r>
      <w:r w:rsidR="003657B1">
        <w:rPr>
          <w:rFonts w:asciiTheme="minorEastAsia" w:hAnsiTheme="minorEastAsia" w:hint="eastAsia"/>
          <w:sz w:val="24"/>
          <w:szCs w:val="24"/>
        </w:rPr>
        <w:t>5</w:t>
      </w:r>
      <w:r w:rsidRPr="00AE6E56">
        <w:rPr>
          <w:rFonts w:asciiTheme="minorEastAsia" w:hAnsiTheme="minorEastAsia" w:hint="eastAsia"/>
          <w:sz w:val="24"/>
          <w:szCs w:val="24"/>
        </w:rPr>
        <w:t>0 mW/cm</w:t>
      </w:r>
      <w:r w:rsidRPr="00AE6E56">
        <w:rPr>
          <w:rFonts w:asciiTheme="minorEastAsia" w:hAnsiTheme="minorEastAsia" w:hint="eastAsia"/>
          <w:sz w:val="24"/>
          <w:szCs w:val="24"/>
          <w:vertAlign w:val="superscript"/>
        </w:rPr>
        <w:t>2</w:t>
      </w:r>
      <w:r w:rsidRPr="00AE6E56">
        <w:rPr>
          <w:rFonts w:asciiTheme="minorEastAsia" w:hAnsiTheme="minorEastAsia" w:hint="eastAsia"/>
          <w:sz w:val="24"/>
          <w:szCs w:val="24"/>
        </w:rPr>
        <w:t>。</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5.1.5  LED辐照度复现性</w:t>
      </w: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不大于 ± 10%。</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5.1.6 </w:t>
      </w:r>
      <w:r w:rsidRPr="00AE6E56">
        <w:rPr>
          <w:rFonts w:asciiTheme="minorEastAsia" w:hAnsiTheme="minorEastAsia" w:hint="eastAsia"/>
          <w:b/>
          <w:bCs/>
          <w:sz w:val="24"/>
          <w:szCs w:val="24"/>
        </w:rPr>
        <w:tab/>
        <w:t xml:space="preserve">LED辐照不稳定度 </w:t>
      </w: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不大于 ± 10%。</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5.1.7  辐照均匀性 </w:t>
      </w: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不大于 ± 10%。</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5.1.8  治疗机输出功率调节</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输出功率密度应可调节，制造商应给出调节范围，其实测值与设定值的偏差应小于±20%。</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5.1.9  光输出控制应符合下列要求</w:t>
      </w:r>
    </w:p>
    <w:p w:rsidR="00AE6E56" w:rsidRPr="00AE6E56" w:rsidRDefault="00AE6E56" w:rsidP="00975A63">
      <w:pPr>
        <w:spacing w:line="276" w:lineRule="auto"/>
        <w:ind w:leftChars="300" w:left="660"/>
        <w:rPr>
          <w:rFonts w:asciiTheme="minorEastAsia" w:hAnsiTheme="minorEastAsia"/>
          <w:sz w:val="24"/>
          <w:szCs w:val="24"/>
        </w:rPr>
      </w:pPr>
      <w:r w:rsidRPr="00AE6E56">
        <w:rPr>
          <w:rFonts w:asciiTheme="minorEastAsia" w:hAnsiTheme="minorEastAsia" w:hint="eastAsia"/>
          <w:sz w:val="24"/>
          <w:szCs w:val="24"/>
        </w:rPr>
        <w:t>a) 连续；</w:t>
      </w:r>
    </w:p>
    <w:p w:rsidR="00AE6E56" w:rsidRPr="00AE6E56" w:rsidRDefault="00AE6E56" w:rsidP="00975A63">
      <w:pPr>
        <w:spacing w:line="276" w:lineRule="auto"/>
        <w:ind w:leftChars="300" w:left="660"/>
        <w:rPr>
          <w:rFonts w:asciiTheme="minorEastAsia" w:hAnsiTheme="minorEastAsia"/>
          <w:sz w:val="24"/>
          <w:szCs w:val="24"/>
        </w:rPr>
      </w:pPr>
      <w:r w:rsidRPr="00AE6E56">
        <w:rPr>
          <w:rFonts w:asciiTheme="minorEastAsia" w:hAnsiTheme="minorEastAsia" w:hint="eastAsia"/>
          <w:sz w:val="24"/>
          <w:szCs w:val="24"/>
        </w:rPr>
        <w:t xml:space="preserve">b) 定时范围 1 </w:t>
      </w:r>
      <w:r>
        <w:rPr>
          <w:rFonts w:asciiTheme="minorEastAsia" w:hAnsiTheme="minorEastAsia" w:hint="eastAsia"/>
          <w:sz w:val="24"/>
          <w:szCs w:val="24"/>
        </w:rPr>
        <w:t>mim</w:t>
      </w:r>
      <w:r w:rsidRPr="00AE6E56">
        <w:rPr>
          <w:rFonts w:asciiTheme="minorEastAsia" w:hAnsiTheme="minorEastAsia" w:hint="eastAsia"/>
          <w:sz w:val="24"/>
          <w:szCs w:val="24"/>
        </w:rPr>
        <w:t xml:space="preserve"> </w:t>
      </w:r>
      <w:r w:rsidR="00712FDE" w:rsidRPr="00712FDE">
        <w:rPr>
          <w:rFonts w:ascii="仿宋" w:eastAsia="仿宋" w:hAnsi="仿宋" w:cs="仿宋"/>
          <w:w w:val="105"/>
          <w:sz w:val="24"/>
          <w:szCs w:val="24"/>
        </w:rPr>
        <w:t>～</w:t>
      </w:r>
      <w:r w:rsidRPr="00AE6E56">
        <w:rPr>
          <w:rFonts w:asciiTheme="minorEastAsia" w:hAnsiTheme="minorEastAsia" w:hint="eastAsia"/>
          <w:sz w:val="24"/>
          <w:szCs w:val="24"/>
        </w:rPr>
        <w:t xml:space="preserve"> 60</w:t>
      </w:r>
      <w:r>
        <w:rPr>
          <w:rFonts w:asciiTheme="minorEastAsia" w:hAnsiTheme="minorEastAsia"/>
          <w:sz w:val="24"/>
          <w:szCs w:val="24"/>
        </w:rPr>
        <w:t xml:space="preserve"> min</w:t>
      </w:r>
      <w:r w:rsidRPr="00AE6E56">
        <w:rPr>
          <w:rFonts w:asciiTheme="minorEastAsia" w:hAnsiTheme="minorEastAsia" w:hint="eastAsia"/>
          <w:sz w:val="24"/>
          <w:szCs w:val="24"/>
        </w:rPr>
        <w:t>，定时误差不大于±10s；</w:t>
      </w:r>
    </w:p>
    <w:p w:rsidR="00AE6E56" w:rsidRPr="00AE6E56" w:rsidRDefault="00AE6E56" w:rsidP="00975A63">
      <w:pPr>
        <w:spacing w:line="276" w:lineRule="auto"/>
        <w:ind w:leftChars="300" w:left="660"/>
        <w:rPr>
          <w:rFonts w:asciiTheme="minorEastAsia" w:hAnsiTheme="minorEastAsia"/>
          <w:sz w:val="24"/>
          <w:szCs w:val="24"/>
        </w:rPr>
      </w:pPr>
      <w:r w:rsidRPr="00AE6E56">
        <w:rPr>
          <w:rFonts w:asciiTheme="minorEastAsia" w:hAnsiTheme="minorEastAsia" w:hint="eastAsia"/>
          <w:sz w:val="24"/>
          <w:szCs w:val="24"/>
        </w:rPr>
        <w:t>c) 到设置时间时，应有提醒信号声。</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5.2  辐照面温度检测 </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辐照面中心点技周边4点皮肤表面温度不超过40℃。</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5.3   定位光的要求</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能够清晰给出辐照定位边界；</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波长由生产企业给出；</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输出功率不大于5 mW。</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定位光：可见光束，光强不大于5 mW，定位光为激光时，应给出其波长。</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5.4  LED功率密度指示器</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治疗机应配置功率指示器，其测量误差不大于±20%；测量值用国际单位表示。</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5.5  LED面板角度</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720"/>
        <w:rPr>
          <w:rFonts w:asciiTheme="minorEastAsia" w:hAnsiTheme="minorEastAsia"/>
          <w:sz w:val="24"/>
          <w:szCs w:val="24"/>
        </w:rPr>
      </w:pPr>
      <w:r w:rsidRPr="00AE6E56">
        <w:rPr>
          <w:rFonts w:asciiTheme="minorEastAsia" w:hAnsiTheme="minorEastAsia" w:hint="eastAsia"/>
          <w:sz w:val="24"/>
          <w:szCs w:val="24"/>
        </w:rPr>
        <w:t>可调节范围大于±25</w:t>
      </w:r>
      <w:r w:rsidRPr="00AE6E56">
        <w:rPr>
          <w:rFonts w:asciiTheme="minorEastAsia" w:hAnsiTheme="minorEastAsia" w:hint="eastAsia"/>
          <w:sz w:val="24"/>
          <w:szCs w:val="24"/>
          <w:vertAlign w:val="superscript"/>
        </w:rPr>
        <w:t>o</w:t>
      </w:r>
      <w:r w:rsidRPr="00AE6E56">
        <w:rPr>
          <w:rFonts w:asciiTheme="minorEastAsia" w:hAnsiTheme="minorEastAsia" w:hint="eastAsia"/>
          <w:sz w:val="24"/>
          <w:szCs w:val="24"/>
        </w:rPr>
        <w:t>。</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5.6  LED面板超温保护 </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在连续发光60分钟内，LED面板表面温度不超过60℃，如果超过</w:t>
      </w:r>
      <w:r>
        <w:rPr>
          <w:rFonts w:asciiTheme="minorEastAsia" w:hAnsiTheme="minorEastAsia" w:hint="eastAsia"/>
          <w:sz w:val="24"/>
          <w:szCs w:val="24"/>
        </w:rPr>
        <w:t>60</w:t>
      </w:r>
      <w:r w:rsidRPr="00AE6E56">
        <w:rPr>
          <w:rFonts w:asciiTheme="minorEastAsia" w:hAnsiTheme="minorEastAsia" w:hint="eastAsia"/>
          <w:sz w:val="24"/>
          <w:szCs w:val="24"/>
        </w:rPr>
        <w:t>℃应该有切断LED出光保护。</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5.7  工作噪声</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治疗机正常工作时噪声应不大于65dB。</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5.8</w:t>
      </w:r>
      <w:r w:rsidRPr="00AE6E56">
        <w:rPr>
          <w:rFonts w:asciiTheme="minorEastAsia" w:hAnsiTheme="minorEastAsia" w:hint="eastAsia"/>
          <w:b/>
          <w:bCs/>
          <w:sz w:val="24"/>
          <w:szCs w:val="24"/>
        </w:rPr>
        <w:tab/>
        <w:t xml:space="preserve">  闪烁</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lastRenderedPageBreak/>
        <w:t>在正常工作状态下，光辐射器输出光应不会出现肉眼可察觉的非功能性的闪烁现象。</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5.9  急停开关</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当操作者认为患者或设备处于危险状态时，通过急停开关切断电源，停止设备运转，达到保护人身和设备的安全。</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5.10  冷却系统</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冷却系统应符合下列要求：</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系统应无渗漏现象（如适用）；</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切断保护：当冷却系统发生阻断故障时，LED电源应能自动切断。</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5.11  机械调节定位装置（如适用）</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如果辐照器高度可调，那么它不能因锁定装置的故障而接触到患者。</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5.12  脚轮</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如果治疗机装有脚轮，制造商应提供合适的锁定装置，防止治疗机的意外移动。</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5.13  安全</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应符合 GB 9706.1-2007、GB 7247.1-2012、GB 9706.20-2000、YY 0505-2012的要求，详见附录A（规范性附录）。</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hint="eastAsia"/>
          <w:b/>
          <w:bCs/>
          <w:sz w:val="24"/>
          <w:szCs w:val="24"/>
        </w:rPr>
        <w:t>5. 14   外观</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5.14.1  油漆件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应符合 YY 91055-1999 中2.2表2，YTQ的规定。</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5.14.2  电镀件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应符合 YY 0076-1992中IV类的要求。</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5.14.3  铝制件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应符合 YY/T 0193-1994中4.2、4.3、4.4的规定。</w:t>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5.14.4  塑料件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应无飞边、气泡、凹痕、裂纹等缺陷。</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5.15  环境试验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应按 GB/T 14710-1993中气候环境</w:t>
      </w:r>
      <w:r>
        <w:rPr>
          <w:rFonts w:asciiTheme="minorEastAsia" w:hAnsiTheme="minorEastAsia" w:hint="eastAsia"/>
          <w:sz w:val="24"/>
          <w:szCs w:val="24"/>
        </w:rPr>
        <w:t>Ⅱ</w:t>
      </w:r>
      <w:r w:rsidRPr="00AE6E56">
        <w:rPr>
          <w:rFonts w:asciiTheme="minorEastAsia" w:hAnsiTheme="minorEastAsia" w:hint="eastAsia"/>
          <w:sz w:val="24"/>
          <w:szCs w:val="24"/>
        </w:rPr>
        <w:t>组，机械环境</w:t>
      </w:r>
      <w:r>
        <w:rPr>
          <w:rFonts w:asciiTheme="minorEastAsia" w:hAnsiTheme="minorEastAsia" w:hint="eastAsia"/>
          <w:sz w:val="24"/>
          <w:szCs w:val="24"/>
        </w:rPr>
        <w:t>Ⅱ</w:t>
      </w:r>
      <w:r w:rsidRPr="00AE6E56">
        <w:rPr>
          <w:rFonts w:asciiTheme="minorEastAsia" w:hAnsiTheme="minorEastAsia" w:hint="eastAsia"/>
          <w:sz w:val="24"/>
          <w:szCs w:val="24"/>
        </w:rPr>
        <w:t>组的要求进行试验，试验后的治疗机应仍符合本标准要求。其试验项目、顺序、持续时间（恢复时间）、检测项目及有关要求等见附录B（规范性附录）环境试验细则。</w:t>
      </w:r>
    </w:p>
    <w:p w:rsidR="00AE6E56" w:rsidRPr="00AE6E56" w:rsidRDefault="00AE6E56" w:rsidP="00975A63">
      <w:pPr>
        <w:spacing w:line="276" w:lineRule="auto"/>
        <w:rPr>
          <w:rFonts w:asciiTheme="minorEastAsia" w:hAnsiTheme="minorEastAsia"/>
          <w:b/>
          <w:sz w:val="24"/>
          <w:szCs w:val="24"/>
        </w:rPr>
      </w:pPr>
    </w:p>
    <w:p w:rsidR="00AE6E56" w:rsidRPr="00AE6E56" w:rsidRDefault="00AE6E56" w:rsidP="00975A63">
      <w:pPr>
        <w:spacing w:line="276" w:lineRule="auto"/>
        <w:rPr>
          <w:rFonts w:asciiTheme="minorEastAsia" w:hAnsiTheme="minorEastAsia"/>
          <w:b/>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   试验方法</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  测试条件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测试系统的供电应由稳压精度为±1%的稳压电源提供。检验前，电源及其他检测仪器均应按各自规定的要求进行预热，所用检测仪器设备不确定度均不大于5%，量程适当。</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  LED工作光要求的检验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6.2.1  LED波长的检验</w:t>
      </w:r>
    </w:p>
    <w:p w:rsid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用LED分析仪进行测量，其结果应符合5.1.1的要求。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6.2.2  有效光照范围的检验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用长度测量法进行测量，其结果应符合5.1.3的要求。</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6.2.3  辐照度的检验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用LED分析仪进行测量，其结果应符合 5.1.4的要求。</w:t>
      </w:r>
    </w:p>
    <w:p w:rsidR="00AE6E56" w:rsidRPr="00AE6E56" w:rsidRDefault="00AE6E56" w:rsidP="00975A63">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开启治疗机，使之进入工作状态，使LED输出功率达到最大，预热 15 min后，每隔1 min，用标准LED功率计，将探头置于光斑中心处（示值回零后）记录一次功率值</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i</w:t>
      </w:r>
      <w:r w:rsidRPr="00AE6E56">
        <w:rPr>
          <w:rFonts w:asciiTheme="minorEastAsia" w:hAnsiTheme="minorEastAsia" w:hint="eastAsia"/>
          <w:sz w:val="24"/>
          <w:szCs w:val="24"/>
        </w:rPr>
        <w:t>，共取5次，并由式（1）求出额定辐照度的平均值</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m</w:t>
      </w:r>
      <w:r w:rsidRPr="00AE6E56">
        <w:rPr>
          <w:rFonts w:asciiTheme="minorEastAsia" w:hAnsiTheme="minorEastAsia" w:hint="eastAsia"/>
          <w:sz w:val="24"/>
          <w:szCs w:val="24"/>
        </w:rPr>
        <w:t>，其结果应符合5.1.4的要求。</w:t>
      </w:r>
    </w:p>
    <w:p w:rsidR="00AE6E56" w:rsidRPr="00AE6E56" w:rsidRDefault="00AE6E56" w:rsidP="00975A63">
      <w:pPr>
        <w:spacing w:line="276" w:lineRule="auto"/>
        <w:jc w:val="center"/>
        <w:rPr>
          <w:rFonts w:asciiTheme="minorEastAsia" w:hAnsiTheme="minorEastAsia"/>
          <w:sz w:val="24"/>
          <w:szCs w:val="24"/>
        </w:rPr>
      </w:pPr>
      <w:r w:rsidRPr="00AE6E56">
        <w:rPr>
          <w:rFonts w:asciiTheme="minorEastAsia" w:hAnsiTheme="minorEastAsia"/>
          <w:sz w:val="24"/>
          <w:szCs w:val="24"/>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7" o:title=""/>
          </v:shape>
          <o:OLEObject Type="Embed" ProgID="Equation.3" ShapeID="_x0000_i1025" DrawAspect="Content" ObjectID="_1626503825" r:id="rId8"/>
        </w:object>
      </w:r>
      <w:r w:rsidRPr="00AE6E56">
        <w:rPr>
          <w:rFonts w:asciiTheme="minorEastAsia" w:hAnsiTheme="minorEastAsia" w:hint="eastAsia"/>
          <w:sz w:val="24"/>
          <w:szCs w:val="24"/>
        </w:rPr>
        <w:t>................................（1）</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式中：</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i</w:t>
      </w:r>
      <w:r>
        <w:rPr>
          <w:rFonts w:asciiTheme="minorEastAsia" w:hAnsiTheme="minorEastAsia"/>
          <w:i/>
          <w:sz w:val="24"/>
          <w:szCs w:val="24"/>
          <w:vertAlign w:val="subscript"/>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探头置于光斑中心处（示值回零后）记录一次功率值；</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m</w:t>
      </w:r>
      <w:r>
        <w:rPr>
          <w:rFonts w:asciiTheme="minorEastAsia" w:hAnsiTheme="minorEastAsia"/>
          <w:i/>
          <w:sz w:val="24"/>
          <w:szCs w:val="24"/>
          <w:vertAlign w:val="subscript"/>
        </w:rPr>
        <w:t xml:space="preserve"> </w:t>
      </w:r>
      <w:r w:rsidRPr="00AE6E56">
        <w:rPr>
          <w:rFonts w:asciiTheme="minorEastAsia" w:hAnsiTheme="minorEastAsia" w:hint="eastAsia"/>
          <w:sz w:val="24"/>
          <w:szCs w:val="24"/>
        </w:rPr>
        <w:t>—</w:t>
      </w:r>
      <w:r>
        <w:rPr>
          <w:rFonts w:asciiTheme="minorEastAsia" w:hAnsiTheme="minorEastAsia" w:hint="eastAsia"/>
          <w:sz w:val="24"/>
          <w:szCs w:val="24"/>
        </w:rPr>
        <w:t xml:space="preserve"> </w:t>
      </w:r>
      <w:r w:rsidRPr="00AE6E56">
        <w:rPr>
          <w:rFonts w:asciiTheme="minorEastAsia" w:hAnsiTheme="minorEastAsia" w:hint="eastAsia"/>
          <w:sz w:val="24"/>
          <w:szCs w:val="24"/>
        </w:rPr>
        <w:t>额定辐照度的平均值；</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n</w:t>
      </w:r>
      <w:r>
        <w:rPr>
          <w:rFonts w:asciiTheme="minorEastAsia" w:hAnsiTheme="minorEastAsia"/>
          <w:i/>
          <w:sz w:val="24"/>
          <w:szCs w:val="24"/>
        </w:rPr>
        <w:t xml:space="preserve"> </w:t>
      </w:r>
      <w:r w:rsidRPr="00AE6E56">
        <w:rPr>
          <w:rFonts w:asciiTheme="minorEastAsia" w:hAnsiTheme="minorEastAsia" w:hint="eastAsia"/>
          <w:sz w:val="24"/>
          <w:szCs w:val="24"/>
        </w:rPr>
        <w:t>—</w:t>
      </w:r>
      <w:r>
        <w:rPr>
          <w:rFonts w:asciiTheme="minorEastAsia" w:hAnsiTheme="minorEastAsia" w:hint="eastAsia"/>
          <w:sz w:val="24"/>
          <w:szCs w:val="24"/>
        </w:rPr>
        <w:t xml:space="preserve"> </w:t>
      </w:r>
      <w:r w:rsidRPr="00AE6E56">
        <w:rPr>
          <w:rFonts w:asciiTheme="minorEastAsia" w:hAnsiTheme="minorEastAsia" w:hint="eastAsia"/>
          <w:sz w:val="24"/>
          <w:szCs w:val="24"/>
        </w:rPr>
        <w:t xml:space="preserve">检测次数。 </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6.2.4  LED辐照度复现性的检验</w:t>
      </w:r>
    </w:p>
    <w:p w:rsidR="00AE6E56" w:rsidRPr="00AE6E56" w:rsidRDefault="00AE6E56" w:rsidP="00975A63">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使LED工作光达到给定工作电流或功率的工作条件下，利用工作开关使辐照器通断≥5次，逐次测量其辐照度</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i</w:t>
      </w:r>
      <w:r w:rsidRPr="00AE6E56">
        <w:rPr>
          <w:rFonts w:asciiTheme="minorEastAsia" w:hAnsiTheme="minorEastAsia" w:hint="eastAsia"/>
          <w:sz w:val="24"/>
          <w:szCs w:val="24"/>
        </w:rPr>
        <w:t>。将以上各工作点测量的</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i</w:t>
      </w:r>
      <w:r w:rsidRPr="00AE6E56">
        <w:rPr>
          <w:rFonts w:asciiTheme="minorEastAsia" w:hAnsiTheme="minorEastAsia" w:hint="eastAsia"/>
          <w:sz w:val="24"/>
          <w:szCs w:val="24"/>
        </w:rPr>
        <w:t>值分别代入式（2），求出辐照度复现性E</w:t>
      </w:r>
      <w:r w:rsidRPr="00AE6E56">
        <w:rPr>
          <w:rFonts w:asciiTheme="minorEastAsia" w:hAnsiTheme="minorEastAsia" w:hint="eastAsia"/>
          <w:sz w:val="24"/>
          <w:szCs w:val="24"/>
          <w:vertAlign w:val="subscript"/>
        </w:rPr>
        <w:t>p</w:t>
      </w:r>
      <w:r w:rsidRPr="00AE6E56">
        <w:rPr>
          <w:rFonts w:asciiTheme="minorEastAsia" w:hAnsiTheme="minorEastAsia" w:hint="eastAsia"/>
          <w:sz w:val="24"/>
          <w:szCs w:val="24"/>
        </w:rPr>
        <w:t>，其结果均应符合5.1.6的要求。</w:t>
      </w:r>
    </w:p>
    <w:p w:rsidR="00AE6E56" w:rsidRPr="00AE6E56" w:rsidRDefault="00AE6E56" w:rsidP="00975A63">
      <w:pPr>
        <w:spacing w:line="276" w:lineRule="auto"/>
        <w:jc w:val="center"/>
        <w:rPr>
          <w:rFonts w:asciiTheme="minorEastAsia" w:hAnsiTheme="minorEastAsia"/>
          <w:sz w:val="24"/>
          <w:szCs w:val="24"/>
        </w:rPr>
      </w:pPr>
      <w:r w:rsidRPr="00AE6E56">
        <w:rPr>
          <w:rFonts w:asciiTheme="minorEastAsia" w:hAnsiTheme="minorEastAsia"/>
          <w:sz w:val="24"/>
          <w:szCs w:val="24"/>
        </w:rPr>
        <w:object w:dxaOrig="2560" w:dyaOrig="980">
          <v:shape id="_x0000_i1026" type="#_x0000_t75" style="width:128.25pt;height:48.75pt" o:ole="">
            <v:imagedata r:id="rId9" o:title=""/>
          </v:shape>
          <o:OLEObject Type="Embed" ProgID="Equation.3" ShapeID="_x0000_i1026" DrawAspect="Content" ObjectID="_1626503826" r:id="rId10"/>
        </w:object>
      </w:r>
      <w:r w:rsidRPr="00AE6E56">
        <w:rPr>
          <w:rFonts w:asciiTheme="minorEastAsia" w:hAnsiTheme="minorEastAsia" w:hint="eastAsia"/>
          <w:sz w:val="24"/>
          <w:szCs w:val="24"/>
        </w:rPr>
        <w:t>....................（2）</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式中：</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lastRenderedPageBreak/>
        <w:t>E</w:t>
      </w:r>
      <w:r w:rsidRPr="00AE6E56">
        <w:rPr>
          <w:rFonts w:asciiTheme="minorEastAsia" w:hAnsiTheme="minorEastAsia" w:hint="eastAsia"/>
          <w:i/>
          <w:sz w:val="24"/>
          <w:szCs w:val="24"/>
          <w:vertAlign w:val="subscript"/>
        </w:rPr>
        <w:t>p</w:t>
      </w:r>
      <w:r>
        <w:rPr>
          <w:rFonts w:asciiTheme="minorEastAsia" w:hAnsiTheme="minorEastAsia"/>
          <w:i/>
          <w:sz w:val="24"/>
          <w:szCs w:val="24"/>
          <w:vertAlign w:val="subscript"/>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辐照度复现性；</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i</w:t>
      </w:r>
      <w:r>
        <w:rPr>
          <w:rFonts w:asciiTheme="minorEastAsia" w:hAnsiTheme="minorEastAsia"/>
          <w:i/>
          <w:sz w:val="24"/>
          <w:szCs w:val="24"/>
          <w:vertAlign w:val="subscript"/>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逐次测量的辐照度；</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max</w:t>
      </w:r>
      <w:r>
        <w:rPr>
          <w:rFonts w:asciiTheme="minorEastAsia" w:hAnsiTheme="minorEastAsia"/>
          <w:i/>
          <w:sz w:val="24"/>
          <w:szCs w:val="24"/>
          <w:vertAlign w:val="subscript"/>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检测到的最大辐照度；</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min</w:t>
      </w:r>
      <w:r>
        <w:rPr>
          <w:rFonts w:asciiTheme="minorEastAsia" w:hAnsiTheme="minorEastAsia"/>
          <w:i/>
          <w:sz w:val="24"/>
          <w:szCs w:val="24"/>
          <w:vertAlign w:val="subscript"/>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 xml:space="preserve">检测到的最小辐照度。     </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n</w:t>
      </w:r>
      <w:r>
        <w:rPr>
          <w:rFonts w:asciiTheme="minorEastAsia" w:hAnsiTheme="minorEastAsia"/>
          <w:i/>
          <w:sz w:val="24"/>
          <w:szCs w:val="24"/>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 xml:space="preserve">测量次数。    </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6.2.5  LED辐照不稳定度的检验</w:t>
      </w:r>
    </w:p>
    <w:p w:rsidR="00AE6E56" w:rsidRPr="00AE6E56" w:rsidRDefault="00AE6E56" w:rsidP="00975A63">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开启治疗机，使之进入工作状态，使LED输出功率达到最大，预热 15 min后，每隔2 min，用标准功率计，将探头置于辐照面中心处（示值回零后）记录一次功率值</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i</w:t>
      </w:r>
      <w:r w:rsidRPr="00AE6E56">
        <w:rPr>
          <w:rFonts w:asciiTheme="minorEastAsia" w:hAnsiTheme="minorEastAsia" w:hint="eastAsia"/>
          <w:sz w:val="24"/>
          <w:szCs w:val="24"/>
        </w:rPr>
        <w:t>，共取10次，并由式（3）求出额定辐照不稳定度</w:t>
      </w:r>
      <w:r w:rsidRPr="00AE6E56">
        <w:rPr>
          <w:rFonts w:ascii="MS Mincho" w:eastAsia="MS Mincho" w:hAnsi="MS Mincho" w:cs="MS Mincho" w:hint="eastAsia"/>
          <w:i/>
          <w:sz w:val="24"/>
          <w:szCs w:val="24"/>
        </w:rPr>
        <w:t>∆</w:t>
      </w:r>
      <w:r w:rsidRPr="00AE6E56">
        <w:rPr>
          <w:rFonts w:asciiTheme="minorEastAsia" w:hAnsiTheme="minorEastAsia" w:hint="eastAsia"/>
          <w:i/>
          <w:sz w:val="24"/>
          <w:szCs w:val="24"/>
        </w:rPr>
        <w:t>E</w:t>
      </w:r>
      <w:r w:rsidRPr="00AE6E56">
        <w:rPr>
          <w:rFonts w:asciiTheme="minorEastAsia" w:hAnsiTheme="minorEastAsia" w:hint="eastAsia"/>
          <w:sz w:val="24"/>
          <w:szCs w:val="24"/>
        </w:rPr>
        <w:t>，其结果应符合 5.1.5的要求。</w:t>
      </w:r>
    </w:p>
    <w:p w:rsidR="00AE6E56" w:rsidRPr="00AE6E56" w:rsidRDefault="00AE6E56" w:rsidP="00975A63">
      <w:pPr>
        <w:spacing w:line="276" w:lineRule="auto"/>
        <w:jc w:val="center"/>
        <w:rPr>
          <w:rFonts w:asciiTheme="minorEastAsia" w:hAnsiTheme="minorEastAsia"/>
          <w:sz w:val="24"/>
          <w:szCs w:val="24"/>
        </w:rPr>
      </w:pPr>
      <w:r w:rsidRPr="00AE6E56">
        <w:rPr>
          <w:rFonts w:asciiTheme="minorEastAsia" w:hAnsiTheme="minorEastAsia"/>
          <w:sz w:val="24"/>
          <w:szCs w:val="24"/>
        </w:rPr>
        <w:object w:dxaOrig="2420" w:dyaOrig="680">
          <v:shape id="_x0000_i1027" type="#_x0000_t75" style="width:120.75pt;height:33.75pt" o:ole="">
            <v:imagedata r:id="rId11" o:title=""/>
          </v:shape>
          <o:OLEObject Type="Embed" ProgID="Equation.3" ShapeID="_x0000_i1027" DrawAspect="Content" ObjectID="_1626503827" r:id="rId12"/>
        </w:object>
      </w:r>
      <w:r w:rsidRPr="00AE6E56">
        <w:rPr>
          <w:rFonts w:asciiTheme="minorEastAsia" w:hAnsiTheme="minorEastAsia" w:hint="eastAsia"/>
          <w:sz w:val="24"/>
          <w:szCs w:val="24"/>
        </w:rPr>
        <w:t>....................（3）</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式中：</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i/>
          <w:sz w:val="24"/>
          <w:szCs w:val="24"/>
        </w:rPr>
        <w:t>△E</w:t>
      </w:r>
      <w:r>
        <w:rPr>
          <w:rFonts w:asciiTheme="minorEastAsia" w:hAnsiTheme="minorEastAsia"/>
          <w:i/>
          <w:sz w:val="24"/>
          <w:szCs w:val="24"/>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额定辐照不稳定度；</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hint="eastAsia"/>
          <w:sz w:val="24"/>
          <w:szCs w:val="24"/>
        </w:rPr>
        <w:t xml:space="preserve">   </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hint="eastAsia"/>
          <w:b/>
          <w:bCs/>
          <w:sz w:val="24"/>
          <w:szCs w:val="24"/>
        </w:rPr>
        <w:t>6.2.6  辐照均匀性的检验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治疗机在最大额定输出设定下，测量辐照面均匀分布点（至少9点）的辐照度值，找出能量测量值中的最小值</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min</w:t>
      </w:r>
      <w:r w:rsidRPr="00AE6E56">
        <w:rPr>
          <w:rFonts w:asciiTheme="minorEastAsia" w:hAnsiTheme="minorEastAsia" w:hint="eastAsia"/>
          <w:sz w:val="24"/>
          <w:szCs w:val="24"/>
        </w:rPr>
        <w:t>和最大值</w:t>
      </w:r>
      <w:r w:rsidRPr="00AE6E56">
        <w:rPr>
          <w:rFonts w:asciiTheme="minorEastAsia" w:hAnsiTheme="minorEastAsia" w:hint="eastAsia"/>
          <w:i/>
          <w:sz w:val="24"/>
          <w:szCs w:val="24"/>
        </w:rPr>
        <w:t>E</w:t>
      </w:r>
      <w:r w:rsidRPr="00AE6E56">
        <w:rPr>
          <w:rFonts w:asciiTheme="minorEastAsia" w:hAnsiTheme="minorEastAsia" w:hint="eastAsia"/>
          <w:i/>
          <w:sz w:val="24"/>
          <w:szCs w:val="24"/>
          <w:vertAlign w:val="subscript"/>
        </w:rPr>
        <w:t>max</w:t>
      </w:r>
      <w:r w:rsidRPr="00AE6E56">
        <w:rPr>
          <w:rFonts w:asciiTheme="minorEastAsia" w:hAnsiTheme="minorEastAsia" w:hint="eastAsia"/>
          <w:sz w:val="24"/>
          <w:szCs w:val="24"/>
        </w:rPr>
        <w:t>，按照式（4）计算均匀性，其值应符合5.1.7的要求。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jc w:val="center"/>
        <w:rPr>
          <w:rFonts w:asciiTheme="minorEastAsia" w:hAnsiTheme="minorEastAsia"/>
          <w:sz w:val="24"/>
          <w:szCs w:val="24"/>
        </w:rPr>
      </w:pPr>
      <w:r w:rsidRPr="00AE6E56">
        <w:rPr>
          <w:rFonts w:asciiTheme="minorEastAsia" w:hAnsiTheme="minorEastAsia"/>
          <w:sz w:val="24"/>
          <w:szCs w:val="24"/>
        </w:rPr>
        <w:object w:dxaOrig="2880" w:dyaOrig="980">
          <v:shape id="_x0000_i1028" type="#_x0000_t75" style="width:2in;height:48.75pt" o:ole="">
            <v:imagedata r:id="rId13" o:title=""/>
          </v:shape>
          <o:OLEObject Type="Embed" ProgID="Equation.3" ShapeID="_x0000_i1028" DrawAspect="Content" ObjectID="_1626503828" r:id="rId14"/>
        </w:object>
      </w:r>
      <w:r w:rsidRPr="00AE6E56">
        <w:rPr>
          <w:rFonts w:asciiTheme="minorEastAsia" w:hAnsiTheme="minorEastAsia" w:hint="eastAsia"/>
          <w:sz w:val="24"/>
          <w:szCs w:val="24"/>
        </w:rPr>
        <w:t>...............（4）</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式中：</w:t>
      </w:r>
    </w:p>
    <w:p w:rsidR="00AE6E56" w:rsidRPr="00AE6E56" w:rsidRDefault="00AE6E56" w:rsidP="00975A63">
      <w:pPr>
        <w:spacing w:line="276" w:lineRule="auto"/>
        <w:ind w:firstLineChars="200" w:firstLine="480"/>
        <w:rPr>
          <w:rFonts w:asciiTheme="minorEastAsia" w:hAnsiTheme="minorEastAsia"/>
          <w:sz w:val="24"/>
          <w:szCs w:val="24"/>
        </w:rPr>
      </w:pPr>
      <w:r w:rsidRPr="00975A63">
        <w:rPr>
          <w:rFonts w:ascii="Times New Roman" w:hAnsi="Times New Roman" w:cs="Times New Roman"/>
          <w:i/>
          <w:sz w:val="24"/>
          <w:szCs w:val="24"/>
        </w:rPr>
        <w:t>ƞ</w:t>
      </w:r>
      <w:r w:rsidRPr="00AE6E56">
        <w:rPr>
          <w:rFonts w:asciiTheme="minorEastAsia" w:hAnsiTheme="minorEastAsia" w:hint="eastAsia"/>
          <w:sz w:val="24"/>
          <w:szCs w:val="24"/>
        </w:rPr>
        <w:t>（%）</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 xml:space="preserve">辐照均匀性；     </w:t>
      </w:r>
    </w:p>
    <w:p w:rsidR="00AE6E56" w:rsidRPr="00AE6E56" w:rsidRDefault="00AE6E56" w:rsidP="00975A63">
      <w:pPr>
        <w:spacing w:line="276" w:lineRule="auto"/>
        <w:ind w:firstLineChars="200" w:firstLine="480"/>
        <w:rPr>
          <w:rFonts w:asciiTheme="minorEastAsia" w:hAnsiTheme="minorEastAsia"/>
          <w:sz w:val="24"/>
          <w:szCs w:val="24"/>
        </w:rPr>
      </w:pPr>
      <w:r w:rsidRPr="00975A63">
        <w:rPr>
          <w:rFonts w:asciiTheme="minorEastAsia" w:hAnsiTheme="minorEastAsia" w:hint="eastAsia"/>
          <w:i/>
          <w:sz w:val="24"/>
          <w:szCs w:val="24"/>
        </w:rPr>
        <w:t>n</w:t>
      </w:r>
      <w:r>
        <w:rPr>
          <w:rFonts w:asciiTheme="minorEastAsia" w:hAnsiTheme="minorEastAsia"/>
          <w:sz w:val="24"/>
          <w:szCs w:val="24"/>
        </w:rPr>
        <w:t xml:space="preserve"> </w:t>
      </w:r>
      <w:r w:rsidRPr="00AE6E56">
        <w:rPr>
          <w:rFonts w:asciiTheme="minorEastAsia" w:hAnsiTheme="minorEastAsia"/>
          <w:sz w:val="24"/>
          <w:szCs w:val="24"/>
        </w:rPr>
        <w:t>—</w:t>
      </w:r>
      <w:r>
        <w:rPr>
          <w:rFonts w:asciiTheme="minorEastAsia" w:hAnsiTheme="minorEastAsia"/>
          <w:sz w:val="24"/>
          <w:szCs w:val="24"/>
        </w:rPr>
        <w:t xml:space="preserve"> </w:t>
      </w:r>
      <w:r w:rsidRPr="00AE6E56">
        <w:rPr>
          <w:rFonts w:asciiTheme="minorEastAsia" w:hAnsiTheme="minorEastAsia" w:hint="eastAsia"/>
          <w:sz w:val="24"/>
          <w:szCs w:val="24"/>
        </w:rPr>
        <w:t xml:space="preserve">测量次数。    </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lastRenderedPageBreak/>
        <w:t>6.2.7  输出功率的检验</w:t>
      </w:r>
    </w:p>
    <w:p w:rsidR="00AE6E56" w:rsidRPr="00AE6E56" w:rsidRDefault="00AE6E56" w:rsidP="00975A63">
      <w:pPr>
        <w:spacing w:line="276" w:lineRule="auto"/>
        <w:ind w:firstLineChars="100" w:firstLine="240"/>
        <w:rPr>
          <w:rFonts w:asciiTheme="minorEastAsia" w:hAnsiTheme="minorEastAsia"/>
          <w:sz w:val="24"/>
          <w:szCs w:val="24"/>
        </w:rPr>
      </w:pPr>
      <w:r w:rsidRPr="00AE6E56">
        <w:rPr>
          <w:rFonts w:asciiTheme="minorEastAsia" w:hAnsiTheme="minorEastAsia" w:hint="eastAsia"/>
          <w:sz w:val="24"/>
          <w:szCs w:val="24"/>
        </w:rPr>
        <w:t>开启定位光，关闭工作LED光，用功率计测量，其结果应符合5.2.2的要求。</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6.2.8  LED输出时间控制的检验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定时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将治疗机调到额定辐照度，定时装置时间分别定于 1 min、10 min、20 min和40 min四个点，用精度为0.2 s的秒表测量，每点测量平均值与设定值的误差均应符合5.4的要求。</w:t>
      </w:r>
    </w:p>
    <w:p w:rsidR="00AE6E56" w:rsidRPr="00AE6E56" w:rsidRDefault="00AE6E56" w:rsidP="00975A63">
      <w:pPr>
        <w:spacing w:line="276" w:lineRule="auto"/>
        <w:ind w:leftChars="200" w:left="440"/>
        <w:rPr>
          <w:rFonts w:asciiTheme="minorEastAsia" w:hAnsiTheme="minorEastAsia"/>
          <w:sz w:val="24"/>
          <w:szCs w:val="24"/>
        </w:rPr>
      </w:pPr>
      <w:r>
        <w:rPr>
          <w:rFonts w:asciiTheme="minorEastAsia" w:hAnsiTheme="minorEastAsia"/>
          <w:sz w:val="24"/>
          <w:szCs w:val="24"/>
        </w:rPr>
        <w:t>a</w:t>
      </w:r>
      <w:r>
        <w:rPr>
          <w:rFonts w:asciiTheme="minorEastAsia" w:hAnsiTheme="minorEastAsia" w:hint="eastAsia"/>
          <w:sz w:val="24"/>
          <w:szCs w:val="24"/>
        </w:rPr>
        <w:t>）</w:t>
      </w:r>
      <w:r w:rsidRPr="00AE6E56">
        <w:rPr>
          <w:rFonts w:asciiTheme="minorEastAsia" w:hAnsiTheme="minorEastAsia" w:hint="eastAsia"/>
          <w:sz w:val="24"/>
          <w:szCs w:val="24"/>
        </w:rPr>
        <w:t>连续。</w:t>
      </w:r>
    </w:p>
    <w:p w:rsidR="00AE6E56" w:rsidRPr="00AE6E56" w:rsidRDefault="00AE6E56" w:rsidP="00975A63">
      <w:pPr>
        <w:spacing w:line="276" w:lineRule="auto"/>
        <w:ind w:leftChars="200" w:left="440"/>
        <w:rPr>
          <w:rFonts w:asciiTheme="minorEastAsia" w:hAnsiTheme="minorEastAsia"/>
          <w:sz w:val="24"/>
          <w:szCs w:val="24"/>
        </w:rPr>
      </w:pPr>
      <w:r>
        <w:rPr>
          <w:rFonts w:asciiTheme="minorEastAsia" w:hAnsiTheme="minorEastAsia" w:hint="eastAsia"/>
          <w:sz w:val="24"/>
          <w:szCs w:val="24"/>
        </w:rPr>
        <w:t xml:space="preserve">b) </w:t>
      </w:r>
      <w:r w:rsidRPr="00AE6E56">
        <w:rPr>
          <w:rFonts w:asciiTheme="minorEastAsia" w:hAnsiTheme="minorEastAsia" w:hint="eastAsia"/>
          <w:sz w:val="24"/>
          <w:szCs w:val="24"/>
        </w:rPr>
        <w:t>通过检查予以验证。</w:t>
      </w:r>
    </w:p>
    <w:p w:rsidR="00AE6E56" w:rsidRPr="00AE6E56" w:rsidRDefault="00AE6E56" w:rsidP="00975A63">
      <w:pPr>
        <w:spacing w:line="276" w:lineRule="auto"/>
        <w:ind w:leftChars="200" w:left="440"/>
        <w:rPr>
          <w:rFonts w:asciiTheme="minorEastAsia" w:hAnsiTheme="minorEastAsia"/>
          <w:sz w:val="24"/>
          <w:szCs w:val="24"/>
        </w:rPr>
      </w:pPr>
      <w:r>
        <w:rPr>
          <w:rFonts w:asciiTheme="minorEastAsia" w:hAnsiTheme="minorEastAsia" w:hint="eastAsia"/>
          <w:sz w:val="24"/>
          <w:szCs w:val="24"/>
        </w:rPr>
        <w:t xml:space="preserve">c) </w:t>
      </w:r>
      <w:r w:rsidRPr="00AE6E56">
        <w:rPr>
          <w:rFonts w:asciiTheme="minorEastAsia" w:hAnsiTheme="minorEastAsia" w:hint="eastAsia"/>
          <w:sz w:val="24"/>
          <w:szCs w:val="24"/>
        </w:rPr>
        <w:t>提醒信号声。</w:t>
      </w:r>
    </w:p>
    <w:p w:rsidR="00AE6E56" w:rsidRPr="00AE6E56" w:rsidRDefault="00AE6E56" w:rsidP="00975A63">
      <w:pPr>
        <w:spacing w:line="276" w:lineRule="auto"/>
        <w:ind w:leftChars="200" w:left="440"/>
        <w:rPr>
          <w:rFonts w:asciiTheme="minorEastAsia" w:hAnsiTheme="minorEastAsia"/>
          <w:sz w:val="24"/>
          <w:szCs w:val="24"/>
        </w:rPr>
      </w:pPr>
      <w:r>
        <w:rPr>
          <w:rFonts w:asciiTheme="minorEastAsia" w:hAnsiTheme="minorEastAsia" w:hint="eastAsia"/>
          <w:sz w:val="24"/>
          <w:szCs w:val="24"/>
        </w:rPr>
        <w:t xml:space="preserve">d) </w:t>
      </w:r>
      <w:r w:rsidRPr="00AE6E56">
        <w:rPr>
          <w:rFonts w:asciiTheme="minorEastAsia" w:hAnsiTheme="minorEastAsia" w:hint="eastAsia"/>
          <w:sz w:val="24"/>
          <w:szCs w:val="24"/>
        </w:rPr>
        <w:t>通过检查，予以验证。</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6.3  辐照面温度检测和超温保护</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红外测温技术测量辐照面中心及周边4点温度，最高温度应满足5.1.9的要求。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6.4  定位光要求的检验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6.4.1  激光功率的检验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用激光功率计进行测量，其结果应符合5.3.3的要求。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6.5  LED输出光功率指示器的检验</w:t>
      </w:r>
    </w:p>
    <w:p w:rsidR="00AE6E56" w:rsidRPr="00AE6E56" w:rsidRDefault="00AE6E56" w:rsidP="00975A63">
      <w:pPr>
        <w:spacing w:line="276" w:lineRule="auto"/>
        <w:rPr>
          <w:rFonts w:asciiTheme="minorEastAsia" w:hAnsiTheme="minorEastAsia"/>
          <w:b/>
          <w:bCs/>
          <w:sz w:val="24"/>
          <w:szCs w:val="24"/>
        </w:rPr>
      </w:pPr>
    </w:p>
    <w:p w:rsid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按额定辐照度20%、60%和100%逐点与标准功率计的读数对比，每点示值与标准功率计的偏差均应符合5.4的要求。</w:t>
      </w: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sz w:val="24"/>
          <w:szCs w:val="24"/>
        </w:rPr>
        <w:lastRenderedPageBreak/>
        <w:tab/>
      </w: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6.6  LED面板角度的检验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用量角器测量，应符合5.5的要求。</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6.7  LED面板超温保护的检验 </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让辐射器处于最大输出状态，运行说明书规定的最长治疗时间，测量治疗时间内光辐射器表面温度，并记录检验结果。应符合5.6的要求。</w:t>
      </w:r>
    </w:p>
    <w:p w:rsidR="00AE6E56" w:rsidRPr="00AE6E56" w:rsidRDefault="00AE6E56" w:rsidP="00975A63">
      <w:pPr>
        <w:spacing w:line="276" w:lineRule="auto"/>
        <w:rPr>
          <w:rFonts w:asciiTheme="minorEastAsia" w:hAnsiTheme="minorEastAsia"/>
          <w:b/>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6.8  工作噪声的检验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设备正常工作，在距离设备外表面1 m、距地面高度1 m的前、后、左、右四个位置用分贝仪测量噪声，其值应符合5.7的要求。</w:t>
      </w:r>
    </w:p>
    <w:p w:rsidR="00AE6E56" w:rsidRPr="00AE6E56" w:rsidRDefault="00AE6E56" w:rsidP="00975A63">
      <w:pPr>
        <w:spacing w:line="276" w:lineRule="auto"/>
        <w:rPr>
          <w:rFonts w:asciiTheme="minorEastAsia" w:hAnsiTheme="minorEastAsia"/>
          <w:b/>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6.9  闪烁</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让辐射器输出照射在白色漫反射板上，在额定电源电压和电源电压波动±10％时，佩戴随机提供或推荐的防护眼镜后目测检查。通过观察，予以验证。</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6.10  急停开关的检验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试验确认。</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6.11  冷却系统的检验 </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冷却系统的检验应符合下列要求：</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直观法：手感或目测；</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lastRenderedPageBreak/>
        <w:t>b) 切断保护的检验：开启治疗机，使之工作在较低的LED功率输出状态，然后将冷却系统阻断，此时LED供电系统的电源应能自动切断。</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6.12  机械调节定位装置</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试验确认。</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6.13  脚轮</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试验确认。</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6.14  安全要求的检验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安全要求的检验应按附录 A（规范性附录）规定进行。</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6.15  外观的检验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6.15.1  油漆件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按 YY 91055-1999中规定的试验方法进行。</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6.15.2  电镀件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按 YY 0076-1992中规定的试验方法进行。</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6.15.3  铝制件</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按 YY/T 0193- 1994中规定的试验方法进行。</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lastRenderedPageBreak/>
        <w:t xml:space="preserve">6.15.4  塑料件 </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手感、目测。</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6.16  环境试验的检验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治疗机的环境试验应按 GB/T 14710-2009中气候环境试验II组、机械环境试验II组的要求以及附录B（规范性附录）的规定进行试验和检测 。</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   抽样</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7.1  总则</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治疗机应由生产企业检验部门进行检验，合格后方可提交验收。</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7.2  检验形式</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治疗机检验分为出厂检验和型式检验。</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7.3  出厂检验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7.3.1  出厂检验</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采用逐台检验方式</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sz w:val="24"/>
          <w:szCs w:val="24"/>
        </w:rPr>
      </w:pPr>
      <w:r w:rsidRPr="00AE6E56">
        <w:rPr>
          <w:rFonts w:asciiTheme="minorEastAsia" w:hAnsiTheme="minorEastAsia" w:hint="eastAsia"/>
          <w:b/>
          <w:bCs/>
          <w:sz w:val="24"/>
          <w:szCs w:val="24"/>
        </w:rPr>
        <w:t>7.3.2  出厂检验项目</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5.11中出厂检验项目和 5.1.4、5.1.5、5.1.6、5.2.2、5.3、5.4、5.5、5.6、5.8、5.10。</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lastRenderedPageBreak/>
        <w:t>7.3.3  合格判定</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每个检验项目均应符合本标准的要求。若有不合格项目，可返回加工进行修复，经修复后重新对该项目及其相关项目（若有）进行检测，所有检测项目合格后治疗机才能出厂。</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7.4  型式检验</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7.4.1  在下列情况下应进行型式检验</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产品注册时；</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连续生产中的产品，每年不少于一次；</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间隔一年以上再投产时；</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d)  在设计、工艺或材料有重大改变时。</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7.4.2  取样方式与数量</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产品试产注册时和在设计、工艺或材料有重大改变时，型式检验的取样方式为送样，样品数量为一台；</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其余的型式检验取样方式为抽样，抽样数量为一台。</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7.4.3  检验项目</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全性能检验。</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7.4.4  判定规则 </w:t>
      </w:r>
    </w:p>
    <w:p w:rsidR="00AE6E56" w:rsidRPr="00AE6E56" w:rsidRDefault="00AE6E56" w:rsidP="00975A63">
      <w:pPr>
        <w:spacing w:line="276" w:lineRule="auto"/>
        <w:ind w:firstLine="480"/>
        <w:rPr>
          <w:rFonts w:asciiTheme="minorEastAsia" w:hAnsiTheme="minorEastAsia"/>
          <w:sz w:val="24"/>
          <w:szCs w:val="24"/>
        </w:rPr>
      </w:pPr>
      <w:r w:rsidRPr="00AE6E56">
        <w:rPr>
          <w:rFonts w:asciiTheme="minorEastAsia" w:hAnsiTheme="minorEastAsia" w:hint="eastAsia"/>
          <w:sz w:val="24"/>
          <w:szCs w:val="24"/>
        </w:rPr>
        <w:t>按下列方法进行判定：</w:t>
      </w:r>
    </w:p>
    <w:p w:rsidR="00AE6E56" w:rsidRPr="00AE6E56" w:rsidRDefault="00AE6E56" w:rsidP="00975A63">
      <w:pPr>
        <w:numPr>
          <w:ilvl w:val="0"/>
          <w:numId w:val="1"/>
        </w:num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 取样方式为送样时，所检测的每一项均应符合本标准的要求。若在检验项目中出现不合格项时，允许对不合格项进行修复。如修复可能影响到其他项目的性能，则由第三方检测机构与生产企业协商确定其它检验项目；</w:t>
      </w:r>
    </w:p>
    <w:p w:rsidR="00AE6E56" w:rsidRPr="00AE6E56" w:rsidRDefault="00AE6E56" w:rsidP="00975A63">
      <w:pPr>
        <w:numPr>
          <w:ilvl w:val="0"/>
          <w:numId w:val="1"/>
        </w:num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lastRenderedPageBreak/>
        <w:t xml:space="preserve"> 取样方式为抽样时，所检测的每一项均应符合本标准的要求。若在检验项目中出现不合格项时，应抽取双倍数量的产品，对不合格项目进行检验，若此时二台中仍有一项不符合本标准要求时，则判定本次型式检验不合格；</w:t>
      </w:r>
    </w:p>
    <w:p w:rsidR="00AE6E56" w:rsidRPr="00AE6E56" w:rsidRDefault="00AE6E56" w:rsidP="00975A63">
      <w:pPr>
        <w:numPr>
          <w:ilvl w:val="0"/>
          <w:numId w:val="1"/>
        </w:num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 xml:space="preserve"> 安全性能检验的判定规则件附录A。</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   标志、标签和使用说明书</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8.1  标志</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8.1.1  每台治疗机在适当的明显位置，应固定铭牌一块，铭膊上应有下列标志</w:t>
      </w:r>
    </w:p>
    <w:p w:rsidR="00AE6E56" w:rsidRDefault="00AE6E56" w:rsidP="00975A63">
      <w:pPr>
        <w:spacing w:line="276" w:lineRule="auto"/>
        <w:ind w:leftChars="200" w:left="440"/>
        <w:rPr>
          <w:rFonts w:asciiTheme="minorEastAsia" w:hAnsiTheme="minorEastAsia"/>
          <w:sz w:val="24"/>
          <w:szCs w:val="24"/>
        </w:rPr>
      </w:pP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 xml:space="preserve">a)  生产企业名称及商标、地址和联系方式； </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 xml:space="preserve">b)  产品名称和规格型号； </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产品注册证编号；</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d)  LED</w:t>
      </w:r>
      <w:r w:rsidR="003657B1" w:rsidRPr="00AE6E56">
        <w:rPr>
          <w:rFonts w:asciiTheme="minorEastAsia" w:hAnsiTheme="minorEastAsia" w:hint="eastAsia"/>
          <w:sz w:val="24"/>
          <w:szCs w:val="24"/>
        </w:rPr>
        <w:t>波长及</w:t>
      </w:r>
      <w:r w:rsidRPr="00AE6E56">
        <w:rPr>
          <w:rFonts w:asciiTheme="minorEastAsia" w:hAnsiTheme="minorEastAsia" w:hint="eastAsia"/>
          <w:sz w:val="24"/>
          <w:szCs w:val="24"/>
        </w:rPr>
        <w:t>最大输出功率密度</w:t>
      </w:r>
      <w:r w:rsidR="003657B1">
        <w:rPr>
          <w:rFonts w:asciiTheme="minorEastAsia" w:hAnsiTheme="minorEastAsia" w:hint="eastAsia"/>
          <w:sz w:val="24"/>
          <w:szCs w:val="24"/>
        </w:rPr>
        <w:t>；</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e)  该产品可能有光辐射危害；</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f)  电源连接，电压、频率、输入功率</w:t>
      </w:r>
      <w:r w:rsidR="003657B1">
        <w:rPr>
          <w:rFonts w:asciiTheme="minorEastAsia" w:hAnsiTheme="minorEastAsia" w:hint="eastAsia"/>
          <w:sz w:val="24"/>
          <w:szCs w:val="24"/>
        </w:rPr>
        <w:t>；</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g)  产品出厂编号；</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h）出厂日期。</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8.1.2  外包装箱上应有下列标志：</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生产企业名称、厂址及商标；</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产品名称和规格型号；</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注册号、标准号；</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d)  净质量、毛质量；</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e)  体积：（长×宽×高）；</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lastRenderedPageBreak/>
        <w:t>f)  产品编号和出厂日期；</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g)  “怕雨”、“向上”、“易碎物品”等字样或标志，应符合</w:t>
      </w:r>
      <w:r w:rsidR="00F24671">
        <w:rPr>
          <w:rFonts w:asciiTheme="minorEastAsia" w:hAnsiTheme="minorEastAsia" w:hint="eastAsia"/>
          <w:sz w:val="24"/>
          <w:szCs w:val="24"/>
        </w:rPr>
        <w:t xml:space="preserve"> GB/T </w:t>
      </w:r>
      <w:r w:rsidRPr="00AE6E56">
        <w:rPr>
          <w:rFonts w:asciiTheme="minorEastAsia" w:hAnsiTheme="minorEastAsia" w:hint="eastAsia"/>
          <w:sz w:val="24"/>
          <w:szCs w:val="24"/>
        </w:rPr>
        <w:t>191-2008的有关规定，包装箱上的字样和标志应能保证不因历时较久而模糊不清。</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8.2  标签 、使用说明书</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外包装箱内应附产品检验合格证 、产品使用说明书和装箱单各一份 。</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8.2.1  检验合格证上应有下列内容：</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生产企业名称；</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产品名称和规格型号；</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产品出厂编号；</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d)  检验日期和检验员代号。</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8.2.2  产品使用说明书上应有下列主要内容：</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主要性能参数；</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适用范围；</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储运、贮存条件；</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d)  使用方法和注意事项；</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e)  简单故障排除及养护；</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f)  售后服务承诺。</w:t>
      </w:r>
    </w:p>
    <w:p w:rsid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8.2.3  治疗机备件应有：</w:t>
      </w: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或按出厂清单。</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9  包装、运输、贮存</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9.1  包装</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a)  允许将LED辐照器经防潮包装后装入包装盒内，盒内用软性垫料衬垫，并能防潮防震。</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b)  允许将主机经防潮包装后装入保护箱，箱内用软性衬垫，将包装箱封闭后再装入整机包装箱中。</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c)  治疗机附件及其文件应装入中性塑料等材料制成的包装袋内。</w:t>
      </w:r>
    </w:p>
    <w:p w:rsidR="00AE6E56" w:rsidRPr="00AE6E56" w:rsidRDefault="00AE6E56" w:rsidP="00975A63">
      <w:pPr>
        <w:spacing w:line="276" w:lineRule="auto"/>
        <w:ind w:leftChars="200" w:left="440"/>
        <w:rPr>
          <w:rFonts w:asciiTheme="minorEastAsia" w:hAnsiTheme="minorEastAsia"/>
          <w:sz w:val="24"/>
          <w:szCs w:val="24"/>
        </w:rPr>
      </w:pPr>
      <w:r w:rsidRPr="00AE6E56">
        <w:rPr>
          <w:rFonts w:asciiTheme="minorEastAsia" w:hAnsiTheme="minorEastAsia" w:hint="eastAsia"/>
          <w:sz w:val="24"/>
          <w:szCs w:val="24"/>
        </w:rPr>
        <w:t>d)  治疗机的外包装箱应能保证产品不受自然损坏，箱内应有防雨和软性衬垫等。</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 xml:space="preserve">9.2  运输 </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运输要求按订货合同规定。</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9.3  贮存</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975A63">
      <w:pPr>
        <w:spacing w:line="276" w:lineRule="auto"/>
        <w:ind w:firstLineChars="200" w:firstLine="480"/>
        <w:rPr>
          <w:rFonts w:asciiTheme="minorEastAsia" w:hAnsiTheme="minorEastAsia"/>
          <w:sz w:val="24"/>
          <w:szCs w:val="24"/>
        </w:rPr>
      </w:pPr>
      <w:r w:rsidRPr="00AE6E56">
        <w:rPr>
          <w:rFonts w:asciiTheme="minorEastAsia" w:hAnsiTheme="minorEastAsia" w:hint="eastAsia"/>
          <w:sz w:val="24"/>
          <w:szCs w:val="24"/>
        </w:rPr>
        <w:t>包装后的治疗机应贮存在相对湿度不超过80%，无腐蚀性气体和通风良好的清洁室内。</w:t>
      </w:r>
    </w:p>
    <w:p w:rsidR="00AE6E56" w:rsidRPr="00AE6E56" w:rsidRDefault="00AE6E56" w:rsidP="00975A63">
      <w:pPr>
        <w:spacing w:line="276" w:lineRule="auto"/>
        <w:rPr>
          <w:rFonts w:asciiTheme="minorEastAsia" w:hAnsiTheme="minorEastAsia"/>
          <w:sz w:val="24"/>
          <w:szCs w:val="24"/>
        </w:rPr>
      </w:pPr>
    </w:p>
    <w:p w:rsidR="00AE6E56" w:rsidRPr="00AE6E56" w:rsidRDefault="00AE6E56" w:rsidP="00975A63">
      <w:pPr>
        <w:spacing w:line="276" w:lineRule="auto"/>
        <w:rPr>
          <w:rFonts w:asciiTheme="minorEastAsia" w:hAnsiTheme="minorEastAsia"/>
          <w:b/>
          <w:bCs/>
          <w:sz w:val="24"/>
          <w:szCs w:val="24"/>
        </w:rPr>
      </w:pPr>
      <w:r w:rsidRPr="00AE6E56">
        <w:rPr>
          <w:rFonts w:asciiTheme="minorEastAsia" w:hAnsiTheme="minorEastAsia" w:hint="eastAsia"/>
          <w:b/>
          <w:bCs/>
          <w:sz w:val="24"/>
          <w:szCs w:val="24"/>
        </w:rPr>
        <w:t>9.4  质量保证期</w:t>
      </w:r>
    </w:p>
    <w:p w:rsidR="00AE6E56" w:rsidRPr="00AE6E56" w:rsidRDefault="00AE6E56" w:rsidP="00975A63">
      <w:pPr>
        <w:spacing w:line="276" w:lineRule="auto"/>
        <w:rPr>
          <w:rFonts w:asciiTheme="minorEastAsia" w:hAnsiTheme="minorEastAsia"/>
          <w:b/>
          <w:bCs/>
          <w:sz w:val="24"/>
          <w:szCs w:val="24"/>
        </w:rPr>
      </w:pPr>
    </w:p>
    <w:p w:rsidR="00AE6E56" w:rsidRPr="00AE6E56" w:rsidRDefault="00AE6E56" w:rsidP="003657B1">
      <w:pPr>
        <w:spacing w:line="276" w:lineRule="auto"/>
        <w:ind w:firstLineChars="200" w:firstLine="480"/>
        <w:jc w:val="both"/>
        <w:rPr>
          <w:rFonts w:asciiTheme="minorEastAsia" w:hAnsiTheme="minorEastAsia"/>
          <w:sz w:val="24"/>
          <w:szCs w:val="24"/>
        </w:rPr>
      </w:pPr>
      <w:r w:rsidRPr="00AE6E56">
        <w:rPr>
          <w:rFonts w:asciiTheme="minorEastAsia" w:hAnsiTheme="minorEastAsia" w:hint="eastAsia"/>
          <w:sz w:val="24"/>
          <w:szCs w:val="24"/>
        </w:rPr>
        <w:t>在遵守储运、贮存和使用规则的条件下，自销售之日起一年内，因工作LED输出功率下降到小于额定功率的70%时，或产品其他制造质量问题不能正常工作时，生产企业应无偿为用户修理，更换零件或产品。</w:t>
      </w:r>
    </w:p>
    <w:p w:rsidR="000B7F67" w:rsidRDefault="000B7F67" w:rsidP="000B7F67">
      <w:pPr>
        <w:pStyle w:val="a6"/>
        <w:kinsoku w:val="0"/>
        <w:overflowPunct w:val="0"/>
        <w:spacing w:before="60"/>
        <w:ind w:left="0" w:firstLine="480"/>
        <w:jc w:val="center"/>
        <w:rPr>
          <w:rFonts w:asciiTheme="majorEastAsia" w:eastAsiaTheme="majorEastAsia" w:hAnsiTheme="majorEastAsia" w:cstheme="majorEastAsia" w:hint="default"/>
          <w:b/>
          <w:w w:val="105"/>
          <w:sz w:val="24"/>
          <w:szCs w:val="24"/>
        </w:rPr>
      </w:pPr>
      <w:r>
        <w:rPr>
          <w:rFonts w:asciiTheme="minorEastAsia" w:hAnsiTheme="minorEastAsia"/>
          <w:sz w:val="24"/>
          <w:szCs w:val="24"/>
        </w:rPr>
        <w:br w:type="page"/>
      </w:r>
      <w:r>
        <w:rPr>
          <w:rFonts w:asciiTheme="majorEastAsia" w:eastAsiaTheme="majorEastAsia" w:hAnsiTheme="majorEastAsia" w:cstheme="majorEastAsia"/>
          <w:b/>
          <w:w w:val="105"/>
          <w:sz w:val="24"/>
          <w:szCs w:val="24"/>
        </w:rPr>
        <w:lastRenderedPageBreak/>
        <w:t>附  录  A</w:t>
      </w:r>
    </w:p>
    <w:p w:rsidR="000B7F67" w:rsidRDefault="000B7F67" w:rsidP="000B7F67">
      <w:pPr>
        <w:pStyle w:val="a6"/>
        <w:kinsoku w:val="0"/>
        <w:overflowPunct w:val="0"/>
        <w:spacing w:before="60"/>
        <w:ind w:left="0" w:firstLine="437"/>
        <w:jc w:val="center"/>
        <w:rPr>
          <w:rFonts w:asciiTheme="majorEastAsia" w:eastAsiaTheme="majorEastAsia" w:hAnsiTheme="majorEastAsia" w:cstheme="majorEastAsia" w:hint="default"/>
          <w:b/>
          <w:sz w:val="24"/>
          <w:szCs w:val="24"/>
        </w:rPr>
      </w:pPr>
      <w:r>
        <w:rPr>
          <w:rFonts w:asciiTheme="majorEastAsia" w:eastAsiaTheme="majorEastAsia" w:hAnsiTheme="majorEastAsia" w:cstheme="majorEastAsia"/>
          <w:b/>
          <w:w w:val="90"/>
          <w:sz w:val="24"/>
          <w:szCs w:val="24"/>
        </w:rPr>
        <w:t>(规范性附录)</w:t>
      </w:r>
    </w:p>
    <w:p w:rsidR="000B7F67" w:rsidRDefault="000B7F67" w:rsidP="000B7F67">
      <w:pPr>
        <w:pStyle w:val="a6"/>
        <w:tabs>
          <w:tab w:val="left" w:pos="3187"/>
        </w:tabs>
        <w:kinsoku w:val="0"/>
        <w:overflowPunct w:val="0"/>
        <w:spacing w:before="36" w:line="297" w:lineRule="auto"/>
        <w:ind w:left="0" w:firstLine="482"/>
        <w:jc w:val="center"/>
        <w:rPr>
          <w:rFonts w:asciiTheme="majorEastAsia" w:eastAsiaTheme="majorEastAsia" w:hAnsiTheme="majorEastAsia" w:cstheme="majorEastAsia" w:hint="default"/>
          <w:b/>
          <w:sz w:val="24"/>
          <w:szCs w:val="24"/>
        </w:rPr>
      </w:pPr>
      <w:r>
        <w:rPr>
          <w:rFonts w:asciiTheme="majorEastAsia" w:eastAsiaTheme="majorEastAsia" w:hAnsiTheme="majorEastAsia" w:cstheme="majorEastAsia"/>
          <w:b/>
          <w:sz w:val="24"/>
          <w:szCs w:val="24"/>
        </w:rPr>
        <w:t>安全</w:t>
      </w:r>
    </w:p>
    <w:p w:rsidR="000B7F67" w:rsidRDefault="000B7F67" w:rsidP="000B7F67">
      <w:pPr>
        <w:pStyle w:val="a6"/>
        <w:kinsoku w:val="0"/>
        <w:overflowPunct w:val="0"/>
        <w:spacing w:before="6"/>
        <w:ind w:left="0" w:firstLine="480"/>
        <w:rPr>
          <w:rFonts w:ascii="仿宋" w:eastAsia="仿宋" w:hAnsi="仿宋" w:cs="仿宋" w:hint="default"/>
          <w:sz w:val="24"/>
          <w:szCs w:val="24"/>
        </w:rPr>
      </w:pP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A.1  产品特征</w:t>
      </w:r>
    </w:p>
    <w:p w:rsidR="000B7F67" w:rsidRDefault="000B7F67" w:rsidP="000B7F67">
      <w:pPr>
        <w:pStyle w:val="a6"/>
        <w:kinsoku w:val="0"/>
        <w:overflowPunct w:val="0"/>
        <w:spacing w:before="4"/>
        <w:ind w:left="0" w:firstLine="480"/>
        <w:rPr>
          <w:rFonts w:ascii="仿宋" w:eastAsia="仿宋" w:hAnsi="仿宋" w:cs="仿宋" w:hint="default"/>
          <w:sz w:val="24"/>
          <w:szCs w:val="24"/>
        </w:rPr>
      </w:pPr>
    </w:p>
    <w:p w:rsidR="000B7F67" w:rsidRDefault="000B7F67" w:rsidP="000B7F67">
      <w:pPr>
        <w:pStyle w:val="a6"/>
        <w:kinsoku w:val="0"/>
        <w:overflowPunct w:val="0"/>
        <w:spacing w:before="0"/>
        <w:ind w:left="0" w:firstLineChars="200" w:firstLine="480"/>
        <w:rPr>
          <w:rFonts w:ascii="仿宋" w:eastAsia="仿宋" w:hAnsi="仿宋" w:cs="仿宋" w:hint="default"/>
          <w:sz w:val="24"/>
          <w:szCs w:val="24"/>
        </w:rPr>
      </w:pPr>
      <w:r>
        <w:rPr>
          <w:rFonts w:ascii="仿宋" w:eastAsia="仿宋" w:hAnsi="仿宋" w:cs="仿宋"/>
          <w:sz w:val="24"/>
          <w:szCs w:val="24"/>
        </w:rPr>
        <w:t>治疗机应具有下列产品特征：</w:t>
      </w:r>
    </w:p>
    <w:p w:rsidR="000B7F67" w:rsidRDefault="000B7F67" w:rsidP="000B7F67">
      <w:pPr>
        <w:pStyle w:val="a6"/>
        <w:numPr>
          <w:ilvl w:val="0"/>
          <w:numId w:val="6"/>
        </w:numPr>
        <w:kinsoku w:val="0"/>
        <w:overflowPunct w:val="0"/>
        <w:spacing w:line="267" w:lineRule="auto"/>
        <w:ind w:left="0" w:firstLineChars="200" w:firstLine="503"/>
        <w:rPr>
          <w:rFonts w:ascii="仿宋" w:eastAsia="仿宋" w:hAnsi="仿宋" w:cs="仿宋" w:hint="default"/>
          <w:spacing w:val="-49"/>
          <w:w w:val="105"/>
          <w:sz w:val="24"/>
          <w:szCs w:val="24"/>
        </w:rPr>
      </w:pPr>
      <w:r>
        <w:rPr>
          <w:rFonts w:ascii="仿宋" w:eastAsia="仿宋" w:hAnsi="仿宋" w:cs="仿宋"/>
          <w:w w:val="105"/>
          <w:sz w:val="24"/>
          <w:szCs w:val="24"/>
        </w:rPr>
        <w:t xml:space="preserve">  治疗机防电击的类</w:t>
      </w:r>
      <w:r>
        <w:rPr>
          <w:rFonts w:ascii="仿宋" w:eastAsia="仿宋" w:hAnsi="仿宋" w:cs="仿宋"/>
          <w:sz w:val="24"/>
          <w:szCs w:val="24"/>
        </w:rPr>
        <w:t>：</w:t>
      </w:r>
      <w:r>
        <w:rPr>
          <w:rFonts w:ascii="仿宋" w:eastAsia="仿宋" w:hAnsi="仿宋" w:cs="仿宋"/>
          <w:w w:val="120"/>
          <w:sz w:val="24"/>
          <w:szCs w:val="24"/>
        </w:rPr>
        <w:t>I</w:t>
      </w:r>
      <w:r>
        <w:rPr>
          <w:rFonts w:ascii="仿宋" w:eastAsia="仿宋" w:hAnsi="仿宋" w:cs="仿宋"/>
          <w:w w:val="105"/>
          <w:sz w:val="24"/>
          <w:szCs w:val="24"/>
        </w:rPr>
        <w:t>类或</w:t>
      </w:r>
      <w:r>
        <w:rPr>
          <w:rFonts w:ascii="仿宋" w:eastAsia="仿宋" w:hAnsi="仿宋" w:cs="仿宋"/>
          <w:spacing w:val="-42"/>
          <w:w w:val="105"/>
          <w:sz w:val="24"/>
          <w:szCs w:val="24"/>
        </w:rPr>
        <w:t xml:space="preserve"> </w:t>
      </w:r>
      <w:r>
        <w:rPr>
          <w:rFonts w:ascii="仿宋" w:eastAsia="仿宋" w:hAnsi="仿宋" w:cs="仿宋"/>
          <w:w w:val="120"/>
          <w:sz w:val="24"/>
          <w:szCs w:val="24"/>
        </w:rPr>
        <w:t>E</w:t>
      </w:r>
      <w:r>
        <w:rPr>
          <w:rFonts w:ascii="仿宋" w:eastAsia="仿宋" w:hAnsi="仿宋" w:cs="仿宋"/>
          <w:w w:val="105"/>
          <w:sz w:val="24"/>
          <w:szCs w:val="24"/>
        </w:rPr>
        <w:t>类</w:t>
      </w:r>
      <w:r>
        <w:rPr>
          <w:rFonts w:ascii="仿宋" w:eastAsia="仿宋" w:hAnsi="仿宋" w:cs="仿宋"/>
          <w:spacing w:val="-49"/>
          <w:w w:val="105"/>
          <w:sz w:val="24"/>
          <w:szCs w:val="24"/>
        </w:rPr>
        <w:t>；</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治疗机防电击的型：B型或BF；</w:t>
      </w:r>
    </w:p>
    <w:p w:rsidR="000B7F67" w:rsidRDefault="000B7F67" w:rsidP="000B7F67">
      <w:pPr>
        <w:pStyle w:val="a6"/>
        <w:kinsoku w:val="0"/>
        <w:overflowPunct w:val="0"/>
        <w:spacing w:line="267" w:lineRule="auto"/>
        <w:ind w:left="0" w:firstLineChars="200" w:firstLine="503"/>
        <w:rPr>
          <w:rFonts w:ascii="仿宋" w:eastAsia="仿宋" w:hAnsi="仿宋" w:cs="仿宋" w:hint="default"/>
          <w:sz w:val="24"/>
          <w:szCs w:val="24"/>
        </w:rPr>
      </w:pPr>
      <w:r>
        <w:rPr>
          <w:rFonts w:ascii="仿宋" w:eastAsia="仿宋" w:hAnsi="仿宋" w:cs="仿宋"/>
          <w:w w:val="105"/>
          <w:sz w:val="24"/>
          <w:szCs w:val="24"/>
        </w:rPr>
        <w:t>c)  治疗机工作光防护类别：Ⅲ</w:t>
      </w:r>
      <w:r>
        <w:rPr>
          <w:rFonts w:ascii="仿宋" w:eastAsia="仿宋" w:hAnsi="仿宋" w:cs="仿宋"/>
          <w:spacing w:val="15"/>
          <w:w w:val="120"/>
          <w:sz w:val="24"/>
          <w:szCs w:val="24"/>
        </w:rPr>
        <w:t>类</w:t>
      </w:r>
      <w:r>
        <w:rPr>
          <w:rFonts w:ascii="仿宋" w:eastAsia="仿宋" w:hAnsi="仿宋" w:cs="仿宋"/>
          <w:w w:val="105"/>
          <w:sz w:val="24"/>
          <w:szCs w:val="24"/>
        </w:rPr>
        <w:t>；</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d)  治疗机定位指示激光防护类别：ⅢA</w:t>
      </w:r>
      <w:r>
        <w:rPr>
          <w:rFonts w:ascii="仿宋" w:eastAsia="仿宋" w:hAnsi="仿宋" w:cs="仿宋"/>
          <w:spacing w:val="15"/>
          <w:w w:val="120"/>
          <w:sz w:val="24"/>
          <w:szCs w:val="24"/>
        </w:rPr>
        <w:t>类</w:t>
      </w:r>
      <w:r>
        <w:rPr>
          <w:rFonts w:ascii="仿宋" w:eastAsia="仿宋" w:hAnsi="仿宋" w:cs="仿宋"/>
          <w:w w:val="105"/>
          <w:sz w:val="24"/>
          <w:szCs w:val="24"/>
        </w:rPr>
        <w:t>；</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e)  电源连接：单相，网电源供电；</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f)  治疗机具有应用部分或不具有应用部分；</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g) 治疗机具有信号输入或输出部分或不具有信号输人或输出部分；</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h)  治疗机属于不防进液的普通型设备；</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i)  治疗机属于移动式设备；</w:t>
      </w:r>
    </w:p>
    <w:p w:rsidR="000B7F67" w:rsidRPr="002C2419"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j)</w:t>
      </w:r>
      <w:r w:rsidRPr="002C2419">
        <w:rPr>
          <w:rFonts w:ascii="仿宋" w:eastAsia="仿宋" w:hAnsi="仿宋" w:cs="仿宋"/>
          <w:w w:val="105"/>
          <w:sz w:val="24"/>
          <w:szCs w:val="24"/>
        </w:rPr>
        <w:t xml:space="preserve"> </w:t>
      </w:r>
      <w:r>
        <w:rPr>
          <w:rFonts w:ascii="仿宋" w:eastAsia="仿宋" w:hAnsi="仿宋" w:cs="仿宋"/>
          <w:w w:val="105"/>
          <w:sz w:val="24"/>
          <w:szCs w:val="24"/>
        </w:rPr>
        <w:t>治疗机工作方式为连续运行。</w:t>
      </w:r>
    </w:p>
    <w:p w:rsidR="000B7F67" w:rsidRDefault="000B7F67" w:rsidP="000B7F67">
      <w:pPr>
        <w:pStyle w:val="a6"/>
        <w:kinsoku w:val="0"/>
        <w:overflowPunct w:val="0"/>
        <w:spacing w:line="266" w:lineRule="auto"/>
        <w:ind w:left="434" w:firstLineChars="200" w:firstLine="503"/>
        <w:rPr>
          <w:rFonts w:ascii="仿宋" w:eastAsia="仿宋" w:hAnsi="仿宋" w:cs="仿宋" w:hint="default"/>
          <w:w w:val="105"/>
          <w:sz w:val="24"/>
          <w:szCs w:val="24"/>
        </w:rPr>
      </w:pP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  要求(基本要求)与试验方法 </w:t>
      </w:r>
    </w:p>
    <w:p w:rsidR="000B7F67" w:rsidRDefault="000B7F67" w:rsidP="000B7F67">
      <w:pPr>
        <w:pStyle w:val="a6"/>
        <w:kinsoku w:val="0"/>
        <w:overflowPunct w:val="0"/>
        <w:spacing w:before="18" w:line="300" w:lineRule="atLeast"/>
        <w:ind w:leftChars="25" w:left="55" w:right="3129" w:firstLine="474"/>
        <w:rPr>
          <w:rFonts w:ascii="仿宋" w:eastAsia="仿宋" w:hAnsi="仿宋" w:cs="仿宋" w:hint="default"/>
          <w:b/>
          <w:bCs/>
          <w:w w:val="98"/>
          <w:sz w:val="24"/>
          <w:szCs w:val="24"/>
        </w:rPr>
      </w:pP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治疗机的安全要求和通用要求如下：</w:t>
      </w:r>
    </w:p>
    <w:p w:rsidR="000B7F67" w:rsidRDefault="000B7F67" w:rsidP="000B7F67">
      <w:pPr>
        <w:pStyle w:val="a6"/>
        <w:numPr>
          <w:ilvl w:val="0"/>
          <w:numId w:val="7"/>
        </w:numPr>
        <w:kinsoku w:val="0"/>
        <w:overflowPunct w:val="0"/>
        <w:spacing w:line="267" w:lineRule="auto"/>
        <w:ind w:leftChars="209" w:left="912" w:rightChars="100" w:right="220" w:hangingChars="180" w:hanging="452"/>
        <w:rPr>
          <w:rFonts w:ascii="仿宋" w:eastAsia="仿宋" w:hAnsi="仿宋" w:cs="仿宋" w:hint="default"/>
          <w:w w:val="105"/>
          <w:sz w:val="24"/>
          <w:szCs w:val="24"/>
        </w:rPr>
      </w:pPr>
      <w:r>
        <w:rPr>
          <w:rFonts w:ascii="仿宋" w:eastAsia="仿宋" w:hAnsi="仿宋" w:cs="仿宋"/>
          <w:w w:val="105"/>
          <w:sz w:val="24"/>
          <w:szCs w:val="24"/>
        </w:rPr>
        <w:t xml:space="preserve"> 治疗机的安全性能应符合 GB 9706.1-2007、GB 9706.20-2000、和 GB 7247.1-2012   中的适用性要求；</w:t>
      </w:r>
    </w:p>
    <w:p w:rsidR="000B7F67" w:rsidRDefault="000B7F67" w:rsidP="000B7F67">
      <w:pPr>
        <w:pStyle w:val="a6"/>
        <w:numPr>
          <w:ilvl w:val="0"/>
          <w:numId w:val="7"/>
        </w:numPr>
        <w:kinsoku w:val="0"/>
        <w:overflowPunct w:val="0"/>
        <w:spacing w:line="267" w:lineRule="auto"/>
        <w:ind w:leftChars="209" w:left="932" w:hangingChars="188" w:hanging="472"/>
        <w:rPr>
          <w:rFonts w:ascii="仿宋" w:eastAsia="仿宋" w:hAnsi="仿宋" w:cs="仿宋" w:hint="default"/>
          <w:w w:val="105"/>
          <w:sz w:val="24"/>
          <w:szCs w:val="24"/>
        </w:rPr>
      </w:pPr>
      <w:r>
        <w:rPr>
          <w:rFonts w:ascii="仿宋" w:eastAsia="仿宋" w:hAnsi="仿宋" w:cs="仿宋"/>
          <w:w w:val="105"/>
          <w:sz w:val="24"/>
          <w:szCs w:val="24"/>
        </w:rPr>
        <w:t xml:space="preserve"> 生产企业可根据产品的实际情况和 GB 9706.1-2007、GB 9706.20-2000、GB 7247.1-2012 的要求，在医疗器械注册产品标准中对本附录内容进行调整。</w:t>
      </w:r>
    </w:p>
    <w:p w:rsidR="000B7F67" w:rsidRDefault="000B7F67" w:rsidP="000B7F67">
      <w:pPr>
        <w:pStyle w:val="a6"/>
        <w:numPr>
          <w:ilvl w:val="0"/>
          <w:numId w:val="7"/>
        </w:numPr>
        <w:kinsoku w:val="0"/>
        <w:overflowPunct w:val="0"/>
        <w:spacing w:line="267" w:lineRule="auto"/>
        <w:ind w:leftChars="209" w:left="912" w:hangingChars="180" w:hanging="452"/>
        <w:rPr>
          <w:rFonts w:ascii="仿宋" w:eastAsia="仿宋" w:hAnsi="仿宋" w:cs="仿宋" w:hint="default"/>
          <w:w w:val="105"/>
          <w:sz w:val="24"/>
          <w:szCs w:val="24"/>
        </w:rPr>
      </w:pPr>
      <w:r>
        <w:rPr>
          <w:rFonts w:ascii="仿宋" w:eastAsia="仿宋" w:hAnsi="仿宋" w:cs="仿宋"/>
          <w:w w:val="105"/>
          <w:sz w:val="24"/>
          <w:szCs w:val="24"/>
        </w:rPr>
        <w:t xml:space="preserve"> 设备的通用要求，应按GB 9706.1-2007 中第 3 章的要求执行。设备的试验通用要求，应按GB 9706.1-2007 中第 4 章的规定进行。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  外部标记</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应至少有下列“永久贴牢的”、“清楚易认的”标记：</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制造商、供应者或商标应符合 GB 9706.1-2007 中 6.1 e)的要求；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型式标记应符合 GB 9706.1-2007 中 6.1 f)的要求；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与电源的连接应符合 GB 9706.1-2007 中 6.1 g)的要求；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noProof/>
          <w:w w:val="105"/>
          <w:sz w:val="24"/>
          <w:szCs w:val="24"/>
        </w:rPr>
        <mc:AlternateContent>
          <mc:Choice Requires="wps">
            <w:drawing>
              <wp:anchor distT="0" distB="0" distL="114300" distR="114300" simplePos="0" relativeHeight="251659264" behindDoc="1" locked="0" layoutInCell="1" allowOverlap="1" wp14:anchorId="594E5F50" wp14:editId="2EAB77E0">
                <wp:simplePos x="0" y="0"/>
                <wp:positionH relativeFrom="page">
                  <wp:posOffset>664210</wp:posOffset>
                </wp:positionH>
                <wp:positionV relativeFrom="paragraph">
                  <wp:posOffset>97155</wp:posOffset>
                </wp:positionV>
                <wp:extent cx="8255" cy="330200"/>
                <wp:effectExtent l="0" t="0" r="0" b="0"/>
                <wp:wrapNone/>
                <wp:docPr id="16" name="文本框 29"/>
                <wp:cNvGraphicFramePr/>
                <a:graphic xmlns:a="http://schemas.openxmlformats.org/drawingml/2006/main">
                  <a:graphicData uri="http://schemas.microsoft.com/office/word/2010/wordprocessingShape">
                    <wps:wsp>
                      <wps:cNvSpPr txBox="1"/>
                      <wps:spPr>
                        <a:xfrm>
                          <a:off x="0" y="0"/>
                          <a:ext cx="8255" cy="330200"/>
                        </a:xfrm>
                        <a:prstGeom prst="rect">
                          <a:avLst/>
                        </a:prstGeom>
                        <a:noFill/>
                        <a:ln>
                          <a:noFill/>
                        </a:ln>
                      </wps:spPr>
                      <wps:txbx>
                        <w:txbxContent>
                          <w:p w:rsidR="000B7F67" w:rsidRDefault="000B7F67" w:rsidP="000B7F67">
                            <w:pPr>
                              <w:pStyle w:val="a6"/>
                              <w:kinsoku w:val="0"/>
                              <w:overflowPunct w:val="0"/>
                              <w:spacing w:before="0" w:line="520" w:lineRule="exact"/>
                              <w:ind w:left="0" w:firstLine="19"/>
                              <w:rPr>
                                <w:rFonts w:hint="default"/>
                                <w:sz w:val="52"/>
                              </w:rPr>
                            </w:pPr>
                            <w:r>
                              <w:rPr>
                                <w:spacing w:val="-482"/>
                                <w:w w:val="95"/>
                                <w:sz w:val="52"/>
                              </w:rPr>
                              <w:t>。</w:t>
                            </w:r>
                          </w:p>
                        </w:txbxContent>
                      </wps:txbx>
                      <wps:bodyPr vert="horz" wrap="square" lIns="0" tIns="0" rIns="0" bIns="0" upright="1"/>
                    </wps:wsp>
                  </a:graphicData>
                </a:graphic>
              </wp:anchor>
            </w:drawing>
          </mc:Choice>
          <mc:Fallback>
            <w:pict>
              <v:shapetype w14:anchorId="594E5F50" id="_x0000_t202" coordsize="21600,21600" o:spt="202" path="m,l,21600r21600,l21600,xe">
                <v:stroke joinstyle="miter"/>
                <v:path gradientshapeok="t" o:connecttype="rect"/>
              </v:shapetype>
              <v:shape id="文本框 29" o:spid="_x0000_s1026" type="#_x0000_t202" style="position:absolute;left:0;text-align:left;margin-left:52.3pt;margin-top:7.65pt;width:.65pt;height:26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" filled="f" stroked="f">
                <v:textbox inset="0,0,0,0">
                  <w:txbxContent>
                    <w:p w:rsidR="000B7F67" w:rsidRDefault="000B7F67" w:rsidP="000B7F67">
                      <w:pPr>
                        <w:pStyle w:val="a6"/>
                        <w:kinsoku w:val="0"/>
                        <w:overflowPunct w:val="0"/>
                        <w:spacing w:before="0" w:line="520" w:lineRule="exact"/>
                        <w:ind w:left="0" w:firstLine="19"/>
                        <w:rPr>
                          <w:rFonts w:hint="default"/>
                          <w:sz w:val="52"/>
                        </w:rPr>
                      </w:pPr>
                      <w:r>
                        <w:rPr>
                          <w:spacing w:val="-482"/>
                          <w:w w:val="95"/>
                          <w:sz w:val="52"/>
                        </w:rPr>
                        <w:t>。</w:t>
                      </w:r>
                    </w:p>
                  </w:txbxContent>
                </v:textbox>
                <w10:wrap anchorx="page"/>
              </v:shape>
            </w:pict>
          </mc:Fallback>
        </mc:AlternateContent>
      </w:r>
      <w:r>
        <w:rPr>
          <w:rFonts w:ascii="仿宋" w:eastAsia="仿宋" w:hAnsi="仿宋" w:cs="仿宋"/>
          <w:w w:val="105"/>
          <w:sz w:val="24"/>
          <w:szCs w:val="24"/>
        </w:rPr>
        <w:t>d)  电源频率应符合 GB 9706.1-2007 中 6.1 h)的要求；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e)  输入功率应符合 GB 9706.1-2007 中 6.1 j)的要求；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f)  电气安全分类应符合 GB 9706.1-2007 中 6.1 l)的要求；</w:t>
      </w:r>
    </w:p>
    <w:p w:rsidR="000B7F67" w:rsidRDefault="000B7F67" w:rsidP="000B7F67">
      <w:pPr>
        <w:pStyle w:val="a6"/>
        <w:kinsoku w:val="0"/>
        <w:overflowPunct w:val="0"/>
        <w:spacing w:line="267" w:lineRule="auto"/>
        <w:ind w:leftChars="209" w:left="912" w:hangingChars="180" w:hanging="452"/>
        <w:rPr>
          <w:rFonts w:ascii="仿宋" w:eastAsia="仿宋" w:hAnsi="仿宋" w:cs="仿宋" w:hint="default"/>
          <w:w w:val="105"/>
          <w:sz w:val="24"/>
          <w:szCs w:val="24"/>
        </w:rPr>
      </w:pPr>
      <w:r>
        <w:rPr>
          <w:rFonts w:ascii="仿宋" w:eastAsia="仿宋" w:hAnsi="仿宋" w:cs="仿宋"/>
          <w:w w:val="105"/>
          <w:sz w:val="24"/>
          <w:szCs w:val="24"/>
        </w:rPr>
        <w:lastRenderedPageBreak/>
        <w:t>g)  激光防护标记应符合 GB 7247.1-2012 中第 5 章和 GB 9706.20-2000 中有关分类、说明标记及窗口标记的文字、图形符号和粘贴位置的规定；</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h)  熔断器应符合 GB 9706.1-2007 中 6.1 n)的要求。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sz w:val="24"/>
          <w:szCs w:val="24"/>
        </w:rPr>
      </w:pPr>
      <w:r>
        <w:rPr>
          <w:rFonts w:ascii="仿宋" w:eastAsia="仿宋" w:hAnsi="仿宋" w:cs="仿宋"/>
          <w:w w:val="105"/>
          <w:sz w:val="24"/>
          <w:szCs w:val="24"/>
        </w:rPr>
        <w:t>按 GB 9706.1-2007 中 6.1 的规定方法进行试验，检验是否符合要求。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  内部标记</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sz w:val="24"/>
          <w:szCs w:val="24"/>
        </w:rPr>
      </w:pPr>
      <w:r>
        <w:rPr>
          <w:rFonts w:ascii="仿宋" w:eastAsia="仿宋" w:hAnsi="仿宋" w:cs="仿宋"/>
          <w:w w:val="105"/>
          <w:sz w:val="24"/>
          <w:szCs w:val="24"/>
        </w:rPr>
        <w:t>至少应有下列“永久贴牢的”、“清楚易认的”标记：</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高电压部件应符合 GB 9706.1-2007 中 6.2 c)的要求；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只有使用工具才能触及到的熔断器应符合 GB 9706.1-2007 中 6.2e)的要求；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保护接地端子应符合 GB 9706.1-2007 中 6.2 f)的要求；</w:t>
      </w:r>
    </w:p>
    <w:p w:rsidR="000B7F67" w:rsidRDefault="000B7F67" w:rsidP="000B7F67">
      <w:pPr>
        <w:pStyle w:val="a6"/>
        <w:kinsoku w:val="0"/>
        <w:overflowPunct w:val="0"/>
        <w:spacing w:line="267" w:lineRule="auto"/>
        <w:ind w:leftChars="209" w:left="912" w:hangingChars="180" w:hanging="452"/>
        <w:rPr>
          <w:rFonts w:ascii="仿宋" w:eastAsia="仿宋" w:hAnsi="仿宋" w:cs="仿宋" w:hint="default"/>
          <w:w w:val="105"/>
          <w:sz w:val="24"/>
          <w:szCs w:val="24"/>
        </w:rPr>
      </w:pPr>
      <w:r>
        <w:rPr>
          <w:rFonts w:ascii="仿宋" w:eastAsia="仿宋" w:hAnsi="仿宋" w:cs="仿宋"/>
          <w:w w:val="105"/>
          <w:sz w:val="24"/>
          <w:szCs w:val="24"/>
        </w:rPr>
        <w:t>d)  要求标在电气连接点上或其附近的标记及在端子上或其附近的标记应符合 GB 9706.1-2007 中 6.2 j)的要求；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e)  电容器和(或)所接的电路元件应符合 GB 9706.1-2007 中 6.2 n)时的要求。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6.2 规定方法进行试验，检验是否符合要求。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  控制器件和仪表的标记</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控制器件和仪表的标记应符合下列要求：</w:t>
      </w:r>
    </w:p>
    <w:p w:rsidR="000B7F67" w:rsidRDefault="000B7F67" w:rsidP="000B7F67">
      <w:pPr>
        <w:pStyle w:val="a6"/>
        <w:numPr>
          <w:ilvl w:val="0"/>
          <w:numId w:val="8"/>
        </w:numPr>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 xml:space="preserve"> 电源开关“通”“断”位置应符合 GB 9706.1-2007 中 6.3 a)的要求；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控制装置和开关的各档位置应符合 GB 9706.1-2007 中 6.3 b)的要求；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控制器应符合 GB 9706.1-2007 中 6.3 c)的要求；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d)  操作者操作的控制器和指示器(若有)应符合 GB 9706.1-2007 中 6.3 f)的要求。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sz w:val="24"/>
          <w:szCs w:val="24"/>
        </w:rPr>
      </w:pPr>
      <w:r>
        <w:rPr>
          <w:rFonts w:ascii="仿宋" w:eastAsia="仿宋" w:hAnsi="仿宋" w:cs="仿宋"/>
          <w:w w:val="105"/>
          <w:sz w:val="24"/>
          <w:szCs w:val="24"/>
        </w:rPr>
        <w:t>按 GB 9706.1-2007 中 6.1 的耐久性进行试验，检验 6.3 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  符号</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A.2.1～A.2.3 中用作标记的符号应符合 GB 9706.1-2007 中 6.4、GB 9706.20-2000 中附录 D 和 GB 7247.1-2012 中图 1、图 2 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 xml:space="preserve">A.2.4.2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通过检查，予以验证。</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  导线绝缘的颜色</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导线绝缘的颜色应符合下列要求：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保护接地导线的整个长度的颜色应符合 GB 9706.1-2007 中 6.5 a)的要求；</w:t>
      </w:r>
    </w:p>
    <w:p w:rsidR="000B7F67" w:rsidRDefault="000B7F67" w:rsidP="000B7F67">
      <w:pPr>
        <w:pStyle w:val="a6"/>
        <w:kinsoku w:val="0"/>
        <w:overflowPunct w:val="0"/>
        <w:spacing w:line="267" w:lineRule="auto"/>
        <w:ind w:leftChars="209" w:left="912" w:hangingChars="180" w:hanging="452"/>
        <w:rPr>
          <w:rFonts w:ascii="仿宋" w:eastAsia="仿宋" w:hAnsi="仿宋" w:cs="仿宋" w:hint="default"/>
          <w:w w:val="105"/>
          <w:sz w:val="24"/>
          <w:szCs w:val="24"/>
        </w:rPr>
      </w:pPr>
      <w:r>
        <w:rPr>
          <w:rFonts w:ascii="仿宋" w:eastAsia="仿宋" w:hAnsi="仿宋" w:cs="仿宋"/>
          <w:w w:val="105"/>
          <w:sz w:val="24"/>
          <w:szCs w:val="24"/>
        </w:rPr>
        <w:t>b)  设备内部将可触及的金属部分或其他具有保护功能的保护接地部件与保护接地端子相连的导线上的绝缘体的颜色应符合 GB 9706.1-2007 中 6.5 b)的要求；</w:t>
      </w:r>
    </w:p>
    <w:p w:rsidR="000B7F67" w:rsidRDefault="000B7F67" w:rsidP="000B7F67">
      <w:pPr>
        <w:pStyle w:val="a6"/>
        <w:kinsoku w:val="0"/>
        <w:overflowPunct w:val="0"/>
        <w:spacing w:line="267" w:lineRule="auto"/>
        <w:ind w:leftChars="209" w:left="912" w:hangingChars="180" w:hanging="452"/>
        <w:rPr>
          <w:rFonts w:ascii="仿宋" w:eastAsia="仿宋" w:hAnsi="仿宋" w:cs="仿宋" w:hint="default"/>
          <w:w w:val="105"/>
          <w:sz w:val="24"/>
          <w:szCs w:val="24"/>
        </w:rPr>
      </w:pPr>
      <w:r>
        <w:rPr>
          <w:rFonts w:ascii="仿宋" w:eastAsia="仿宋" w:hAnsi="仿宋" w:cs="仿宋"/>
          <w:w w:val="105"/>
          <w:sz w:val="24"/>
          <w:szCs w:val="24"/>
        </w:rPr>
        <w:t>c)  电源软电线中同电源系统中性线绝缘体的颜色应符合 GB 9706.1-2007 中 6.5 d)的要求；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d)  电源软电线中导线绝缘的颜色应符合 GB 9706.1-2007 中 6.5 e)时的要求。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 A.2.5.1 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A.2.6  气体识别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A.2.7  气体连接点识别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  指示灯颜色</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6.7 a)的要求。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A.2.8.2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  按钮颜色</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6.7 b)的要求。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  随机文件齐全性</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6.8.1 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A.2.10.2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通过检查随机文件的内容来检验是否符合要求。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  使用说明书</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A.2.11.1  要求</w:t>
      </w:r>
    </w:p>
    <w:p w:rsidR="000B7F67" w:rsidRPr="001C2C39"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1C2C39">
        <w:rPr>
          <w:rFonts w:ascii="仿宋" w:eastAsia="仿宋" w:hAnsi="仿宋" w:cs="仿宋"/>
          <w:w w:val="105"/>
          <w:sz w:val="24"/>
          <w:szCs w:val="24"/>
        </w:rPr>
        <w:lastRenderedPageBreak/>
        <w:t>应符合 GB 7247.1-2012 6.1、GB9706.1-2007 和 GB9706.20-2000 中 6.8.2 的适用要求。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A.2.11.2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通过对使用说明书的内容进行检查来验是否符合要求。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A.2.12  技术说明书</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6.8.3 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A.2.12.2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通过对技术说明书的内容进行检查来检验是否符合要求。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A.2.13  输入功率</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7.1 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7.1 的规定进行。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A.2.14  环境试验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A.2.14.1  运输和贮存</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在运输或贮存的包装状态下，设备应能放置于制造商规定的环境条件下。</w:t>
      </w:r>
    </w:p>
    <w:p w:rsidR="000B7F67" w:rsidRPr="00C23F7F"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sidRPr="00C23F7F">
        <w:rPr>
          <w:rFonts w:asciiTheme="majorEastAsia" w:eastAsiaTheme="majorEastAsia" w:hAnsiTheme="majorEastAsia" w:cstheme="majorEastAsia"/>
          <w:b/>
          <w:bCs/>
          <w:sz w:val="24"/>
          <w:szCs w:val="24"/>
        </w:rPr>
        <w:t>A.2.14.2  运行</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当治疗机在下列条件最不利的组合环境下正常使用运行时，必须符合本标准的所有要求：</w:t>
      </w:r>
    </w:p>
    <w:p w:rsidR="000B7F67" w:rsidRPr="00C23F7F" w:rsidRDefault="000B7F67" w:rsidP="000B7F67">
      <w:pPr>
        <w:pStyle w:val="a6"/>
        <w:numPr>
          <w:ilvl w:val="0"/>
          <w:numId w:val="9"/>
        </w:numPr>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noProof/>
          <w:w w:val="105"/>
          <w:sz w:val="24"/>
          <w:szCs w:val="24"/>
        </w:rPr>
        <mc:AlternateContent>
          <mc:Choice Requires="wps">
            <w:drawing>
              <wp:anchor distT="0" distB="0" distL="114300" distR="114300" simplePos="0" relativeHeight="251660288" behindDoc="1" locked="0" layoutInCell="1" allowOverlap="1" wp14:anchorId="032290DD" wp14:editId="601C2282">
                <wp:simplePos x="0" y="0"/>
                <wp:positionH relativeFrom="page">
                  <wp:posOffset>632460</wp:posOffset>
                </wp:positionH>
                <wp:positionV relativeFrom="paragraph">
                  <wp:posOffset>128270</wp:posOffset>
                </wp:positionV>
                <wp:extent cx="34290" cy="298450"/>
                <wp:effectExtent l="0" t="0" r="0" b="0"/>
                <wp:wrapNone/>
                <wp:docPr id="17" name="文本框 30"/>
                <wp:cNvGraphicFramePr/>
                <a:graphic xmlns:a="http://schemas.openxmlformats.org/drawingml/2006/main">
                  <a:graphicData uri="http://schemas.microsoft.com/office/word/2010/wordprocessingShape">
                    <wps:wsp>
                      <wps:cNvSpPr txBox="1"/>
                      <wps:spPr>
                        <a:xfrm>
                          <a:off x="0" y="0"/>
                          <a:ext cx="34290" cy="298450"/>
                        </a:xfrm>
                        <a:prstGeom prst="rect">
                          <a:avLst/>
                        </a:prstGeom>
                        <a:noFill/>
                        <a:ln>
                          <a:noFill/>
                        </a:ln>
                      </wps:spPr>
                      <wps:txbx>
                        <w:txbxContent>
                          <w:p w:rsidR="000B7F67" w:rsidRDefault="000B7F67" w:rsidP="000B7F67">
                            <w:pPr>
                              <w:pStyle w:val="a6"/>
                              <w:kinsoku w:val="0"/>
                              <w:overflowPunct w:val="0"/>
                              <w:spacing w:before="0" w:line="470" w:lineRule="exact"/>
                              <w:ind w:left="0" w:firstLine="102"/>
                              <w:rPr>
                                <w:rFonts w:hint="default"/>
                                <w:sz w:val="47"/>
                              </w:rPr>
                            </w:pPr>
                            <w:r>
                              <w:rPr>
                                <w:spacing w:val="-441"/>
                                <w:w w:val="105"/>
                                <w:sz w:val="47"/>
                              </w:rPr>
                              <w:t>。</w:t>
                            </w:r>
                          </w:p>
                        </w:txbxContent>
                      </wps:txbx>
                      <wps:bodyPr vert="horz" wrap="square" lIns="0" tIns="0" rIns="0" bIns="0" upright="1"/>
                    </wps:wsp>
                  </a:graphicData>
                </a:graphic>
              </wp:anchor>
            </w:drawing>
          </mc:Choice>
          <mc:Fallback>
            <w:pict>
              <v:shape w14:anchorId="032290DD" id="文本框 30" o:spid="_x0000_s1027" type="#_x0000_t202" style="position:absolute;left:0;text-align:left;margin-left:49.8pt;margin-top:10.1pt;width:2.7pt;height:23.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" filled="f" stroked="f">
                <v:textbox inset="0,0,0,0">
                  <w:txbxContent>
                    <w:p w:rsidR="000B7F67" w:rsidRDefault="000B7F67" w:rsidP="000B7F67">
                      <w:pPr>
                        <w:pStyle w:val="a6"/>
                        <w:kinsoku w:val="0"/>
                        <w:overflowPunct w:val="0"/>
                        <w:spacing w:before="0" w:line="470" w:lineRule="exact"/>
                        <w:ind w:left="0" w:firstLine="102"/>
                        <w:rPr>
                          <w:rFonts w:hint="default"/>
                          <w:sz w:val="47"/>
                        </w:rPr>
                      </w:pPr>
                      <w:r>
                        <w:rPr>
                          <w:spacing w:val="-441"/>
                          <w:w w:val="105"/>
                          <w:sz w:val="47"/>
                        </w:rPr>
                        <w:t>。</w:t>
                      </w:r>
                    </w:p>
                  </w:txbxContent>
                </v:textbox>
                <w10:wrap anchorx="page"/>
              </v:shape>
            </w:pict>
          </mc:Fallback>
        </mc:AlternateContent>
      </w:r>
      <w:r w:rsidRPr="00C23F7F">
        <w:rPr>
          <w:rFonts w:ascii="仿宋" w:eastAsia="仿宋" w:hAnsi="仿宋" w:cs="仿宋"/>
          <w:w w:val="105"/>
          <w:sz w:val="24"/>
          <w:szCs w:val="24"/>
        </w:rPr>
        <w:t xml:space="preserve"> 环境温度范围：+5℃～+40℃；</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b)  相对湿度范围：10%～90%；</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c)  大气压力范围 ：700 hPa～1060 hPa；</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d)  水冷设备进水口水温不高于25℃。</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A.2.15  安全类型</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A.2.15.1  要求</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治疗机应具有下列安全类型：</w:t>
      </w:r>
    </w:p>
    <w:p w:rsidR="000B7F67" w:rsidRPr="00C23F7F" w:rsidRDefault="000B7F67" w:rsidP="000B7F67">
      <w:pPr>
        <w:pStyle w:val="a6"/>
        <w:numPr>
          <w:ilvl w:val="0"/>
          <w:numId w:val="10"/>
        </w:numPr>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 xml:space="preserve"> 防电击类型：I类或E类；</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b)  防电击程度：B型或BF型；</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c)  按对有害进液的防护和程度：普通设备(不防进液的封闭设备)；</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d)  工作光按光危害防护分：Ⅲ类；</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e)  定位指示光按激光防护分：ⅢA类；</w:t>
      </w:r>
    </w:p>
    <w:p w:rsidR="000B7F67" w:rsidRPr="00C23F7F"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C23F7F">
        <w:rPr>
          <w:rFonts w:ascii="仿宋" w:eastAsia="仿宋" w:hAnsi="仿宋" w:cs="仿宋"/>
          <w:w w:val="105"/>
          <w:sz w:val="24"/>
          <w:szCs w:val="24"/>
        </w:rPr>
        <w:t>f)</w:t>
      </w:r>
      <w:r w:rsidRPr="00C23F7F">
        <w:rPr>
          <w:rFonts w:ascii="仿宋" w:eastAsia="仿宋" w:hAnsi="仿宋" w:cs="仿宋"/>
          <w:w w:val="105"/>
          <w:sz w:val="24"/>
          <w:szCs w:val="24"/>
        </w:rPr>
        <w:tab/>
        <w:t xml:space="preserve"> 按工作制分：工作光连续运行，定位光间歇加载。</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A.2.15.2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通过检查和有关试验来检验是否符合要求。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A.2.16  剩余电压</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A.2.16.1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15 b)的要求。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A.2.16.2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15 b)的规定方法进行试验。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A.2.17  剩余能量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A.2.18  外壳的封闭性</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A.2.18.1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16 a)的要求。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A.2.18.2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用 GB 9706.1-2007 中图 7 所示的标准试验指、GB 9706. 1-2007 中图 8 所示的试验针和 GB 9706.1-2007 中图 9 所示的试验钩，按 GB 9706.1-2007 中 16a)规定的方法进行试验。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A.2.19  不用工具就可打开的罩和门的安全性</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A.2.19.1  要求</w:t>
      </w:r>
    </w:p>
    <w:p w:rsidR="000B7F67" w:rsidRPr="00F6608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F66087">
        <w:rPr>
          <w:rFonts w:ascii="仿宋" w:eastAsia="仿宋" w:hAnsi="仿宋" w:cs="仿宋"/>
          <w:w w:val="105"/>
          <w:sz w:val="24"/>
          <w:szCs w:val="24"/>
        </w:rPr>
        <w:t>应符合 GB 9706.1-2007 中 16 a) 5)的要求。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A.2.19.2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16 a)规定的方法进行试验。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A.2.20  灯泡安全性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A.2.21  顶盖安全性</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A.2.21.1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 xml:space="preserve">应符合 GB 9706.1-2007 中 16 b)的要求。 </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A.2.21.2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16 b)的规定方法进行试验。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A.2.22  控制器件的保护阻抗</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16 c)的要求。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A.2.22.2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16 c)的规定方法进行试验 。</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A.2.23  带电件防护与标记</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16 d)的要求。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16 d)规定的方法进行试验。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A.2.24  整机外壳安全性</w:t>
      </w:r>
    </w:p>
    <w:p w:rsidR="000B7F67" w:rsidRDefault="000B7F67" w:rsidP="000B7F67">
      <w:pPr>
        <w:pStyle w:val="a6"/>
        <w:kinsoku w:val="0"/>
        <w:overflowPunct w:val="0"/>
        <w:spacing w:before="61"/>
        <w:ind w:leftChars="25" w:left="55" w:firstLine="482"/>
        <w:rPr>
          <w:rFonts w:ascii="仿宋" w:eastAsia="仿宋" w:hAnsi="仿宋" w:cs="仿宋" w:hint="default"/>
          <w:w w:val="105"/>
          <w:sz w:val="24"/>
          <w:szCs w:val="24"/>
        </w:rPr>
      </w:pPr>
      <w:r>
        <w:rPr>
          <w:rFonts w:asciiTheme="majorEastAsia" w:eastAsiaTheme="majorEastAsia" w:hAnsiTheme="majorEastAsia" w:cstheme="majorEastAsia"/>
          <w:b/>
          <w:bCs/>
          <w:noProof/>
          <w:sz w:val="24"/>
          <w:szCs w:val="24"/>
        </w:rPr>
        <mc:AlternateContent>
          <mc:Choice Requires="wps">
            <w:drawing>
              <wp:anchor distT="0" distB="0" distL="114300" distR="114300" simplePos="0" relativeHeight="251661312" behindDoc="0" locked="0" layoutInCell="1" allowOverlap="1" wp14:anchorId="3264C639" wp14:editId="5F153FE3">
                <wp:simplePos x="0" y="0"/>
                <wp:positionH relativeFrom="page">
                  <wp:posOffset>291465</wp:posOffset>
                </wp:positionH>
                <wp:positionV relativeFrom="paragraph">
                  <wp:posOffset>141605</wp:posOffset>
                </wp:positionV>
                <wp:extent cx="836295" cy="396240"/>
                <wp:effectExtent l="0" t="0" r="0" b="0"/>
                <wp:wrapNone/>
                <wp:docPr id="20" name="文本框 33"/>
                <wp:cNvGraphicFramePr/>
                <a:graphic xmlns:a="http://schemas.openxmlformats.org/drawingml/2006/main">
                  <a:graphicData uri="http://schemas.microsoft.com/office/word/2010/wordprocessingShape">
                    <wps:wsp>
                      <wps:cNvSpPr txBox="1"/>
                      <wps:spPr>
                        <a:xfrm>
                          <a:off x="0" y="0"/>
                          <a:ext cx="836295" cy="396240"/>
                        </a:xfrm>
                        <a:prstGeom prst="rect">
                          <a:avLst/>
                        </a:prstGeom>
                        <a:noFill/>
                        <a:ln>
                          <a:noFill/>
                        </a:ln>
                      </wps:spPr>
                      <wps:txbx>
                        <w:txbxContent>
                          <w:p w:rsidR="000B7F67" w:rsidRDefault="000B7F67" w:rsidP="000B7F67"/>
                        </w:txbxContent>
                      </wps:txbx>
                      <wps:bodyPr vert="eaVert" wrap="square" lIns="0" tIns="0" rIns="0" bIns="0" anchor="t" upright="1"/>
                    </wps:wsp>
                  </a:graphicData>
                </a:graphic>
              </wp:anchor>
            </w:drawing>
          </mc:Choice>
          <mc:Fallback>
            <w:pict>
              <v:shape w14:anchorId="3264C639" id="文本框 33" o:spid="_x0000_s1028" type="#_x0000_t202" style="position:absolute;left:0;text-align:left;margin-left:22.95pt;margin-top:11.15pt;width:65.85pt;height:31.2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" filled="f" stroked="f">
                <v:textbox style="layout-flow:vertical-ideographic" inset="0,0,0,0">
                  <w:txbxContent>
                    <w:p w:rsidR="000B7F67" w:rsidRDefault="000B7F67" w:rsidP="000B7F67"/>
                  </w:txbxContent>
                </v:textbox>
                <w10:wrap anchorx="page"/>
              </v:shape>
            </w:pict>
          </mc:Fallback>
        </mc:AlternateContent>
      </w:r>
      <w:r>
        <w:rPr>
          <w:rFonts w:asciiTheme="majorEastAsia" w:eastAsiaTheme="majorEastAsia" w:hAnsiTheme="majorEastAsia" w:cstheme="majorEastAsia"/>
          <w:b/>
          <w:bCs/>
          <w:sz w:val="24"/>
          <w:szCs w:val="24"/>
        </w:rPr>
        <w:t>A.2.24.1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16 e)的规定方法进行试验。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A.2.25  调节孔安全性</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16 f)的要求。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A.2.25.2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16 f)的规定方法进行试验。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A.2.26  隔离程度</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A.2.26.1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17 a)的要求。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A.2.26.2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17 a)规定方法进行试验。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A.2.27  应用部分的隔离(适用时)</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A.2.27.1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17 c)的要求。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A.2.27.2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17 c)的规定方法进行试验。</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A.2.28  软轴的隔离</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A.2.29  可触及部件的隔离</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A.2.29.1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17 g)的要求。</w:t>
      </w:r>
    </w:p>
    <w:p w:rsidR="000B7F67" w:rsidRDefault="000B7F67" w:rsidP="000B7F67">
      <w:pPr>
        <w:pStyle w:val="a6"/>
        <w:kinsoku w:val="0"/>
        <w:overflowPunct w:val="0"/>
        <w:spacing w:before="61"/>
        <w:ind w:leftChars="25" w:left="55"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A.2.29.2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17 g)的规定方法进行试验。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w w:val="110"/>
          <w:sz w:val="24"/>
          <w:szCs w:val="24"/>
        </w:rPr>
      </w:pPr>
      <w:r>
        <w:rPr>
          <w:rFonts w:asciiTheme="majorEastAsia" w:eastAsiaTheme="majorEastAsia" w:hAnsiTheme="majorEastAsia" w:cstheme="majorEastAsia"/>
          <w:b/>
          <w:bCs/>
          <w:sz w:val="24"/>
          <w:szCs w:val="24"/>
        </w:rPr>
        <w:t>A.2.30  电位均衡导线连接装置</w:t>
      </w:r>
      <w:r>
        <w:rPr>
          <w:rFonts w:asciiTheme="majorEastAsia" w:eastAsiaTheme="majorEastAsia" w:hAnsiTheme="majorEastAsia" w:cstheme="majorEastAsia"/>
          <w:b/>
          <w:bCs/>
          <w:w w:val="110"/>
          <w:sz w:val="24"/>
          <w:szCs w:val="24"/>
        </w:rPr>
        <w:t xml:space="preserve">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A.2.31  保护接地阻抗(适用时)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A.2.31.1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18 f)的要求。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A.2.31.2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18 f)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A.2.32  功能接地端子(适用时)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18 k)的要求。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A.2.32.2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lastRenderedPageBreak/>
        <w:t xml:space="preserve">通过检查，予以验证。   </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A.2.33  功能接地线的标志(适用时)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18 k)的要求。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A.2.33.2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通过检查和测量，予以验证。</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A.2.34  正常工作温度下的连续漏电流</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和 GB 9706.20-2000 中第 19 章的要求。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A.2.34.2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19.4 的规定进行试验。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A.2.35  正常工作温度下的患者辅助电流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A.2.36  正常工作温度下电介质强度</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A.2.36.1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中第 20 章的要求。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A.2.36.2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20.4 的规定进行试验。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A.2.37  潮湿预处理后的连续漏电流</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A.2.37.1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与 A.2.34.1 要求相同。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A.2.37.2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潮湿预处理按 GB 9706.1-2007 中 4.10 规定进行。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潮湿预处理后连续漏电流试验按 GB 9706.1-2007 中 19.4 规定进行试验。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A.2.38  潮湿预处理后的患者辅助电流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A.2.39  潮湿预处理后的电介质强度</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A.2.39.1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与 A.2.36.1 要求相同。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A.2.39.2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潮湿预处理按 GB 9706.1-2007 中 4.10 规定进行。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潮湿处理后电介质强度试验按 GB 9706.1-2007 中 20.4 规定进行。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 2. 40  外壳及零部件刚度</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A.2.40.1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lastRenderedPageBreak/>
        <w:t>应符合 GB 9706.1-2007 中 2l a)的规定。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A.2.40.2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21 a)的规定方法进行试验。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A.2.41  外壳及零部件强度</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A.2.41.1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21 b)的规定。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A.2.41.2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21 b)的规定方法进行试验。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A.2.42  提拎装置承载能力(适用时)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2l c)的规定。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A.2.42.2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2l c)的规定方法进行试验。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A.2.43  支撑件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A.2.44  坠落(适用时)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21.5 的规定。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A.2.44.2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21.5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A.2.45  搬运应力</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21.6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A.2.45.2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21.6 的规定方法进行试验 。</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A.2.46  运动部件的防护</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A.2.47  传动部件的安全性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A.2.48  运动部件的可控性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A.2.49  易损部件的可查性</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A.2.50  电控机械运动安全性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 xml:space="preserve">A.2.51  紧急装置可靠性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A.2.52  面、角、边的安全性</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中第 23 章的要求。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A.2.52.2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A.2.53  设备的稳定性</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24.1 或 24.3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24.3 的规定方法进行试验 。</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A.2.54  可搬运性</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24.6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A.2.54.2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24.6 的规定方法进行试验 。</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A.2.55  防飞溅能力</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A.2.56  显像管抗内爆和冲击能力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A.2.57  有安全装置的悬挂系统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A.2.58  无安全装置的金属悬挂系统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仿宋" w:eastAsia="仿宋" w:hAnsi="仿宋" w:cs="仿宋" w:hint="default"/>
          <w:w w:val="105"/>
          <w:sz w:val="24"/>
          <w:szCs w:val="24"/>
        </w:rPr>
      </w:pPr>
      <w:r>
        <w:rPr>
          <w:rFonts w:asciiTheme="majorEastAsia" w:eastAsiaTheme="majorEastAsia" w:hAnsiTheme="majorEastAsia" w:cstheme="majorEastAsia"/>
          <w:b/>
          <w:bCs/>
          <w:sz w:val="24"/>
          <w:szCs w:val="24"/>
        </w:rPr>
        <w:t>A.2.59  离子辐射</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A.2.60  AP 型和 APG 型设备位置要求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A.2.61  AP 型和 APG 型设备标记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A.2.62  AP 和 APG 型设备随机文件 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A.2.63  电气连接</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A.2.64  外壳结构</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lastRenderedPageBreak/>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A.2.65  静电预防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A.2.66  电晕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A.2.67  AP 型设备性能要求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A.2.68  APG 型设备性能要求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A.2.69  超温运行的防止</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A.2.69.1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中第 42 章的要求。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A.2.69.2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中第 42 章的规定方法进行试验。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A.2.70  溢流(适用时)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A.2.70.1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44.2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A.2.70.2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44.2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A.2.71  液体泼洒</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A.2.72  泄漏(适用时)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44.4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A.2.72.2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44.4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A.2.73  受潮</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44.5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44.5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A.2.74  进液</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A.2.75  清洗、消毒和灭菌(适用时)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A.2.75.1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44.7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A.2.75.2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44.7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A.2.76  压力容器的水压试验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A.2.77  受压部件承受的最大压力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A.2.78  压力释放装置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A.2.79  自动复位装置的选择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A.2.80  电源中断后的复位</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A.2.80.1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和 GB 9706.20-2000 中 49.2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A.2.80.2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通过功能检查进行试验。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A.2.81  电源申断后解除机械压力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A.2.82  危险输出的防止</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危险输出的防止应符合下列要求：</w:t>
      </w:r>
    </w:p>
    <w:p w:rsidR="000B7F67" w:rsidRDefault="000B7F67" w:rsidP="000B7F67">
      <w:pPr>
        <w:pStyle w:val="a6"/>
        <w:numPr>
          <w:ilvl w:val="0"/>
          <w:numId w:val="11"/>
        </w:numPr>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 xml:space="preserve"> 有关安全参数的指示应符合 GB 9706.20-2000 中 51.2 的规定；</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采用开环系统时，不正确的输出应符合 GB 9706.20-2000 中 51.5 的规定；</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紧急激光终止器应符合 GB 9706.20-2000 中 51.101 的规定。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A.2.82.2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按下列方法进行试验：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按 GB 9706.20-2000 中 51.2 的规定方法进行试验；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通过检查和测量来检验是否符合要求；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通过检查和测量来检验是否符合要求。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A.2.83  应考虑的安全方面的危险</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52.4 和 GB 9706.20-2000 中 52.4.101的要求。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A.2.83.2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52.4 和 GB 9706.20-2000 中 52.4.101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A.2.84  单一故障状态的要求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52.5 的适用要求和 GB 9706.20-2000 中 52.5.9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A.2.84.2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52.5 的规定，通过检查和测量来检验是否符合要求。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A.2.85  元器件的标记</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56.l b)的要求。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A.2.85.2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检查元器件的额定值，弄清这些额定值与元器件在设备中的使用条件是否相违来检验是否符合要求。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A.2.86  元器件的固定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A.2.86.1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56.1 d)的要求。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A.2.86.2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A.2.87  电线的固定</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A.2.87.1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56.1 f)的要求。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A.2.87.2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A.2.88  连接器的结构</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A.2.88.1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56.3 a)的要求。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A.2.88.2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通过检查来检验是否符合要求，根据情况可以互换连接头，以证实不存在安全方面的危险(漏电流超过正常状态时的值、温度等)。</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A.2.89  部件之间的连接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A.2.90  电容器的连接</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A.2.90.1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56.4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A.2.90.2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A.2.91  保护装置</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A.2.91.1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56.5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A.2.91.2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 。</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A.2.92  温度和过载控制装置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A.2.93  电池</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A.2.94  指示器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56.8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A.2.94.2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通过检查是否有指示器及在正常使用位置时指示装置能否看得清来检验是否符合要求。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A.2.95  控制器的操作部件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控制器的操作部件应符合下列要求：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防电击应符合 GB 9706.1-2007 中 56.10 a)的要求；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固定、防止误调应符合 GB 9706.1-2007 中 56.10 b)的要求；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限制移动应符合 GB 9706.1-2007 中 56.10 c)的要求。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A.2.95.2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按下列方法进行试验：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防电击按 GB 9706.1-2007 中 56.10 a)规定方法进行试验；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固定、防止误调按 GB 9706.1-2007 中 56.10 b)的规定方法进行试验；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限制移动按 GB 9706.1-2007 中 56.10 c)的规定方法进行试验。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A.2.96  有电线连接的手持和脚踏式撞制装置</w:t>
      </w:r>
    </w:p>
    <w:p w:rsidR="000B7F67" w:rsidRPr="001D7525"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1D7525">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A.2.97  与供电网的分断</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A.2.97.1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lastRenderedPageBreak/>
        <w:t>应符合 GB 9706.1-2007 中 57.1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A.2.97.2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A.2.98  辅助网电源输出插座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A.2.99  电源软电线的要求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A.2.99.1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57.3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A.2.99.2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通过检查来检验是否符合标准。</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A.2.100  电源软电线的连接</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A.2.100.1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57.4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A.2.100.2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57.4 的规定方法进亏试验。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A.2.101  网电源接线端子和布线的要求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A.2.102  网电源熔断器和过流释放器的要求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9706.1-2007中 57.6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A.2.102.2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A.2.103  网电源部分的布线</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网电源部分的布线应符合下列要求：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绝缘应符合 GB 9706.1-2007 中 57.8 a)的要求。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截面积应符合 GB 9706.1-2007 中 57.8 b)的要求。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A.2.103.2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按下列方法进行试验。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绝缘通过对网电源部分导线绝缘的检验来确定是否符合要求；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截面积按 GB 9706.1-2007 中 57.8 b)的规定方法进行试验。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A.2.104  网电源变压器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电源变压器应符合下列要求：</w:t>
      </w:r>
    </w:p>
    <w:p w:rsidR="000B7F67" w:rsidRDefault="000B7F67" w:rsidP="000B7F67">
      <w:pPr>
        <w:pStyle w:val="a6"/>
        <w:numPr>
          <w:ilvl w:val="0"/>
          <w:numId w:val="12"/>
        </w:numPr>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 xml:space="preserve"> 过热应符合 GB 9706.1-2007 中 57.9.1 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lastRenderedPageBreak/>
        <w:t>b)</w:t>
      </w:r>
      <w:r>
        <w:rPr>
          <w:rFonts w:ascii="仿宋" w:eastAsia="仿宋" w:hAnsi="仿宋" w:cs="仿宋"/>
          <w:w w:val="105"/>
          <w:sz w:val="24"/>
          <w:szCs w:val="24"/>
        </w:rPr>
        <w:tab/>
        <w:t xml:space="preserve"> 电介质强度应符合 GB 9706.1-2007 中 57.9.2 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w:t>
      </w:r>
      <w:r>
        <w:rPr>
          <w:rFonts w:ascii="仿宋" w:eastAsia="仿宋" w:hAnsi="仿宋" w:cs="仿宋"/>
          <w:w w:val="105"/>
          <w:sz w:val="24"/>
          <w:szCs w:val="24"/>
        </w:rPr>
        <w:tab/>
        <w:t xml:space="preserve"> 结构应符合 GB 9706.1-2007 中 57.9.4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A.2.104.2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按下列方法进行试验：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过热按 GB 9706.1-2007 中 57.9.1 的规定方法进行试验；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电介质强度按 GB 9706.1-2007 中 57.9.2 的规定方法进行试验；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结构按 GB 9706.1-2007 中 57.9.4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A.2.105  爬电距离和电气间隙</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A.2.105.1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和 GB 9706.20-2000 中 57.10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A.2.105.2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和 GB 9706.20-2000 中 57.10 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A.2.106  保护接地一一端子和连接的要求(适用时)</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A.2.106.1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中第 58 章的要求。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A.2.106.2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通过对材料和结构的检查、手工试验以及 GB 9706.1-2007 中 57.5 的试验，来检验是否符合要求。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A.2.107  内部布线</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A.2.107.1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内部布线应符合下列要求：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机械防护应符合 GB 9706.1-2007 中 59.l a)的要求；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w:t>
      </w:r>
      <w:r>
        <w:rPr>
          <w:rFonts w:ascii="仿宋" w:eastAsia="仿宋" w:hAnsi="仿宋" w:cs="仿宋"/>
          <w:w w:val="105"/>
          <w:sz w:val="24"/>
          <w:szCs w:val="24"/>
        </w:rPr>
        <w:tab/>
        <w:t xml:space="preserve"> 弯曲应符合 GB 9706.1-2007 中 59.1 b)的要求；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w:t>
      </w:r>
      <w:r>
        <w:rPr>
          <w:rFonts w:ascii="仿宋" w:eastAsia="仿宋" w:hAnsi="仿宋" w:cs="仿宋"/>
          <w:w w:val="105"/>
          <w:sz w:val="24"/>
          <w:szCs w:val="24"/>
        </w:rPr>
        <w:tab/>
        <w:t xml:space="preserve"> 绝缘应符合 GB 9706.1-2007 中 59.1 c)的要求；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d)</w:t>
      </w:r>
      <w:r>
        <w:rPr>
          <w:rFonts w:ascii="仿宋" w:eastAsia="仿宋" w:hAnsi="仿宋" w:cs="仿宋"/>
          <w:w w:val="105"/>
          <w:sz w:val="24"/>
          <w:szCs w:val="24"/>
        </w:rPr>
        <w:tab/>
        <w:t xml:space="preserve"> 材料应符合 GB 9706.1-2007 中 59.1 d)的要求；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e)  可适用的要求应符合 GB 9706.1-2007 中 59.1 f)的要求。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A.2.107.2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 xml:space="preserve"> 按下列方法进行试验：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机械防护通过检查和手工(合适时)试验，来检验是否符合要求；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弯曲通过检查和对有关尺寸进行测量，来检验是否符合要求；</w:t>
      </w:r>
    </w:p>
    <w:p w:rsidR="000B7F67" w:rsidRDefault="000B7F67" w:rsidP="000B7F67">
      <w:pPr>
        <w:pStyle w:val="a6"/>
        <w:kinsoku w:val="0"/>
        <w:overflowPunct w:val="0"/>
        <w:spacing w:line="267" w:lineRule="auto"/>
        <w:ind w:leftChars="209" w:left="912" w:hangingChars="180" w:hanging="452"/>
        <w:rPr>
          <w:rFonts w:ascii="仿宋" w:eastAsia="仿宋" w:hAnsi="仿宋" w:cs="仿宋" w:hint="default"/>
          <w:w w:val="105"/>
          <w:sz w:val="24"/>
          <w:szCs w:val="24"/>
        </w:rPr>
      </w:pPr>
      <w:r>
        <w:rPr>
          <w:rFonts w:ascii="仿宋" w:eastAsia="仿宋" w:hAnsi="仿宋" w:cs="仿宋"/>
          <w:w w:val="105"/>
          <w:sz w:val="24"/>
          <w:szCs w:val="24"/>
        </w:rPr>
        <w:t>c)  绝缘通过检查和专门(必要时)试验并按 GB 9706.1-2007 中第42章的规定测定温度，来检验是否符合要求；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d)  材料通过检查来检验是否符合要求；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e)  可适用的要求通过检查来检验是否符合要求。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lastRenderedPageBreak/>
        <w:t>A.2.108  绝缘</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A.2.108.1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绝缘应符合下列要求：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w:t>
      </w:r>
      <w:r>
        <w:rPr>
          <w:rFonts w:ascii="仿宋" w:eastAsia="仿宋" w:hAnsi="仿宋" w:cs="仿宋"/>
          <w:w w:val="105"/>
          <w:sz w:val="24"/>
          <w:szCs w:val="24"/>
        </w:rPr>
        <w:tab/>
        <w:t xml:space="preserve"> 机械强度、耐热和耐火性应符合GB 9706.1-2007 中 59.2 b)的要求；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w:t>
      </w:r>
      <w:r>
        <w:rPr>
          <w:rFonts w:ascii="仿宋" w:eastAsia="仿宋" w:hAnsi="仿宋" w:cs="仿宋"/>
          <w:w w:val="105"/>
          <w:sz w:val="24"/>
          <w:szCs w:val="24"/>
        </w:rPr>
        <w:tab/>
        <w:t xml:space="preserve"> 防护应符合 GB 9706.1-2007 中 59.2 c)的要求。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A.2.108.2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按下列方法进行试验：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机械强度、耐热和耐火性按 GB 9706.1-2007 中 59.2 b)的规定方法进行试验；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防护按 GB 9706.1-2007 中 59.2 c)的规定方法进行试验。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A.2.109  过电流和过电压保护</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A.2.109.1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9706.1-2007 中 59.3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A.2.109.2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 GB 9706.1-2007 中 59.3 的规定方法进行试验 。</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A.2.110  油箱要求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不适用。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A.2.111  激光辐射</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A.2.111.1  要求</w:t>
      </w:r>
    </w:p>
    <w:p w:rsidR="000B7F67" w:rsidRPr="001D7525"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1D7525">
        <w:rPr>
          <w:rFonts w:ascii="仿宋" w:eastAsia="仿宋" w:hAnsi="仿宋" w:cs="仿宋"/>
          <w:w w:val="105"/>
          <w:sz w:val="24"/>
          <w:szCs w:val="24"/>
        </w:rPr>
        <w:t>a)   能够清晰给出辐照定位边界；</w:t>
      </w:r>
    </w:p>
    <w:p w:rsidR="000B7F67" w:rsidRPr="001D7525"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1D7525">
        <w:rPr>
          <w:rFonts w:ascii="仿宋" w:eastAsia="仿宋" w:hAnsi="仿宋" w:cs="仿宋"/>
          <w:w w:val="105"/>
          <w:sz w:val="24"/>
          <w:szCs w:val="24"/>
        </w:rPr>
        <w:t>b)   波长由生产企业给出；</w:t>
      </w:r>
    </w:p>
    <w:p w:rsidR="000B7F67" w:rsidRPr="001D7525"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1D7525">
        <w:rPr>
          <w:rFonts w:ascii="仿宋" w:eastAsia="仿宋" w:hAnsi="仿宋" w:cs="仿宋"/>
          <w:w w:val="105"/>
          <w:sz w:val="24"/>
          <w:szCs w:val="24"/>
        </w:rPr>
        <w:t>c)   输出功率不大于 5 mW。</w:t>
      </w:r>
    </w:p>
    <w:p w:rsidR="000B7F67" w:rsidRPr="001D7525"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sidRPr="001D7525">
        <w:rPr>
          <w:rFonts w:ascii="仿宋" w:eastAsia="仿宋" w:hAnsi="仿宋" w:cs="仿宋"/>
          <w:w w:val="105"/>
          <w:sz w:val="24"/>
          <w:szCs w:val="24"/>
        </w:rPr>
        <w:t>定位光：可见光束，光强不大于 5 mW，定位光为激光时，应给出其波长。</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A.2.111.2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通过检查和测量来检验是否符合要求。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A.2.112  控制器件和仪表的准确性</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A.2.112.1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应符合 GB 9706.20-2000 中 50.2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A.2.112.2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通过检查和测量，检验是否符合要求。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A.2.113  外亮和罩盖</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A.2.113.1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外壳和罩盖应符合下列要求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lastRenderedPageBreak/>
        <w:t>a)  一般要求应符合 GB 7247.1-2012 中 4.1的要求；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防护罩应符合 GB 7247.1-2012 中 4.2 的要求；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c)  挡板和安全联锁应符合 GB 7247.1-2012 中 4.3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A.2.113.2  试验方法</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通过检查和测量，检验是否符合要求。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A.2.114  待机／准备装置</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A.2.114.1  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激光设备必须具有一个待机／准备装置，该装置必须能关断工作光束。</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A.2.114.2  试验方法 </w:t>
      </w:r>
    </w:p>
    <w:p w:rsidR="000B7F67" w:rsidRDefault="000B7F67" w:rsidP="000B7F67">
      <w:pPr>
        <w:pStyle w:val="a6"/>
        <w:kinsoku w:val="0"/>
        <w:overflowPunct w:val="0"/>
        <w:spacing w:before="35" w:line="290" w:lineRule="auto"/>
        <w:ind w:left="170" w:right="3129" w:firstLineChars="200" w:firstLine="525"/>
        <w:rPr>
          <w:rFonts w:ascii="仿宋" w:eastAsia="仿宋" w:hAnsi="仿宋" w:cs="仿宋" w:hint="default"/>
          <w:sz w:val="24"/>
          <w:szCs w:val="24"/>
        </w:rPr>
      </w:pPr>
      <w:r>
        <w:rPr>
          <w:rFonts w:ascii="仿宋" w:eastAsia="仿宋" w:hAnsi="仿宋" w:cs="仿宋"/>
          <w:w w:val="110"/>
          <w:sz w:val="24"/>
          <w:szCs w:val="24"/>
        </w:rPr>
        <w:t>通过检查来检验是否符合要求</w:t>
      </w:r>
      <w:r>
        <w:rPr>
          <w:rFonts w:ascii="仿宋" w:eastAsia="仿宋" w:hAnsi="仿宋" w:cs="仿宋"/>
          <w:spacing w:val="-44"/>
          <w:w w:val="110"/>
          <w:sz w:val="24"/>
          <w:szCs w:val="24"/>
        </w:rPr>
        <w:t xml:space="preserve"> </w:t>
      </w:r>
      <w:r>
        <w:rPr>
          <w:rFonts w:ascii="仿宋" w:eastAsia="仿宋" w:hAnsi="仿宋" w:cs="仿宋"/>
          <w:w w:val="110"/>
          <w:sz w:val="24"/>
          <w:szCs w:val="24"/>
        </w:rPr>
        <w:t>。</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A.2.115  定时器</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A.2.115.1  要求</w:t>
      </w:r>
    </w:p>
    <w:p w:rsidR="000B7F67" w:rsidRDefault="000B7F67" w:rsidP="000B7F67">
      <w:pPr>
        <w:pStyle w:val="a6"/>
        <w:kinsoku w:val="0"/>
        <w:overflowPunct w:val="0"/>
        <w:spacing w:line="267" w:lineRule="auto"/>
        <w:ind w:left="0" w:firstLineChars="200" w:firstLine="525"/>
        <w:rPr>
          <w:rFonts w:ascii="仿宋" w:eastAsia="仿宋" w:hAnsi="仿宋" w:cs="仿宋" w:hint="default"/>
          <w:w w:val="105"/>
          <w:sz w:val="24"/>
          <w:szCs w:val="24"/>
        </w:rPr>
      </w:pPr>
      <w:r>
        <w:rPr>
          <w:rFonts w:ascii="仿宋" w:eastAsia="仿宋" w:hAnsi="仿宋" w:cs="仿宋"/>
          <w:w w:val="110"/>
          <w:sz w:val="24"/>
          <w:szCs w:val="24"/>
        </w:rPr>
        <w:t>应符合 GB 9706.20-2000 中 56.102 的要求。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A.2.115.2  试验方法</w:t>
      </w:r>
    </w:p>
    <w:p w:rsidR="000B7F67" w:rsidRDefault="000B7F67" w:rsidP="000B7F67">
      <w:pPr>
        <w:pStyle w:val="a6"/>
        <w:kinsoku w:val="0"/>
        <w:overflowPunct w:val="0"/>
        <w:spacing w:line="267" w:lineRule="auto"/>
        <w:ind w:left="0" w:firstLineChars="200" w:firstLine="525"/>
        <w:rPr>
          <w:rFonts w:ascii="仿宋" w:eastAsia="仿宋" w:hAnsi="仿宋" w:cs="仿宋" w:hint="default"/>
          <w:w w:val="105"/>
          <w:sz w:val="24"/>
          <w:szCs w:val="24"/>
        </w:rPr>
      </w:pPr>
      <w:r>
        <w:rPr>
          <w:rFonts w:ascii="仿宋" w:eastAsia="仿宋" w:hAnsi="仿宋" w:cs="仿宋"/>
          <w:w w:val="110"/>
          <w:sz w:val="24"/>
          <w:szCs w:val="24"/>
        </w:rPr>
        <w:t>通过检查和测量，检验是否符合要求。</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A.2.116  水的导电性</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A.2.116.1  要求</w:t>
      </w:r>
    </w:p>
    <w:p w:rsidR="000B7F67" w:rsidRDefault="000B7F67" w:rsidP="000B7F67">
      <w:pPr>
        <w:pStyle w:val="a6"/>
        <w:kinsoku w:val="0"/>
        <w:overflowPunct w:val="0"/>
        <w:spacing w:line="267" w:lineRule="auto"/>
        <w:ind w:left="0" w:firstLineChars="200" w:firstLine="525"/>
        <w:rPr>
          <w:rFonts w:ascii="仿宋" w:eastAsia="仿宋" w:hAnsi="仿宋" w:cs="仿宋" w:hint="default"/>
          <w:w w:val="110"/>
          <w:sz w:val="24"/>
          <w:szCs w:val="24"/>
        </w:rPr>
      </w:pPr>
      <w:r>
        <w:rPr>
          <w:rFonts w:ascii="仿宋" w:eastAsia="仿宋" w:hAnsi="仿宋" w:cs="仿宋"/>
          <w:w w:val="110"/>
          <w:sz w:val="24"/>
          <w:szCs w:val="24"/>
        </w:rPr>
        <w:t xml:space="preserve">在类电气设备中采用水冷却的场合和水承担对网电源基本绝缘作用的场合，水的导电性必须满足 </w:t>
      </w:r>
      <w:r>
        <w:rPr>
          <w:rFonts w:ascii="仿宋" w:eastAsia="仿宋" w:hAnsi="仿宋" w:cs="仿宋"/>
          <w:w w:val="105"/>
          <w:sz w:val="24"/>
          <w:szCs w:val="24"/>
        </w:rPr>
        <w:t>GB 9706.1-2007 中</w:t>
      </w:r>
      <w:r w:rsidRPr="001D7525">
        <w:rPr>
          <w:rFonts w:ascii="仿宋" w:eastAsia="仿宋" w:hAnsi="仿宋" w:cs="仿宋"/>
          <w:w w:val="110"/>
          <w:sz w:val="24"/>
          <w:szCs w:val="24"/>
        </w:rPr>
        <w:t xml:space="preserve">19.3 </w:t>
      </w:r>
      <w:r>
        <w:rPr>
          <w:rFonts w:ascii="仿宋" w:eastAsia="仿宋" w:hAnsi="仿宋" w:cs="仿宋"/>
          <w:w w:val="110"/>
          <w:sz w:val="24"/>
          <w:szCs w:val="24"/>
        </w:rPr>
        <w:t>中对地漏电流值不超过正常状态下的允许值的要求。</w:t>
      </w:r>
    </w:p>
    <w:p w:rsidR="000B7F67" w:rsidRDefault="000B7F67" w:rsidP="000B7F67">
      <w:pPr>
        <w:pStyle w:val="a6"/>
        <w:kinsoku w:val="0"/>
        <w:overflowPunct w:val="0"/>
        <w:spacing w:line="267" w:lineRule="auto"/>
        <w:ind w:left="0" w:firstLineChars="200" w:firstLine="525"/>
        <w:rPr>
          <w:rFonts w:ascii="仿宋" w:eastAsia="仿宋" w:hAnsi="仿宋" w:cs="仿宋" w:hint="default"/>
          <w:w w:val="110"/>
          <w:sz w:val="24"/>
          <w:szCs w:val="24"/>
        </w:rPr>
      </w:pPr>
      <w:r>
        <w:rPr>
          <w:rFonts w:ascii="仿宋" w:eastAsia="仿宋" w:hAnsi="仿宋" w:cs="仿宋"/>
          <w:w w:val="110"/>
          <w:sz w:val="24"/>
          <w:szCs w:val="24"/>
        </w:rPr>
        <w:t>制造者必须详细说明定期维修的内容和测量方法。</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A.2.116.2  试验方法 </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通过检查和测量来检验是否符合要求。</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A.3  检验规则</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A.3.1  检验分类及检验项目</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设备的安全性能检验分出厂检验和型式检验，型式检验又分为一般类型的型式检验和特殊类型的型式检验。</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出厂检验项目是产品出厂时必须进行的检验项目。</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一般类型的型式检验项目是进行产品注册、周期检验、许可证换发等类型的试验时应检验的项目。特殊类型的型式检验项目是进行产品安全认证等类型的试验时应检验的项目。各检验类型的检验项目可参照表 A.l。</w:t>
      </w:r>
    </w:p>
    <w:p w:rsidR="000B7F67" w:rsidRDefault="000B7F67" w:rsidP="000B7F67">
      <w:pPr>
        <w:pStyle w:val="a6"/>
        <w:kinsoku w:val="0"/>
        <w:overflowPunct w:val="0"/>
        <w:spacing w:line="267" w:lineRule="auto"/>
        <w:ind w:left="0" w:firstLineChars="200" w:firstLine="503"/>
        <w:rPr>
          <w:rFonts w:ascii="仿宋" w:eastAsia="仿宋" w:hAnsi="仿宋" w:cs="仿宋" w:hint="default"/>
          <w:w w:val="105"/>
          <w:sz w:val="24"/>
          <w:szCs w:val="24"/>
        </w:rPr>
      </w:pPr>
    </w:p>
    <w:p w:rsidR="000B7F67" w:rsidRDefault="000B7F67" w:rsidP="000B7F67">
      <w:pPr>
        <w:pStyle w:val="a6"/>
        <w:kinsoku w:val="0"/>
        <w:overflowPunct w:val="0"/>
        <w:spacing w:before="19"/>
        <w:ind w:left="398" w:firstLine="503"/>
        <w:jc w:val="center"/>
        <w:rPr>
          <w:rFonts w:ascii="仿宋" w:eastAsia="仿宋" w:hAnsi="仿宋" w:cs="仿宋" w:hint="default"/>
          <w:w w:val="105"/>
          <w:sz w:val="24"/>
          <w:szCs w:val="24"/>
        </w:rPr>
      </w:pPr>
      <w:r>
        <w:rPr>
          <w:rFonts w:ascii="仿宋" w:eastAsia="仿宋" w:hAnsi="仿宋" w:cs="仿宋"/>
          <w:w w:val="105"/>
          <w:sz w:val="24"/>
          <w:szCs w:val="24"/>
        </w:rPr>
        <w:t>表 A.1 检验类型及检验项目参照表</w:t>
      </w:r>
    </w:p>
    <w:tbl>
      <w:tblPr>
        <w:tblStyle w:val="a7"/>
        <w:tblW w:w="9242" w:type="dxa"/>
        <w:jc w:val="center"/>
        <w:tblLayout w:type="fixed"/>
        <w:tblLook w:val="04A0" w:firstRow="1" w:lastRow="0" w:firstColumn="1" w:lastColumn="0" w:noHBand="0" w:noVBand="1"/>
      </w:tblPr>
      <w:tblGrid>
        <w:gridCol w:w="1933"/>
        <w:gridCol w:w="7309"/>
      </w:tblGrid>
      <w:tr w:rsidR="000B7F67" w:rsidTr="00C44029">
        <w:trPr>
          <w:trHeight w:hRule="exact" w:val="416"/>
          <w:jc w:val="center"/>
        </w:trPr>
        <w:tc>
          <w:tcPr>
            <w:tcW w:w="1933" w:type="dxa"/>
            <w:vAlign w:val="center"/>
          </w:tcPr>
          <w:p w:rsidR="000B7F67" w:rsidRDefault="000B7F67" w:rsidP="00C44029">
            <w:pPr>
              <w:pStyle w:val="a6"/>
              <w:kinsoku w:val="0"/>
              <w:overflowPunct w:val="0"/>
              <w:spacing w:before="0" w:line="360" w:lineRule="auto"/>
              <w:ind w:left="0" w:firstLine="431"/>
              <w:jc w:val="center"/>
              <w:rPr>
                <w:rFonts w:ascii="仿宋" w:eastAsia="仿宋" w:hAnsi="仿宋" w:cs="仿宋" w:hint="default"/>
                <w:w w:val="105"/>
                <w:sz w:val="24"/>
                <w:szCs w:val="24"/>
              </w:rPr>
            </w:pPr>
            <w:r>
              <w:rPr>
                <w:rFonts w:ascii="仿宋" w:eastAsia="仿宋" w:hAnsi="仿宋" w:cs="仿宋"/>
                <w:w w:val="90"/>
                <w:sz w:val="24"/>
                <w:szCs w:val="24"/>
              </w:rPr>
              <w:lastRenderedPageBreak/>
              <w:t>检验类型</w:t>
            </w:r>
          </w:p>
        </w:tc>
        <w:tc>
          <w:tcPr>
            <w:tcW w:w="7309" w:type="dxa"/>
            <w:vAlign w:val="center"/>
          </w:tcPr>
          <w:p w:rsidR="000B7F67" w:rsidRDefault="000B7F67" w:rsidP="00C44029">
            <w:pPr>
              <w:pStyle w:val="a6"/>
              <w:kinsoku w:val="0"/>
              <w:overflowPunct w:val="0"/>
              <w:spacing w:before="19"/>
              <w:ind w:left="0" w:firstLine="431"/>
              <w:jc w:val="center"/>
              <w:rPr>
                <w:rFonts w:ascii="仿宋" w:eastAsia="仿宋" w:hAnsi="仿宋" w:cs="仿宋" w:hint="default"/>
                <w:w w:val="105"/>
                <w:sz w:val="24"/>
                <w:szCs w:val="24"/>
              </w:rPr>
            </w:pPr>
            <w:r>
              <w:rPr>
                <w:rFonts w:ascii="仿宋" w:eastAsia="仿宋" w:hAnsi="仿宋" w:cs="仿宋"/>
                <w:w w:val="90"/>
                <w:sz w:val="24"/>
                <w:szCs w:val="24"/>
              </w:rPr>
              <w:t>检验项目</w:t>
            </w:r>
          </w:p>
        </w:tc>
      </w:tr>
      <w:tr w:rsidR="000B7F67" w:rsidTr="00C44029">
        <w:trPr>
          <w:trHeight w:hRule="exact" w:val="568"/>
          <w:jc w:val="center"/>
        </w:trPr>
        <w:tc>
          <w:tcPr>
            <w:tcW w:w="1933" w:type="dxa"/>
            <w:vAlign w:val="center"/>
          </w:tcPr>
          <w:p w:rsidR="000B7F67" w:rsidRDefault="000B7F67" w:rsidP="00C44029">
            <w:pPr>
              <w:pStyle w:val="a6"/>
              <w:kinsoku w:val="0"/>
              <w:overflowPunct w:val="0"/>
              <w:spacing w:before="69"/>
              <w:ind w:left="0" w:firstLine="431"/>
              <w:jc w:val="center"/>
              <w:rPr>
                <w:rFonts w:ascii="仿宋" w:eastAsia="仿宋" w:hAnsi="仿宋" w:cs="仿宋" w:hint="default"/>
                <w:w w:val="105"/>
                <w:sz w:val="24"/>
                <w:szCs w:val="24"/>
              </w:rPr>
            </w:pPr>
            <w:r>
              <w:rPr>
                <w:rFonts w:ascii="仿宋" w:eastAsia="仿宋" w:hAnsi="仿宋" w:cs="仿宋"/>
                <w:w w:val="90"/>
                <w:sz w:val="24"/>
                <w:szCs w:val="24"/>
              </w:rPr>
              <w:t>出厂检验</w:t>
            </w:r>
          </w:p>
        </w:tc>
        <w:tc>
          <w:tcPr>
            <w:tcW w:w="7309" w:type="dxa"/>
            <w:vAlign w:val="center"/>
          </w:tcPr>
          <w:p w:rsidR="000B7F67" w:rsidRDefault="000B7F67" w:rsidP="00C44029">
            <w:pPr>
              <w:pStyle w:val="a6"/>
              <w:kinsoku w:val="0"/>
              <w:overflowPunct w:val="0"/>
              <w:spacing w:before="41" w:line="360" w:lineRule="auto"/>
              <w:ind w:left="0" w:firstLine="503"/>
              <w:jc w:val="left"/>
              <w:rPr>
                <w:rFonts w:ascii="仿宋" w:eastAsia="仿宋" w:hAnsi="仿宋" w:cs="仿宋" w:hint="default"/>
                <w:sz w:val="24"/>
                <w:szCs w:val="24"/>
              </w:rPr>
            </w:pPr>
            <w:r>
              <w:rPr>
                <w:rFonts w:ascii="仿宋" w:eastAsia="仿宋" w:hAnsi="仿宋" w:cs="仿宋"/>
                <w:w w:val="105"/>
                <w:sz w:val="24"/>
                <w:szCs w:val="24"/>
              </w:rPr>
              <w:t>A.2.31，A.2.34，A.2.36</w:t>
            </w:r>
          </w:p>
          <w:p w:rsidR="000B7F67" w:rsidRDefault="000B7F67" w:rsidP="00C44029">
            <w:pPr>
              <w:pStyle w:val="a6"/>
              <w:kinsoku w:val="0"/>
              <w:overflowPunct w:val="0"/>
              <w:spacing w:before="19" w:line="360" w:lineRule="auto"/>
              <w:ind w:left="0" w:firstLine="503"/>
              <w:jc w:val="left"/>
              <w:rPr>
                <w:rFonts w:ascii="仿宋" w:eastAsia="仿宋" w:hAnsi="仿宋" w:cs="仿宋" w:hint="default"/>
                <w:w w:val="105"/>
                <w:sz w:val="24"/>
                <w:szCs w:val="24"/>
              </w:rPr>
            </w:pPr>
          </w:p>
        </w:tc>
      </w:tr>
      <w:tr w:rsidR="000B7F67" w:rsidTr="00C44029">
        <w:trPr>
          <w:trHeight w:hRule="exact" w:val="2562"/>
          <w:jc w:val="center"/>
        </w:trPr>
        <w:tc>
          <w:tcPr>
            <w:tcW w:w="1933" w:type="dxa"/>
            <w:vAlign w:val="center"/>
          </w:tcPr>
          <w:p w:rsidR="000B7F67" w:rsidRDefault="000B7F67" w:rsidP="00C44029">
            <w:pPr>
              <w:pStyle w:val="a6"/>
              <w:kinsoku w:val="0"/>
              <w:overflowPunct w:val="0"/>
              <w:spacing w:before="0" w:line="249" w:lineRule="auto"/>
              <w:ind w:left="0" w:right="429" w:firstLine="431"/>
              <w:jc w:val="center"/>
              <w:rPr>
                <w:rFonts w:ascii="仿宋" w:eastAsia="仿宋" w:hAnsi="仿宋" w:cs="仿宋" w:hint="default"/>
                <w:w w:val="91"/>
                <w:sz w:val="24"/>
                <w:szCs w:val="24"/>
              </w:rPr>
            </w:pPr>
            <w:r>
              <w:rPr>
                <w:rFonts w:ascii="仿宋" w:eastAsia="仿宋" w:hAnsi="仿宋" w:cs="仿宋"/>
                <w:w w:val="90"/>
                <w:sz w:val="24"/>
                <w:szCs w:val="24"/>
              </w:rPr>
              <w:t>一般类型</w:t>
            </w:r>
          </w:p>
          <w:p w:rsidR="000B7F67" w:rsidRDefault="000B7F67" w:rsidP="00C44029">
            <w:pPr>
              <w:pStyle w:val="a6"/>
              <w:kinsoku w:val="0"/>
              <w:overflowPunct w:val="0"/>
              <w:spacing w:before="0" w:line="249" w:lineRule="auto"/>
              <w:ind w:left="0" w:right="429" w:firstLine="431"/>
              <w:jc w:val="center"/>
              <w:rPr>
                <w:rFonts w:ascii="仿宋" w:eastAsia="仿宋" w:hAnsi="仿宋" w:cs="仿宋" w:hint="default"/>
                <w:w w:val="105"/>
                <w:sz w:val="24"/>
                <w:szCs w:val="24"/>
              </w:rPr>
            </w:pPr>
            <w:r>
              <w:rPr>
                <w:rFonts w:ascii="仿宋" w:eastAsia="仿宋" w:hAnsi="仿宋" w:cs="仿宋"/>
                <w:w w:val="90"/>
                <w:sz w:val="24"/>
                <w:szCs w:val="24"/>
              </w:rPr>
              <w:t>型式检验</w:t>
            </w:r>
          </w:p>
        </w:tc>
        <w:tc>
          <w:tcPr>
            <w:tcW w:w="7309" w:type="dxa"/>
          </w:tcPr>
          <w:p w:rsidR="000B7F67" w:rsidRDefault="000B7F67" w:rsidP="00C44029">
            <w:pPr>
              <w:pStyle w:val="a6"/>
              <w:kinsoku w:val="0"/>
              <w:overflowPunct w:val="0"/>
              <w:spacing w:before="46"/>
              <w:ind w:left="0" w:firstLine="480"/>
              <w:jc w:val="left"/>
              <w:rPr>
                <w:rFonts w:ascii="仿宋" w:eastAsia="仿宋" w:hAnsi="仿宋" w:cs="仿宋" w:hint="default"/>
                <w:sz w:val="24"/>
                <w:szCs w:val="24"/>
              </w:rPr>
            </w:pPr>
            <w:r>
              <w:rPr>
                <w:rFonts w:ascii="仿宋" w:eastAsia="仿宋" w:hAnsi="仿宋" w:cs="仿宋"/>
                <w:sz w:val="24"/>
                <w:szCs w:val="24"/>
              </w:rPr>
              <w:t>出厂检验项目和</w:t>
            </w:r>
          </w:p>
          <w:p w:rsidR="000B7F67" w:rsidRDefault="000B7F67" w:rsidP="00C44029">
            <w:pPr>
              <w:pStyle w:val="a6"/>
              <w:kinsoku w:val="0"/>
              <w:overflowPunct w:val="0"/>
              <w:spacing w:before="51"/>
              <w:ind w:left="0" w:firstLineChars="100" w:firstLine="276"/>
              <w:jc w:val="left"/>
              <w:rPr>
                <w:rFonts w:ascii="仿宋" w:eastAsia="仿宋" w:hAnsi="仿宋" w:cs="仿宋" w:hint="default"/>
                <w:sz w:val="24"/>
                <w:szCs w:val="24"/>
              </w:rPr>
            </w:pP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w:t>
            </w:r>
            <w:r>
              <w:rPr>
                <w:rFonts w:ascii="仿宋" w:eastAsia="仿宋" w:hAnsi="仿宋" w:cs="仿宋"/>
                <w:spacing w:val="10"/>
                <w:w w:val="115"/>
                <w:sz w:val="24"/>
                <w:szCs w:val="24"/>
              </w:rPr>
              <w:t>1，</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2.3，A</w:t>
            </w:r>
            <w:r>
              <w:rPr>
                <w:rFonts w:ascii="仿宋" w:eastAsia="仿宋" w:hAnsi="仿宋" w:cs="仿宋"/>
                <w:w w:val="105"/>
                <w:sz w:val="24"/>
                <w:szCs w:val="24"/>
              </w:rPr>
              <w:t>.</w:t>
            </w:r>
            <w:r>
              <w:rPr>
                <w:rFonts w:ascii="仿宋" w:eastAsia="仿宋" w:hAnsi="仿宋" w:cs="仿宋"/>
                <w:w w:val="115"/>
                <w:sz w:val="24"/>
                <w:szCs w:val="24"/>
              </w:rPr>
              <w:t>2.4，</w:t>
            </w:r>
            <w:r>
              <w:rPr>
                <w:rFonts w:ascii="仿宋" w:eastAsia="仿宋" w:hAnsi="仿宋" w:cs="仿宋"/>
                <w:spacing w:val="-10"/>
                <w:w w:val="115"/>
                <w:sz w:val="24"/>
                <w:szCs w:val="24"/>
              </w:rPr>
              <w:t xml:space="preserve"> </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2.5，A</w:t>
            </w:r>
            <w:r>
              <w:rPr>
                <w:rFonts w:ascii="仿宋" w:eastAsia="仿宋" w:hAnsi="仿宋" w:cs="仿宋"/>
                <w:w w:val="105"/>
                <w:sz w:val="24"/>
                <w:szCs w:val="24"/>
              </w:rPr>
              <w:t>.</w:t>
            </w:r>
            <w:r>
              <w:rPr>
                <w:rFonts w:ascii="仿宋" w:eastAsia="仿宋" w:hAnsi="仿宋" w:cs="仿宋"/>
                <w:w w:val="115"/>
                <w:sz w:val="24"/>
                <w:szCs w:val="24"/>
              </w:rPr>
              <w:t>2.8，A</w:t>
            </w:r>
            <w:r>
              <w:rPr>
                <w:rFonts w:ascii="仿宋" w:eastAsia="仿宋" w:hAnsi="仿宋" w:cs="仿宋"/>
                <w:w w:val="105"/>
                <w:sz w:val="24"/>
                <w:szCs w:val="24"/>
              </w:rPr>
              <w:t>.</w:t>
            </w:r>
            <w:r>
              <w:rPr>
                <w:rFonts w:ascii="仿宋" w:eastAsia="仿宋" w:hAnsi="仿宋" w:cs="仿宋"/>
                <w:w w:val="115"/>
                <w:sz w:val="24"/>
                <w:szCs w:val="24"/>
              </w:rPr>
              <w:t>2.9，</w:t>
            </w:r>
            <w:r>
              <w:rPr>
                <w:rFonts w:ascii="仿宋" w:eastAsia="仿宋" w:hAnsi="仿宋" w:cs="仿宋"/>
                <w:i/>
                <w:spacing w:val="-25"/>
                <w:w w:val="115"/>
                <w:sz w:val="24"/>
                <w:szCs w:val="24"/>
              </w:rPr>
              <w:t xml:space="preserve"> </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w:t>
            </w:r>
            <w:r>
              <w:rPr>
                <w:rFonts w:ascii="仿宋" w:eastAsia="仿宋" w:hAnsi="仿宋" w:cs="仿宋"/>
                <w:spacing w:val="-9"/>
                <w:w w:val="115"/>
                <w:sz w:val="24"/>
                <w:szCs w:val="24"/>
              </w:rPr>
              <w:t xml:space="preserve"> </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w:t>
            </w:r>
            <w:r>
              <w:rPr>
                <w:rFonts w:ascii="仿宋" w:eastAsia="仿宋" w:hAnsi="仿宋" w:cs="仿宋"/>
                <w:spacing w:val="8"/>
                <w:w w:val="115"/>
                <w:sz w:val="24"/>
                <w:szCs w:val="24"/>
              </w:rPr>
              <w:t xml:space="preserve"> 11，</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2.12，</w:t>
            </w:r>
            <w:r>
              <w:rPr>
                <w:rFonts w:ascii="仿宋" w:eastAsia="仿宋" w:hAnsi="仿宋" w:cs="仿宋"/>
                <w:spacing w:val="-15"/>
                <w:w w:val="115"/>
                <w:sz w:val="24"/>
                <w:szCs w:val="24"/>
              </w:rPr>
              <w:t xml:space="preserve"> </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2.13，A</w:t>
            </w:r>
            <w:r>
              <w:rPr>
                <w:rFonts w:ascii="仿宋" w:eastAsia="仿宋" w:hAnsi="仿宋" w:cs="仿宋"/>
                <w:w w:val="105"/>
                <w:sz w:val="24"/>
                <w:szCs w:val="24"/>
              </w:rPr>
              <w:t>.</w:t>
            </w:r>
            <w:r>
              <w:rPr>
                <w:rFonts w:ascii="仿宋" w:eastAsia="仿宋" w:hAnsi="仿宋" w:cs="仿宋"/>
                <w:w w:val="115"/>
                <w:sz w:val="24"/>
                <w:szCs w:val="24"/>
              </w:rPr>
              <w:t>2.15，A</w:t>
            </w:r>
            <w:r>
              <w:rPr>
                <w:rFonts w:ascii="仿宋" w:eastAsia="仿宋" w:hAnsi="仿宋" w:cs="仿宋"/>
                <w:w w:val="105"/>
                <w:sz w:val="24"/>
                <w:szCs w:val="24"/>
              </w:rPr>
              <w:t>.</w:t>
            </w:r>
            <w:r>
              <w:rPr>
                <w:rFonts w:ascii="仿宋" w:eastAsia="仿宋" w:hAnsi="仿宋" w:cs="仿宋"/>
                <w:w w:val="115"/>
                <w:sz w:val="24"/>
                <w:szCs w:val="24"/>
              </w:rPr>
              <w:t>2.16，</w:t>
            </w:r>
            <w:r>
              <w:rPr>
                <w:rFonts w:ascii="仿宋" w:eastAsia="仿宋" w:hAnsi="仿宋" w:cs="仿宋"/>
                <w:w w:val="110"/>
                <w:sz w:val="24"/>
                <w:szCs w:val="24"/>
              </w:rPr>
              <w:t>A</w:t>
            </w:r>
            <w:r>
              <w:rPr>
                <w:rFonts w:ascii="仿宋" w:eastAsia="仿宋" w:hAnsi="仿宋" w:cs="仿宋"/>
                <w:w w:val="105"/>
                <w:sz w:val="24"/>
                <w:szCs w:val="24"/>
              </w:rPr>
              <w:t>.</w:t>
            </w:r>
            <w:r>
              <w:rPr>
                <w:rFonts w:ascii="仿宋" w:eastAsia="仿宋" w:hAnsi="仿宋" w:cs="仿宋"/>
                <w:w w:val="110"/>
                <w:sz w:val="24"/>
                <w:szCs w:val="24"/>
              </w:rPr>
              <w:t>2.</w:t>
            </w:r>
            <w:r>
              <w:rPr>
                <w:rFonts w:ascii="仿宋" w:eastAsia="仿宋" w:hAnsi="仿宋" w:cs="仿宋"/>
                <w:spacing w:val="-15"/>
                <w:w w:val="110"/>
                <w:sz w:val="24"/>
                <w:szCs w:val="24"/>
              </w:rPr>
              <w:t>1</w:t>
            </w:r>
            <w:r>
              <w:rPr>
                <w:rFonts w:ascii="仿宋" w:eastAsia="仿宋" w:hAnsi="仿宋" w:cs="仿宋"/>
                <w:w w:val="110"/>
                <w:sz w:val="24"/>
                <w:szCs w:val="24"/>
              </w:rPr>
              <w:t>8，A</w:t>
            </w:r>
            <w:r>
              <w:rPr>
                <w:rFonts w:ascii="仿宋" w:eastAsia="仿宋" w:hAnsi="仿宋" w:cs="仿宋"/>
                <w:w w:val="105"/>
                <w:sz w:val="24"/>
                <w:szCs w:val="24"/>
              </w:rPr>
              <w:t>.</w:t>
            </w:r>
            <w:r>
              <w:rPr>
                <w:rFonts w:ascii="仿宋" w:eastAsia="仿宋" w:hAnsi="仿宋" w:cs="仿宋"/>
                <w:w w:val="110"/>
                <w:sz w:val="24"/>
                <w:szCs w:val="24"/>
              </w:rPr>
              <w:t>2.19，A</w:t>
            </w:r>
            <w:r>
              <w:rPr>
                <w:rFonts w:ascii="仿宋" w:eastAsia="仿宋" w:hAnsi="仿宋" w:cs="仿宋"/>
                <w:w w:val="105"/>
                <w:sz w:val="24"/>
                <w:szCs w:val="24"/>
              </w:rPr>
              <w:t>.</w:t>
            </w:r>
            <w:r>
              <w:rPr>
                <w:rFonts w:ascii="仿宋" w:eastAsia="仿宋" w:hAnsi="仿宋" w:cs="仿宋"/>
                <w:w w:val="110"/>
                <w:sz w:val="24"/>
                <w:szCs w:val="24"/>
              </w:rPr>
              <w:t>2.21，A</w:t>
            </w:r>
            <w:r>
              <w:rPr>
                <w:rFonts w:ascii="仿宋" w:eastAsia="仿宋" w:hAnsi="仿宋" w:cs="仿宋"/>
                <w:w w:val="105"/>
                <w:sz w:val="24"/>
                <w:szCs w:val="24"/>
              </w:rPr>
              <w:t>.</w:t>
            </w:r>
            <w:r>
              <w:rPr>
                <w:rFonts w:ascii="仿宋" w:eastAsia="仿宋" w:hAnsi="仿宋" w:cs="仿宋"/>
                <w:w w:val="110"/>
                <w:sz w:val="24"/>
                <w:szCs w:val="24"/>
              </w:rPr>
              <w:t>2.22，A</w:t>
            </w:r>
            <w:r>
              <w:rPr>
                <w:rFonts w:ascii="仿宋" w:eastAsia="仿宋" w:hAnsi="仿宋" w:cs="仿宋"/>
                <w:w w:val="105"/>
                <w:sz w:val="24"/>
                <w:szCs w:val="24"/>
              </w:rPr>
              <w:t>.</w:t>
            </w:r>
            <w:r>
              <w:rPr>
                <w:rFonts w:ascii="仿宋" w:eastAsia="仿宋" w:hAnsi="仿宋" w:cs="仿宋"/>
                <w:w w:val="110"/>
                <w:sz w:val="24"/>
                <w:szCs w:val="24"/>
              </w:rPr>
              <w:t>2.23，A</w:t>
            </w:r>
            <w:r>
              <w:rPr>
                <w:rFonts w:ascii="仿宋" w:eastAsia="仿宋" w:hAnsi="仿宋" w:cs="仿宋"/>
                <w:w w:val="105"/>
                <w:sz w:val="24"/>
                <w:szCs w:val="24"/>
              </w:rPr>
              <w:t>.</w:t>
            </w:r>
            <w:r>
              <w:rPr>
                <w:rFonts w:ascii="仿宋" w:eastAsia="仿宋" w:hAnsi="仿宋" w:cs="仿宋"/>
                <w:w w:val="110"/>
                <w:sz w:val="24"/>
                <w:szCs w:val="24"/>
              </w:rPr>
              <w:t>2.24，A</w:t>
            </w:r>
            <w:r>
              <w:rPr>
                <w:rFonts w:ascii="仿宋" w:eastAsia="仿宋" w:hAnsi="仿宋" w:cs="仿宋"/>
                <w:w w:val="105"/>
                <w:sz w:val="24"/>
                <w:szCs w:val="24"/>
              </w:rPr>
              <w:t>.</w:t>
            </w:r>
            <w:r>
              <w:rPr>
                <w:rFonts w:ascii="仿宋" w:eastAsia="仿宋" w:hAnsi="仿宋" w:cs="仿宋"/>
                <w:w w:val="110"/>
                <w:sz w:val="24"/>
                <w:szCs w:val="24"/>
              </w:rPr>
              <w:t>2.25，A</w:t>
            </w:r>
            <w:r>
              <w:rPr>
                <w:rFonts w:ascii="仿宋" w:eastAsia="仿宋" w:hAnsi="仿宋" w:cs="仿宋"/>
                <w:w w:val="105"/>
                <w:sz w:val="24"/>
                <w:szCs w:val="24"/>
              </w:rPr>
              <w:t>.</w:t>
            </w:r>
            <w:r>
              <w:rPr>
                <w:rFonts w:ascii="仿宋" w:eastAsia="仿宋" w:hAnsi="仿宋" w:cs="仿宋"/>
                <w:w w:val="110"/>
                <w:sz w:val="24"/>
                <w:szCs w:val="24"/>
              </w:rPr>
              <w:t>2.32，A</w:t>
            </w:r>
            <w:r>
              <w:rPr>
                <w:rFonts w:ascii="仿宋" w:eastAsia="仿宋" w:hAnsi="仿宋" w:cs="仿宋"/>
                <w:w w:val="105"/>
                <w:sz w:val="24"/>
                <w:szCs w:val="24"/>
              </w:rPr>
              <w:t>.</w:t>
            </w:r>
            <w:r>
              <w:rPr>
                <w:rFonts w:ascii="仿宋" w:eastAsia="仿宋" w:hAnsi="仿宋" w:cs="仿宋"/>
                <w:w w:val="110"/>
                <w:sz w:val="24"/>
                <w:szCs w:val="24"/>
              </w:rPr>
              <w:t>2.33，A</w:t>
            </w:r>
            <w:r>
              <w:rPr>
                <w:rFonts w:ascii="仿宋" w:eastAsia="仿宋" w:hAnsi="仿宋" w:cs="仿宋"/>
                <w:w w:val="105"/>
                <w:sz w:val="24"/>
                <w:szCs w:val="24"/>
              </w:rPr>
              <w:t>.</w:t>
            </w:r>
            <w:r>
              <w:rPr>
                <w:rFonts w:ascii="仿宋" w:eastAsia="仿宋" w:hAnsi="仿宋" w:cs="仿宋"/>
                <w:w w:val="110"/>
                <w:sz w:val="24"/>
                <w:szCs w:val="24"/>
              </w:rPr>
              <w:t>2</w:t>
            </w:r>
            <w:r>
              <w:rPr>
                <w:rFonts w:ascii="仿宋" w:eastAsia="仿宋" w:hAnsi="仿宋" w:cs="仿宋"/>
                <w:spacing w:val="30"/>
                <w:w w:val="110"/>
                <w:sz w:val="24"/>
                <w:szCs w:val="24"/>
              </w:rPr>
              <w:t xml:space="preserve"> </w:t>
            </w:r>
            <w:r>
              <w:rPr>
                <w:rFonts w:ascii="仿宋" w:eastAsia="仿宋" w:hAnsi="仿宋" w:cs="仿宋"/>
                <w:w w:val="110"/>
                <w:sz w:val="24"/>
                <w:szCs w:val="24"/>
              </w:rPr>
              <w:t>37，A</w:t>
            </w:r>
            <w:r>
              <w:rPr>
                <w:rFonts w:ascii="仿宋" w:eastAsia="仿宋" w:hAnsi="仿宋" w:cs="仿宋"/>
                <w:w w:val="105"/>
                <w:sz w:val="24"/>
                <w:szCs w:val="24"/>
              </w:rPr>
              <w:t>.</w:t>
            </w:r>
            <w:r>
              <w:rPr>
                <w:rFonts w:ascii="仿宋" w:eastAsia="仿宋" w:hAnsi="仿宋" w:cs="仿宋"/>
                <w:w w:val="110"/>
                <w:sz w:val="24"/>
                <w:szCs w:val="24"/>
              </w:rPr>
              <w:t>2.39，A</w:t>
            </w:r>
            <w:r>
              <w:rPr>
                <w:rFonts w:ascii="仿宋" w:eastAsia="仿宋" w:hAnsi="仿宋" w:cs="仿宋"/>
                <w:w w:val="105"/>
                <w:sz w:val="24"/>
                <w:szCs w:val="24"/>
              </w:rPr>
              <w:t>.</w:t>
            </w:r>
            <w:r>
              <w:rPr>
                <w:rFonts w:ascii="仿宋" w:eastAsia="仿宋" w:hAnsi="仿宋" w:cs="仿宋"/>
                <w:w w:val="110"/>
                <w:sz w:val="24"/>
                <w:szCs w:val="24"/>
              </w:rPr>
              <w:t>2.42，A</w:t>
            </w:r>
            <w:r>
              <w:rPr>
                <w:rFonts w:ascii="仿宋" w:eastAsia="仿宋" w:hAnsi="仿宋" w:cs="仿宋"/>
                <w:w w:val="105"/>
                <w:sz w:val="24"/>
                <w:szCs w:val="24"/>
              </w:rPr>
              <w:t>.</w:t>
            </w:r>
            <w:r>
              <w:rPr>
                <w:rFonts w:ascii="仿宋" w:eastAsia="仿宋" w:hAnsi="仿宋" w:cs="仿宋"/>
                <w:w w:val="110"/>
                <w:sz w:val="24"/>
                <w:szCs w:val="24"/>
              </w:rPr>
              <w:t>2.53，A</w:t>
            </w:r>
            <w:r>
              <w:rPr>
                <w:rFonts w:ascii="仿宋" w:eastAsia="仿宋" w:hAnsi="仿宋" w:cs="仿宋"/>
                <w:w w:val="105"/>
                <w:sz w:val="24"/>
                <w:szCs w:val="24"/>
              </w:rPr>
              <w:t>.</w:t>
            </w:r>
            <w:r>
              <w:rPr>
                <w:rFonts w:ascii="仿宋" w:eastAsia="仿宋" w:hAnsi="仿宋" w:cs="仿宋"/>
                <w:w w:val="110"/>
                <w:sz w:val="24"/>
                <w:szCs w:val="24"/>
              </w:rPr>
              <w:t>2.54，A</w:t>
            </w:r>
            <w:r>
              <w:rPr>
                <w:rFonts w:ascii="仿宋" w:eastAsia="仿宋" w:hAnsi="仿宋" w:cs="仿宋"/>
                <w:w w:val="105"/>
                <w:sz w:val="24"/>
                <w:szCs w:val="24"/>
              </w:rPr>
              <w:t>.</w:t>
            </w:r>
            <w:r>
              <w:rPr>
                <w:rFonts w:ascii="仿宋" w:eastAsia="仿宋" w:hAnsi="仿宋" w:cs="仿宋"/>
                <w:w w:val="110"/>
                <w:sz w:val="24"/>
                <w:szCs w:val="24"/>
              </w:rPr>
              <w:t>2.80，A</w:t>
            </w:r>
            <w:r>
              <w:rPr>
                <w:rFonts w:ascii="仿宋" w:eastAsia="仿宋" w:hAnsi="仿宋" w:cs="仿宋"/>
                <w:w w:val="105"/>
                <w:sz w:val="24"/>
                <w:szCs w:val="24"/>
              </w:rPr>
              <w:t>.</w:t>
            </w:r>
            <w:r>
              <w:rPr>
                <w:rFonts w:ascii="仿宋" w:eastAsia="仿宋" w:hAnsi="仿宋" w:cs="仿宋"/>
                <w:w w:val="110"/>
                <w:sz w:val="24"/>
                <w:szCs w:val="24"/>
              </w:rPr>
              <w:t>2.82，</w:t>
            </w:r>
            <w:r>
              <w:rPr>
                <w:rFonts w:ascii="仿宋" w:eastAsia="仿宋" w:hAnsi="仿宋" w:cs="仿宋"/>
                <w:spacing w:val="-11"/>
                <w:w w:val="110"/>
                <w:sz w:val="24"/>
                <w:szCs w:val="24"/>
              </w:rPr>
              <w:t xml:space="preserve"> </w:t>
            </w:r>
            <w:r>
              <w:rPr>
                <w:rFonts w:ascii="仿宋" w:eastAsia="仿宋" w:hAnsi="仿宋" w:cs="仿宋"/>
                <w:w w:val="110"/>
                <w:sz w:val="24"/>
                <w:szCs w:val="24"/>
              </w:rPr>
              <w:t>A</w:t>
            </w:r>
            <w:r>
              <w:rPr>
                <w:rFonts w:ascii="仿宋" w:eastAsia="仿宋" w:hAnsi="仿宋" w:cs="仿宋"/>
                <w:w w:val="105"/>
                <w:sz w:val="24"/>
                <w:szCs w:val="24"/>
              </w:rPr>
              <w:t>.</w:t>
            </w:r>
            <w:r>
              <w:rPr>
                <w:rFonts w:ascii="仿宋" w:eastAsia="仿宋" w:hAnsi="仿宋" w:cs="仿宋"/>
                <w:w w:val="110"/>
                <w:sz w:val="24"/>
                <w:szCs w:val="24"/>
              </w:rPr>
              <w:t>2.</w:t>
            </w:r>
            <w:r>
              <w:rPr>
                <w:rFonts w:ascii="仿宋" w:eastAsia="仿宋" w:hAnsi="仿宋" w:cs="仿宋"/>
                <w:spacing w:val="3"/>
                <w:w w:val="110"/>
                <w:sz w:val="24"/>
                <w:szCs w:val="24"/>
              </w:rPr>
              <w:t>91</w:t>
            </w:r>
            <w:r>
              <w:rPr>
                <w:rFonts w:ascii="仿宋" w:eastAsia="仿宋" w:hAnsi="仿宋" w:cs="仿宋"/>
                <w:w w:val="110"/>
                <w:sz w:val="24"/>
                <w:szCs w:val="24"/>
              </w:rPr>
              <w:t>，A</w:t>
            </w:r>
            <w:r>
              <w:rPr>
                <w:rFonts w:ascii="仿宋" w:eastAsia="仿宋" w:hAnsi="仿宋" w:cs="仿宋"/>
                <w:w w:val="105"/>
                <w:sz w:val="24"/>
                <w:szCs w:val="24"/>
              </w:rPr>
              <w:t>.</w:t>
            </w:r>
            <w:r>
              <w:rPr>
                <w:rFonts w:ascii="仿宋" w:eastAsia="仿宋" w:hAnsi="仿宋" w:cs="仿宋"/>
                <w:w w:val="110"/>
                <w:sz w:val="24"/>
                <w:szCs w:val="24"/>
              </w:rPr>
              <w:t>2.94，A</w:t>
            </w:r>
            <w:r>
              <w:rPr>
                <w:rFonts w:ascii="仿宋" w:eastAsia="仿宋" w:hAnsi="仿宋" w:cs="仿宋"/>
                <w:w w:val="105"/>
                <w:sz w:val="24"/>
                <w:szCs w:val="24"/>
              </w:rPr>
              <w:t>.</w:t>
            </w:r>
            <w:r>
              <w:rPr>
                <w:rFonts w:ascii="仿宋" w:eastAsia="仿宋" w:hAnsi="仿宋" w:cs="仿宋"/>
                <w:w w:val="110"/>
                <w:sz w:val="24"/>
                <w:szCs w:val="24"/>
              </w:rPr>
              <w:t>2.97，A</w:t>
            </w:r>
            <w:r>
              <w:rPr>
                <w:rFonts w:ascii="仿宋" w:eastAsia="仿宋" w:hAnsi="仿宋" w:cs="仿宋"/>
                <w:w w:val="105"/>
                <w:sz w:val="24"/>
                <w:szCs w:val="24"/>
              </w:rPr>
              <w:t>.</w:t>
            </w:r>
            <w:r>
              <w:rPr>
                <w:rFonts w:ascii="仿宋" w:eastAsia="仿宋" w:hAnsi="仿宋" w:cs="仿宋"/>
                <w:w w:val="110"/>
                <w:sz w:val="24"/>
                <w:szCs w:val="24"/>
              </w:rPr>
              <w:t>2.102，A</w:t>
            </w:r>
            <w:r>
              <w:rPr>
                <w:rFonts w:ascii="仿宋" w:eastAsia="仿宋" w:hAnsi="仿宋" w:cs="仿宋"/>
                <w:w w:val="105"/>
                <w:sz w:val="24"/>
                <w:szCs w:val="24"/>
              </w:rPr>
              <w:t>.</w:t>
            </w:r>
            <w:r>
              <w:rPr>
                <w:rFonts w:ascii="仿宋" w:eastAsia="仿宋" w:hAnsi="仿宋" w:cs="仿宋"/>
                <w:w w:val="110"/>
                <w:sz w:val="24"/>
                <w:szCs w:val="24"/>
              </w:rPr>
              <w:t>2.109，A</w:t>
            </w:r>
            <w:r>
              <w:rPr>
                <w:rFonts w:ascii="仿宋" w:eastAsia="仿宋" w:hAnsi="仿宋" w:cs="仿宋"/>
                <w:w w:val="105"/>
                <w:sz w:val="24"/>
                <w:szCs w:val="24"/>
              </w:rPr>
              <w:t>.</w:t>
            </w:r>
            <w:r>
              <w:rPr>
                <w:rFonts w:ascii="仿宋" w:eastAsia="仿宋" w:hAnsi="仿宋" w:cs="仿宋"/>
                <w:w w:val="110"/>
                <w:sz w:val="24"/>
                <w:szCs w:val="24"/>
              </w:rPr>
              <w:t>2.</w:t>
            </w:r>
            <w:r>
              <w:rPr>
                <w:rFonts w:ascii="仿宋" w:eastAsia="仿宋" w:hAnsi="仿宋" w:cs="仿宋"/>
                <w:w w:val="130"/>
                <w:sz w:val="24"/>
                <w:szCs w:val="24"/>
              </w:rPr>
              <w:t>lll</w:t>
            </w:r>
            <w:r>
              <w:rPr>
                <w:rFonts w:ascii="仿宋" w:eastAsia="仿宋" w:hAnsi="仿宋" w:cs="仿宋"/>
                <w:w w:val="110"/>
                <w:sz w:val="24"/>
                <w:szCs w:val="24"/>
              </w:rPr>
              <w:t>，</w:t>
            </w:r>
            <w:r>
              <w:rPr>
                <w:rFonts w:ascii="仿宋" w:eastAsia="仿宋" w:hAnsi="仿宋" w:cs="仿宋"/>
                <w:spacing w:val="-14"/>
                <w:w w:val="110"/>
                <w:sz w:val="24"/>
                <w:szCs w:val="24"/>
              </w:rPr>
              <w:t xml:space="preserve"> </w:t>
            </w:r>
            <w:r>
              <w:rPr>
                <w:rFonts w:ascii="仿宋" w:eastAsia="仿宋" w:hAnsi="仿宋" w:cs="仿宋"/>
                <w:w w:val="110"/>
                <w:sz w:val="24"/>
                <w:szCs w:val="24"/>
              </w:rPr>
              <w:t>A</w:t>
            </w:r>
            <w:r>
              <w:rPr>
                <w:rFonts w:ascii="仿宋" w:eastAsia="仿宋" w:hAnsi="仿宋" w:cs="仿宋"/>
                <w:w w:val="105"/>
                <w:sz w:val="24"/>
                <w:szCs w:val="24"/>
              </w:rPr>
              <w:t>.</w:t>
            </w:r>
            <w:r>
              <w:rPr>
                <w:rFonts w:ascii="仿宋" w:eastAsia="仿宋" w:hAnsi="仿宋" w:cs="仿宋"/>
                <w:w w:val="110"/>
                <w:sz w:val="24"/>
                <w:szCs w:val="24"/>
              </w:rPr>
              <w:t>2.112，A</w:t>
            </w:r>
            <w:r>
              <w:rPr>
                <w:rFonts w:ascii="仿宋" w:eastAsia="仿宋" w:hAnsi="仿宋" w:cs="仿宋"/>
                <w:w w:val="105"/>
                <w:sz w:val="24"/>
                <w:szCs w:val="24"/>
              </w:rPr>
              <w:t>.</w:t>
            </w:r>
            <w:r>
              <w:rPr>
                <w:rFonts w:ascii="仿宋" w:eastAsia="仿宋" w:hAnsi="仿宋" w:cs="仿宋"/>
                <w:w w:val="110"/>
                <w:sz w:val="24"/>
                <w:szCs w:val="24"/>
              </w:rPr>
              <w:t>2.113，A</w:t>
            </w:r>
            <w:r>
              <w:rPr>
                <w:rFonts w:ascii="仿宋" w:eastAsia="仿宋" w:hAnsi="仿宋" w:cs="仿宋"/>
                <w:w w:val="105"/>
                <w:sz w:val="24"/>
                <w:szCs w:val="24"/>
              </w:rPr>
              <w:t>.</w:t>
            </w:r>
            <w:r>
              <w:rPr>
                <w:rFonts w:ascii="仿宋" w:eastAsia="仿宋" w:hAnsi="仿宋" w:cs="仿宋"/>
                <w:w w:val="110"/>
                <w:sz w:val="24"/>
                <w:szCs w:val="24"/>
              </w:rPr>
              <w:t>2.114，A</w:t>
            </w:r>
            <w:r>
              <w:rPr>
                <w:rFonts w:ascii="仿宋" w:eastAsia="仿宋" w:hAnsi="仿宋" w:cs="仿宋"/>
                <w:w w:val="105"/>
                <w:sz w:val="24"/>
                <w:szCs w:val="24"/>
              </w:rPr>
              <w:t>.</w:t>
            </w:r>
            <w:r>
              <w:rPr>
                <w:rFonts w:ascii="仿宋" w:eastAsia="仿宋" w:hAnsi="仿宋" w:cs="仿宋"/>
                <w:w w:val="110"/>
                <w:sz w:val="24"/>
                <w:szCs w:val="24"/>
              </w:rPr>
              <w:t>2.115，A</w:t>
            </w:r>
            <w:r>
              <w:rPr>
                <w:rFonts w:ascii="仿宋" w:eastAsia="仿宋" w:hAnsi="仿宋" w:cs="仿宋"/>
                <w:w w:val="105"/>
                <w:sz w:val="24"/>
                <w:szCs w:val="24"/>
              </w:rPr>
              <w:t>.</w:t>
            </w:r>
            <w:r>
              <w:rPr>
                <w:rFonts w:ascii="仿宋" w:eastAsia="仿宋" w:hAnsi="仿宋" w:cs="仿宋"/>
                <w:w w:val="110"/>
                <w:sz w:val="24"/>
                <w:szCs w:val="24"/>
              </w:rPr>
              <w:t>2.116</w:t>
            </w:r>
          </w:p>
          <w:p w:rsidR="000B7F67" w:rsidRDefault="000B7F67" w:rsidP="00C44029">
            <w:pPr>
              <w:pStyle w:val="a6"/>
              <w:kinsoku w:val="0"/>
              <w:overflowPunct w:val="0"/>
              <w:spacing w:before="19"/>
              <w:ind w:left="0" w:firstLine="503"/>
              <w:jc w:val="left"/>
              <w:rPr>
                <w:rFonts w:ascii="仿宋" w:eastAsia="仿宋" w:hAnsi="仿宋" w:cs="仿宋" w:hint="default"/>
                <w:w w:val="105"/>
                <w:sz w:val="24"/>
                <w:szCs w:val="24"/>
              </w:rPr>
            </w:pPr>
          </w:p>
        </w:tc>
      </w:tr>
      <w:tr w:rsidR="000B7F67" w:rsidTr="00C44029">
        <w:trPr>
          <w:trHeight w:hRule="exact" w:val="2427"/>
          <w:jc w:val="center"/>
        </w:trPr>
        <w:tc>
          <w:tcPr>
            <w:tcW w:w="1933" w:type="dxa"/>
            <w:vAlign w:val="center"/>
          </w:tcPr>
          <w:p w:rsidR="000B7F67" w:rsidRDefault="000B7F67" w:rsidP="00C44029">
            <w:pPr>
              <w:pStyle w:val="a6"/>
              <w:kinsoku w:val="0"/>
              <w:overflowPunct w:val="0"/>
              <w:spacing w:before="0"/>
              <w:ind w:left="0" w:firstLine="431"/>
              <w:jc w:val="center"/>
              <w:rPr>
                <w:rFonts w:ascii="仿宋" w:eastAsia="仿宋" w:hAnsi="仿宋" w:cs="仿宋" w:hint="default"/>
                <w:sz w:val="24"/>
                <w:szCs w:val="24"/>
              </w:rPr>
            </w:pPr>
            <w:r>
              <w:rPr>
                <w:rFonts w:ascii="仿宋" w:eastAsia="仿宋" w:hAnsi="仿宋" w:cs="仿宋"/>
                <w:w w:val="90"/>
                <w:sz w:val="24"/>
                <w:szCs w:val="24"/>
              </w:rPr>
              <w:t>特殊类型</w:t>
            </w:r>
          </w:p>
          <w:p w:rsidR="000B7F67" w:rsidRDefault="000B7F67" w:rsidP="00C44029">
            <w:pPr>
              <w:pStyle w:val="a6"/>
              <w:kinsoku w:val="0"/>
              <w:overflowPunct w:val="0"/>
              <w:spacing w:before="21"/>
              <w:ind w:left="0" w:firstLine="431"/>
              <w:jc w:val="center"/>
              <w:rPr>
                <w:rFonts w:ascii="仿宋" w:eastAsia="仿宋" w:hAnsi="仿宋" w:cs="仿宋" w:hint="default"/>
                <w:w w:val="105"/>
                <w:sz w:val="24"/>
                <w:szCs w:val="24"/>
              </w:rPr>
            </w:pPr>
            <w:r>
              <w:rPr>
                <w:rFonts w:ascii="仿宋" w:eastAsia="仿宋" w:hAnsi="仿宋" w:cs="仿宋"/>
                <w:w w:val="90"/>
                <w:sz w:val="24"/>
                <w:szCs w:val="24"/>
              </w:rPr>
              <w:t>型式检验</w:t>
            </w:r>
          </w:p>
        </w:tc>
        <w:tc>
          <w:tcPr>
            <w:tcW w:w="7309" w:type="dxa"/>
          </w:tcPr>
          <w:p w:rsidR="000B7F67" w:rsidRDefault="000B7F67" w:rsidP="00C44029">
            <w:pPr>
              <w:pStyle w:val="a6"/>
              <w:kinsoku w:val="0"/>
              <w:overflowPunct w:val="0"/>
              <w:spacing w:before="0" w:line="130" w:lineRule="exact"/>
              <w:ind w:left="0" w:firstLine="480"/>
              <w:jc w:val="left"/>
              <w:rPr>
                <w:rFonts w:ascii="仿宋" w:eastAsia="仿宋" w:hAnsi="仿宋" w:cs="仿宋" w:hint="default"/>
                <w:sz w:val="24"/>
                <w:szCs w:val="24"/>
              </w:rPr>
            </w:pPr>
          </w:p>
          <w:p w:rsidR="000B7F67" w:rsidRDefault="000B7F67" w:rsidP="00C44029">
            <w:pPr>
              <w:pStyle w:val="a6"/>
              <w:kinsoku w:val="0"/>
              <w:overflowPunct w:val="0"/>
              <w:spacing w:before="0" w:line="130" w:lineRule="exact"/>
              <w:ind w:left="0" w:firstLine="480"/>
              <w:jc w:val="left"/>
              <w:rPr>
                <w:rFonts w:ascii="仿宋" w:eastAsia="仿宋" w:hAnsi="仿宋" w:cs="仿宋" w:hint="default"/>
                <w:sz w:val="24"/>
                <w:szCs w:val="24"/>
              </w:rPr>
            </w:pPr>
          </w:p>
          <w:p w:rsidR="000B7F67" w:rsidRDefault="000B7F67" w:rsidP="00C44029">
            <w:pPr>
              <w:pStyle w:val="a6"/>
              <w:kinsoku w:val="0"/>
              <w:overflowPunct w:val="0"/>
              <w:spacing w:before="0"/>
              <w:ind w:left="0" w:firstLine="480"/>
              <w:jc w:val="left"/>
              <w:rPr>
                <w:rFonts w:ascii="仿宋" w:eastAsia="仿宋" w:hAnsi="仿宋" w:cs="仿宋" w:hint="default"/>
                <w:sz w:val="24"/>
                <w:szCs w:val="24"/>
              </w:rPr>
            </w:pPr>
            <w:r>
              <w:rPr>
                <w:rFonts w:ascii="仿宋" w:eastAsia="仿宋" w:hAnsi="仿宋" w:cs="仿宋"/>
                <w:sz w:val="24"/>
                <w:szCs w:val="24"/>
              </w:rPr>
              <w:t>一般类型型式</w:t>
            </w:r>
            <w:r w:rsidRPr="00C23F7F">
              <w:rPr>
                <w:rFonts w:ascii="仿宋" w:eastAsia="仿宋" w:hAnsi="仿宋" w:cs="仿宋"/>
                <w:sz w:val="24"/>
                <w:szCs w:val="24"/>
              </w:rPr>
              <w:t>检验项目</w:t>
            </w:r>
            <w:r>
              <w:rPr>
                <w:rFonts w:ascii="仿宋" w:eastAsia="仿宋" w:hAnsi="仿宋" w:cs="仿宋"/>
                <w:sz w:val="24"/>
                <w:szCs w:val="24"/>
              </w:rPr>
              <w:t>和</w:t>
            </w:r>
          </w:p>
          <w:p w:rsidR="000B7F67" w:rsidRDefault="000B7F67" w:rsidP="00C44029">
            <w:pPr>
              <w:pStyle w:val="a6"/>
              <w:kinsoku w:val="0"/>
              <w:overflowPunct w:val="0"/>
              <w:spacing w:before="51"/>
              <w:ind w:left="0" w:firstLine="551"/>
              <w:jc w:val="left"/>
              <w:rPr>
                <w:rFonts w:ascii="仿宋" w:eastAsia="仿宋" w:hAnsi="仿宋" w:cs="仿宋" w:hint="default"/>
                <w:w w:val="115"/>
                <w:sz w:val="24"/>
                <w:szCs w:val="24"/>
              </w:rPr>
            </w:pP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2.2，A</w:t>
            </w:r>
            <w:r>
              <w:rPr>
                <w:rFonts w:ascii="仿宋" w:eastAsia="仿宋" w:hAnsi="仿宋" w:cs="仿宋"/>
                <w:w w:val="105"/>
                <w:sz w:val="24"/>
                <w:szCs w:val="24"/>
              </w:rPr>
              <w:t>.</w:t>
            </w:r>
            <w:r>
              <w:rPr>
                <w:rFonts w:ascii="仿宋" w:eastAsia="仿宋" w:hAnsi="仿宋" w:cs="仿宋"/>
                <w:w w:val="115"/>
                <w:sz w:val="24"/>
                <w:szCs w:val="24"/>
              </w:rPr>
              <w:t>2.14</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2.26</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2.27</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2.29</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2.40</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2.41</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2.44</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2.45</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2.52</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2.69</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2.70</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2.72</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2.73</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2.75</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2.83</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2.84</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2.85</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2.86</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2.87</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2.88</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2.90</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2.95</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2.96</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2.99</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2.1OO</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2.103</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2.104</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2.105</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2.106</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2.107</w:t>
            </w:r>
            <w:r>
              <w:rPr>
                <w:rFonts w:ascii="仿宋" w:eastAsia="仿宋" w:hAnsi="仿宋" w:cs="仿宋"/>
                <w:w w:val="110"/>
                <w:sz w:val="24"/>
                <w:szCs w:val="24"/>
              </w:rPr>
              <w:t>，</w:t>
            </w:r>
            <w:r>
              <w:rPr>
                <w:rFonts w:ascii="仿宋" w:eastAsia="仿宋" w:hAnsi="仿宋" w:cs="仿宋"/>
                <w:w w:val="115"/>
                <w:sz w:val="24"/>
                <w:szCs w:val="24"/>
              </w:rPr>
              <w:t>A</w:t>
            </w:r>
            <w:r>
              <w:rPr>
                <w:rFonts w:ascii="仿宋" w:eastAsia="仿宋" w:hAnsi="仿宋" w:cs="仿宋"/>
                <w:w w:val="105"/>
                <w:sz w:val="24"/>
                <w:szCs w:val="24"/>
              </w:rPr>
              <w:t>.</w:t>
            </w:r>
            <w:r>
              <w:rPr>
                <w:rFonts w:ascii="仿宋" w:eastAsia="仿宋" w:hAnsi="仿宋" w:cs="仿宋"/>
                <w:w w:val="115"/>
                <w:sz w:val="24"/>
                <w:szCs w:val="24"/>
              </w:rPr>
              <w:t>2.108</w:t>
            </w:r>
          </w:p>
          <w:p w:rsidR="000B7F67" w:rsidRDefault="000B7F67" w:rsidP="00C44029">
            <w:pPr>
              <w:pStyle w:val="a6"/>
              <w:kinsoku w:val="0"/>
              <w:overflowPunct w:val="0"/>
              <w:spacing w:before="19"/>
              <w:ind w:left="0" w:firstLine="503"/>
              <w:jc w:val="left"/>
              <w:rPr>
                <w:rFonts w:ascii="仿宋" w:eastAsia="仿宋" w:hAnsi="仿宋" w:cs="仿宋" w:hint="default"/>
                <w:w w:val="105"/>
                <w:sz w:val="24"/>
                <w:szCs w:val="24"/>
              </w:rPr>
            </w:pPr>
          </w:p>
        </w:tc>
      </w:tr>
    </w:tbl>
    <w:p w:rsidR="000B7F67" w:rsidRDefault="000B7F67" w:rsidP="000B7F67">
      <w:pPr>
        <w:pStyle w:val="a6"/>
        <w:tabs>
          <w:tab w:val="left" w:pos="2118"/>
        </w:tabs>
        <w:kinsoku w:val="0"/>
        <w:overflowPunct w:val="0"/>
        <w:spacing w:before="19"/>
        <w:ind w:left="0" w:firstLine="503"/>
        <w:rPr>
          <w:rFonts w:ascii="仿宋" w:eastAsia="仿宋" w:hAnsi="仿宋" w:cs="仿宋" w:hint="default"/>
          <w:w w:val="105"/>
          <w:sz w:val="24"/>
          <w:szCs w:val="24"/>
        </w:rPr>
      </w:pPr>
      <w:r>
        <w:rPr>
          <w:rFonts w:ascii="仿宋" w:eastAsia="仿宋" w:hAnsi="仿宋" w:cs="仿宋"/>
          <w:w w:val="105"/>
          <w:sz w:val="24"/>
          <w:szCs w:val="24"/>
        </w:rPr>
        <w:tab/>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A. 3.2  取样方式与数量</w:t>
      </w:r>
    </w:p>
    <w:p w:rsidR="000B7F67" w:rsidRDefault="000B7F67" w:rsidP="000B7F67">
      <w:pPr>
        <w:pStyle w:val="a6"/>
        <w:kinsoku w:val="0"/>
        <w:overflowPunct w:val="0"/>
        <w:spacing w:line="310"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取样方式与数量应符合下列要求：</w:t>
      </w:r>
    </w:p>
    <w:p w:rsidR="000B7F67" w:rsidRDefault="000B7F67" w:rsidP="000B7F67">
      <w:pPr>
        <w:pStyle w:val="a6"/>
        <w:kinsoku w:val="0"/>
        <w:overflowPunct w:val="0"/>
        <w:spacing w:line="310"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安全认证检验的取样方式为送样，样品数量一台；</w:t>
      </w:r>
    </w:p>
    <w:p w:rsidR="000B7F67" w:rsidRDefault="000B7F67" w:rsidP="000B7F67">
      <w:pPr>
        <w:pStyle w:val="a6"/>
        <w:kinsoku w:val="0"/>
        <w:overflowPunct w:val="0"/>
        <w:spacing w:line="310"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其余与 7.4.2 相同。</w:t>
      </w:r>
    </w:p>
    <w:p w:rsidR="000B7F67" w:rsidRDefault="000B7F67" w:rsidP="000B7F67">
      <w:pPr>
        <w:pStyle w:val="a6"/>
        <w:kinsoku w:val="0"/>
        <w:overflowPunct w:val="0"/>
        <w:spacing w:before="31" w:line="288" w:lineRule="auto"/>
        <w:ind w:left="129" w:firstLine="482"/>
        <w:rPr>
          <w:rFonts w:asciiTheme="majorEastAsia" w:eastAsiaTheme="majorEastAsia" w:hAnsiTheme="majorEastAsia" w:cstheme="majorEastAsia" w:hint="default"/>
          <w:b/>
          <w:bCs/>
          <w:sz w:val="24"/>
          <w:szCs w:val="24"/>
        </w:rPr>
      </w:pPr>
      <w:r>
        <w:rPr>
          <w:rFonts w:asciiTheme="majorEastAsia" w:eastAsiaTheme="majorEastAsia" w:hAnsiTheme="majorEastAsia" w:cstheme="majorEastAsia"/>
          <w:b/>
          <w:bCs/>
          <w:sz w:val="24"/>
          <w:szCs w:val="24"/>
        </w:rPr>
        <w:t xml:space="preserve">A.3. 3  判定规则 </w:t>
      </w:r>
    </w:p>
    <w:p w:rsidR="000B7F67" w:rsidRDefault="000B7F67" w:rsidP="000B7F67">
      <w:pPr>
        <w:pStyle w:val="a6"/>
        <w:kinsoku w:val="0"/>
        <w:overflowPunct w:val="0"/>
        <w:spacing w:line="310"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按下列方法进行判定：</w:t>
      </w:r>
    </w:p>
    <w:p w:rsidR="000B7F67" w:rsidRDefault="000B7F67" w:rsidP="000B7F67">
      <w:pPr>
        <w:pStyle w:val="a6"/>
        <w:kinsoku w:val="0"/>
        <w:overflowPunct w:val="0"/>
        <w:spacing w:line="310"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a)  安全认证检验时，所检测的每一项均应符合本标准的要求 。若在检验项目中出现不合格项肘，允许对不合格项进行修复。如修复可能影响到其他项目的性能 ，则由第二方检测机构与生产企业协商确定其他检验项目；</w:t>
      </w:r>
    </w:p>
    <w:p w:rsidR="000B7F67" w:rsidRDefault="000B7F67" w:rsidP="000B7F67">
      <w:pPr>
        <w:pStyle w:val="a6"/>
        <w:kinsoku w:val="0"/>
        <w:overflowPunct w:val="0"/>
        <w:spacing w:line="310" w:lineRule="auto"/>
        <w:ind w:left="0" w:firstLineChars="200" w:firstLine="503"/>
        <w:rPr>
          <w:rFonts w:ascii="仿宋" w:eastAsia="仿宋" w:hAnsi="仿宋" w:cs="仿宋" w:hint="default"/>
          <w:w w:val="105"/>
          <w:sz w:val="24"/>
          <w:szCs w:val="24"/>
        </w:rPr>
      </w:pPr>
      <w:r>
        <w:rPr>
          <w:rFonts w:ascii="仿宋" w:eastAsia="仿宋" w:hAnsi="仿宋" w:cs="仿宋"/>
          <w:w w:val="105"/>
          <w:sz w:val="24"/>
          <w:szCs w:val="24"/>
        </w:rPr>
        <w:t>b)  其余与 7.4.3 相同。</w:t>
      </w:r>
    </w:p>
    <w:p w:rsidR="000B7F67" w:rsidRDefault="000B7F67" w:rsidP="000B7F67">
      <w:pPr>
        <w:spacing w:line="276" w:lineRule="auto"/>
        <w:rPr>
          <w:rFonts w:asciiTheme="minorEastAsia" w:hAnsiTheme="minorEastAsia"/>
          <w:sz w:val="24"/>
          <w:szCs w:val="24"/>
        </w:rPr>
      </w:pPr>
      <w:bookmarkStart w:id="0" w:name="_GoBack"/>
      <w:bookmarkEnd w:id="0"/>
      <w:r>
        <w:rPr>
          <w:rFonts w:asciiTheme="minorEastAsia" w:hAnsiTheme="minorEastAsia"/>
          <w:sz w:val="24"/>
          <w:szCs w:val="24"/>
        </w:rPr>
        <w:br w:type="page"/>
      </w:r>
    </w:p>
    <w:p w:rsidR="000B7F67" w:rsidRPr="000B7F67" w:rsidRDefault="000B7F67" w:rsidP="000B7F67">
      <w:pPr>
        <w:jc w:val="center"/>
        <w:rPr>
          <w:rFonts w:asciiTheme="minorEastAsia" w:hAnsiTheme="minorEastAsia"/>
          <w:b/>
          <w:bCs/>
          <w:sz w:val="24"/>
          <w:szCs w:val="24"/>
        </w:rPr>
      </w:pPr>
    </w:p>
    <w:p w:rsidR="000B7F67" w:rsidRPr="000B7F67" w:rsidRDefault="000B7F67" w:rsidP="000B7F67">
      <w:pPr>
        <w:jc w:val="center"/>
        <w:rPr>
          <w:rFonts w:asciiTheme="minorEastAsia" w:hAnsiTheme="minorEastAsia"/>
          <w:b/>
          <w:bCs/>
          <w:sz w:val="24"/>
          <w:szCs w:val="24"/>
        </w:rPr>
      </w:pPr>
      <w:r w:rsidRPr="000B7F67">
        <w:rPr>
          <w:rFonts w:asciiTheme="minorEastAsia" w:hAnsiTheme="minorEastAsia"/>
          <w:b/>
          <w:bCs/>
          <w:sz w:val="24"/>
          <w:szCs w:val="24"/>
        </w:rPr>
        <w:t>附 录 B</w:t>
      </w:r>
    </w:p>
    <w:p w:rsidR="000B7F67" w:rsidRPr="000B7F67" w:rsidRDefault="000B7F67" w:rsidP="000B7F67">
      <w:pPr>
        <w:jc w:val="center"/>
        <w:rPr>
          <w:rFonts w:asciiTheme="minorEastAsia" w:hAnsiTheme="minorEastAsia"/>
          <w:b/>
          <w:bCs/>
          <w:sz w:val="24"/>
          <w:szCs w:val="24"/>
        </w:rPr>
      </w:pPr>
      <w:r w:rsidRPr="000B7F67">
        <w:rPr>
          <w:rFonts w:asciiTheme="minorEastAsia" w:hAnsiTheme="minorEastAsia"/>
          <w:b/>
          <w:bCs/>
          <w:sz w:val="24"/>
          <w:szCs w:val="24"/>
        </w:rPr>
        <w:t>（规范性附录）</w:t>
      </w:r>
    </w:p>
    <w:p w:rsidR="000B7F67" w:rsidRPr="000B7F67" w:rsidRDefault="000B7F67" w:rsidP="000B7F67">
      <w:pPr>
        <w:jc w:val="center"/>
        <w:rPr>
          <w:rFonts w:asciiTheme="minorEastAsia" w:hAnsiTheme="minorEastAsia"/>
          <w:b/>
          <w:bCs/>
          <w:sz w:val="24"/>
          <w:szCs w:val="24"/>
        </w:rPr>
      </w:pPr>
    </w:p>
    <w:p w:rsidR="000B7F67" w:rsidRPr="000B7F67" w:rsidRDefault="000B7F67" w:rsidP="000B7F67">
      <w:pPr>
        <w:jc w:val="center"/>
        <w:rPr>
          <w:rFonts w:asciiTheme="minorEastAsia" w:hAnsiTheme="minorEastAsia"/>
          <w:b/>
          <w:bCs/>
          <w:sz w:val="24"/>
          <w:szCs w:val="24"/>
        </w:rPr>
      </w:pPr>
      <w:r w:rsidRPr="000B7F67">
        <w:rPr>
          <w:rFonts w:asciiTheme="minorEastAsia" w:hAnsiTheme="minorEastAsia"/>
          <w:b/>
          <w:bCs/>
          <w:sz w:val="24"/>
          <w:szCs w:val="24"/>
        </w:rPr>
        <w:t>环境试验细则</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b/>
          <w:bCs/>
          <w:sz w:val="24"/>
          <w:szCs w:val="24"/>
        </w:rPr>
      </w:pPr>
      <w:r w:rsidRPr="000B7F67">
        <w:rPr>
          <w:rFonts w:asciiTheme="minorEastAsia" w:hAnsiTheme="minorEastAsia"/>
          <w:b/>
          <w:bCs/>
          <w:sz w:val="24"/>
          <w:szCs w:val="24"/>
        </w:rPr>
        <w:t>B.1  设备状态</w:t>
      </w:r>
    </w:p>
    <w:p w:rsidR="000B7F67" w:rsidRPr="000B7F67" w:rsidRDefault="000B7F67" w:rsidP="000B7F67">
      <w:pPr>
        <w:ind w:firstLineChars="200" w:firstLine="480"/>
        <w:rPr>
          <w:rFonts w:asciiTheme="minorEastAsia" w:hAnsiTheme="minorEastAsia"/>
          <w:sz w:val="24"/>
          <w:szCs w:val="24"/>
        </w:rPr>
      </w:pPr>
      <w:r w:rsidRPr="000B7F67">
        <w:rPr>
          <w:rFonts w:asciiTheme="minorEastAsia" w:hAnsiTheme="minorEastAsia"/>
          <w:sz w:val="24"/>
          <w:szCs w:val="24"/>
        </w:rPr>
        <w:t>试验时设备状态应符合GB/T 14710-2009中9.2.2的要求。下列情况除外：</w:t>
      </w:r>
    </w:p>
    <w:p w:rsidR="000B7F67" w:rsidRPr="000B7F67" w:rsidRDefault="000B7F67" w:rsidP="000B7F67">
      <w:pPr>
        <w:numPr>
          <w:ilvl w:val="0"/>
          <w:numId w:val="5"/>
        </w:numPr>
        <w:ind w:leftChars="300" w:left="660"/>
        <w:rPr>
          <w:rFonts w:asciiTheme="minorEastAsia" w:hAnsiTheme="minorEastAsia"/>
          <w:sz w:val="24"/>
          <w:szCs w:val="24"/>
        </w:rPr>
      </w:pPr>
      <w:r w:rsidRPr="000B7F67">
        <w:rPr>
          <w:rFonts w:asciiTheme="minorEastAsia" w:hAnsiTheme="minorEastAsia" w:hint="eastAsia"/>
          <w:sz w:val="24"/>
          <w:szCs w:val="24"/>
        </w:rPr>
        <w:t xml:space="preserve"> </w:t>
      </w:r>
      <w:r w:rsidRPr="000B7F67">
        <w:rPr>
          <w:rFonts w:asciiTheme="minorEastAsia" w:hAnsiTheme="minorEastAsia"/>
          <w:sz w:val="24"/>
          <w:szCs w:val="24"/>
        </w:rPr>
        <w:t>低温贮存试验时，允许设备放去冷却水后进行；</w:t>
      </w:r>
    </w:p>
    <w:p w:rsidR="000B7F67" w:rsidRPr="000B7F67" w:rsidRDefault="000B7F67" w:rsidP="000B7F67">
      <w:pPr>
        <w:numPr>
          <w:ilvl w:val="0"/>
          <w:numId w:val="5"/>
        </w:numPr>
        <w:ind w:leftChars="300" w:left="660"/>
        <w:rPr>
          <w:rFonts w:asciiTheme="minorEastAsia" w:hAnsiTheme="minorEastAsia"/>
          <w:sz w:val="24"/>
          <w:szCs w:val="24"/>
        </w:rPr>
      </w:pPr>
      <w:r w:rsidRPr="000B7F67">
        <w:rPr>
          <w:rFonts w:asciiTheme="minorEastAsia" w:hAnsiTheme="minorEastAsia" w:hint="eastAsia"/>
          <w:sz w:val="24"/>
          <w:szCs w:val="24"/>
        </w:rPr>
        <w:t xml:space="preserve"> </w:t>
      </w:r>
      <w:r w:rsidRPr="000B7F67">
        <w:rPr>
          <w:rFonts w:asciiTheme="minorEastAsia" w:hAnsiTheme="minorEastAsia"/>
          <w:sz w:val="24"/>
          <w:szCs w:val="24"/>
        </w:rPr>
        <w:t>特殊结构或有特殊要求的设备，可由注册产品标准规定符合合适的设备状态。</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b/>
          <w:bCs/>
          <w:sz w:val="24"/>
          <w:szCs w:val="24"/>
        </w:rPr>
      </w:pPr>
      <w:r w:rsidRPr="000B7F67">
        <w:rPr>
          <w:rFonts w:asciiTheme="minorEastAsia" w:hAnsiTheme="minorEastAsia"/>
          <w:b/>
          <w:bCs/>
          <w:sz w:val="24"/>
          <w:szCs w:val="24"/>
        </w:rPr>
        <w:t>B.2  初始检测</w:t>
      </w:r>
    </w:p>
    <w:p w:rsidR="000B7F67" w:rsidRPr="000B7F67" w:rsidRDefault="000B7F67" w:rsidP="000B7F67">
      <w:pPr>
        <w:ind w:firstLineChars="200" w:firstLine="480"/>
        <w:rPr>
          <w:rFonts w:asciiTheme="minorEastAsia" w:hAnsiTheme="minorEastAsia"/>
          <w:sz w:val="24"/>
          <w:szCs w:val="24"/>
        </w:rPr>
      </w:pPr>
      <w:r w:rsidRPr="000B7F67">
        <w:rPr>
          <w:rFonts w:asciiTheme="minorEastAsia" w:hAnsiTheme="minorEastAsia"/>
          <w:sz w:val="24"/>
          <w:szCs w:val="24"/>
        </w:rPr>
        <w:t>进行多项试验时初始检测可按正常工作条件下的常规试验进行。</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b/>
          <w:bCs/>
          <w:sz w:val="24"/>
          <w:szCs w:val="24"/>
        </w:rPr>
      </w:pPr>
      <w:r w:rsidRPr="000B7F67">
        <w:rPr>
          <w:rFonts w:asciiTheme="minorEastAsia" w:hAnsiTheme="minorEastAsia"/>
          <w:b/>
          <w:bCs/>
          <w:sz w:val="24"/>
          <w:szCs w:val="24"/>
        </w:rPr>
        <w:t>B.3  电源适应能力试验</w:t>
      </w:r>
    </w:p>
    <w:p w:rsidR="000B7F67" w:rsidRPr="000B7F67" w:rsidRDefault="000B7F67" w:rsidP="000B7F67">
      <w:pPr>
        <w:ind w:firstLineChars="200" w:firstLine="480"/>
        <w:rPr>
          <w:rFonts w:asciiTheme="minorEastAsia" w:hAnsiTheme="minorEastAsia"/>
          <w:sz w:val="24"/>
          <w:szCs w:val="24"/>
        </w:rPr>
      </w:pPr>
      <w:r w:rsidRPr="000B7F67">
        <w:rPr>
          <w:rFonts w:asciiTheme="minorEastAsia" w:hAnsiTheme="minorEastAsia"/>
          <w:sz w:val="24"/>
          <w:szCs w:val="24"/>
        </w:rPr>
        <w:t>电源适应能力试验通常在额定工作低温试验、额定工作高温试验后分别在额定电压+10%和-10%的条件下通电15 min后进行检测。</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b/>
          <w:bCs/>
          <w:sz w:val="24"/>
          <w:szCs w:val="24"/>
        </w:rPr>
      </w:pPr>
      <w:r w:rsidRPr="000B7F67">
        <w:rPr>
          <w:rFonts w:asciiTheme="minorEastAsia" w:hAnsiTheme="minorEastAsia"/>
          <w:b/>
          <w:bCs/>
          <w:sz w:val="24"/>
          <w:szCs w:val="24"/>
        </w:rPr>
        <w:t>B.4  运输试验</w:t>
      </w:r>
    </w:p>
    <w:p w:rsidR="000B7F67" w:rsidRPr="000B7F67" w:rsidRDefault="000B7F67" w:rsidP="000B7F67">
      <w:pPr>
        <w:ind w:firstLineChars="200" w:firstLine="480"/>
        <w:rPr>
          <w:rFonts w:asciiTheme="minorEastAsia" w:hAnsiTheme="minorEastAsia"/>
          <w:sz w:val="24"/>
          <w:szCs w:val="24"/>
        </w:rPr>
      </w:pPr>
      <w:r w:rsidRPr="000B7F67">
        <w:rPr>
          <w:rFonts w:asciiTheme="minorEastAsia" w:hAnsiTheme="minorEastAsia"/>
          <w:sz w:val="24"/>
          <w:szCs w:val="24"/>
        </w:rPr>
        <w:t>运输试验按 GB/T 14710-2009中第3章规定，设备包装后单独进行。</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b/>
          <w:bCs/>
          <w:sz w:val="24"/>
          <w:szCs w:val="24"/>
        </w:rPr>
      </w:pPr>
      <w:r w:rsidRPr="000B7F67">
        <w:rPr>
          <w:rFonts w:asciiTheme="minorEastAsia" w:hAnsiTheme="minorEastAsia"/>
          <w:b/>
          <w:bCs/>
          <w:sz w:val="24"/>
          <w:szCs w:val="24"/>
        </w:rPr>
        <w:t>B.5  环境试验的合并原则</w:t>
      </w:r>
    </w:p>
    <w:p w:rsidR="000B7F67" w:rsidRPr="000B7F67" w:rsidRDefault="000B7F67" w:rsidP="000B7F67">
      <w:pPr>
        <w:ind w:firstLineChars="200" w:firstLine="480"/>
        <w:jc w:val="both"/>
        <w:rPr>
          <w:rFonts w:asciiTheme="minorEastAsia" w:hAnsiTheme="minorEastAsia"/>
          <w:sz w:val="24"/>
          <w:szCs w:val="24"/>
        </w:rPr>
      </w:pPr>
      <w:r w:rsidRPr="000B7F67">
        <w:rPr>
          <w:rFonts w:asciiTheme="minorEastAsia" w:hAnsiTheme="minorEastAsia"/>
          <w:sz w:val="24"/>
          <w:szCs w:val="24"/>
        </w:rPr>
        <w:t>本附录规定湿热贮存试验与潮湿预处理可以合并进行；具体为试验持续时间结束后，利用恢复时间，保持湿度，待温度降到 20</w:t>
      </w:r>
      <w:r w:rsidRPr="000B7F67">
        <w:rPr>
          <w:rFonts w:asciiTheme="minorEastAsia" w:hAnsiTheme="minorEastAsia" w:cs="Cambria Math"/>
          <w:sz w:val="24"/>
          <w:szCs w:val="24"/>
        </w:rPr>
        <w:t>℃</w:t>
      </w:r>
      <w:r w:rsidRPr="000B7F67">
        <w:rPr>
          <w:rFonts w:asciiTheme="minorEastAsia" w:hAnsiTheme="minorEastAsia"/>
          <w:sz w:val="24"/>
          <w:szCs w:val="24"/>
        </w:rPr>
        <w:t>～32</w:t>
      </w:r>
      <w:r w:rsidRPr="000B7F67">
        <w:rPr>
          <w:rFonts w:asciiTheme="minorEastAsia" w:hAnsiTheme="minorEastAsia" w:cs="Cambria Math"/>
          <w:sz w:val="24"/>
          <w:szCs w:val="24"/>
        </w:rPr>
        <w:t>℃</w:t>
      </w:r>
      <w:r w:rsidRPr="000B7F67">
        <w:rPr>
          <w:rFonts w:asciiTheme="minorEastAsia" w:hAnsiTheme="minorEastAsia"/>
          <w:sz w:val="24"/>
          <w:szCs w:val="24"/>
        </w:rPr>
        <w:t>（可按气温选定）时，按 GB 9706.1-2007中20.4 a）检查电介质强度；恢复1 h后，在相对湿度在45%～65% 的环境里，再按 GB 9706.1-2007中19.4检查漏电流，继续恢复24 h后作湿热贮存试验的最后检测。</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b/>
          <w:bCs/>
          <w:sz w:val="24"/>
          <w:szCs w:val="24"/>
        </w:rPr>
      </w:pPr>
      <w:r w:rsidRPr="000B7F67">
        <w:rPr>
          <w:rFonts w:asciiTheme="minorEastAsia" w:hAnsiTheme="minorEastAsia"/>
          <w:b/>
          <w:bCs/>
          <w:sz w:val="24"/>
          <w:szCs w:val="24"/>
        </w:rPr>
        <w:lastRenderedPageBreak/>
        <w:t>B.6  环境试验项目实施表</w:t>
      </w:r>
    </w:p>
    <w:p w:rsidR="000B7F67" w:rsidRPr="000B7F67" w:rsidRDefault="000B7F67" w:rsidP="000B7F67">
      <w:pPr>
        <w:ind w:firstLineChars="200" w:firstLine="480"/>
        <w:rPr>
          <w:rFonts w:asciiTheme="minorEastAsia" w:hAnsiTheme="minorEastAsia"/>
          <w:sz w:val="24"/>
          <w:szCs w:val="24"/>
        </w:rPr>
      </w:pPr>
      <w:r w:rsidRPr="000B7F67">
        <w:rPr>
          <w:rFonts w:asciiTheme="minorEastAsia" w:hAnsiTheme="minorEastAsia"/>
          <w:sz w:val="24"/>
          <w:szCs w:val="24"/>
        </w:rPr>
        <w:t>试验顺序、持续时间、恢复时间、检测项目见表 B.1。</w:t>
      </w: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sz w:val="24"/>
          <w:szCs w:val="24"/>
        </w:rPr>
      </w:pPr>
    </w:p>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表 B.1 环境试验项目实施表</w:t>
      </w:r>
    </w:p>
    <w:tbl>
      <w:tblPr>
        <w:tblW w:w="9530" w:type="dxa"/>
        <w:jc w:val="center"/>
        <w:tblLayout w:type="fixed"/>
        <w:tblLook w:val="04A0" w:firstRow="1" w:lastRow="0" w:firstColumn="1" w:lastColumn="0" w:noHBand="0" w:noVBand="1"/>
      </w:tblPr>
      <w:tblGrid>
        <w:gridCol w:w="1192"/>
        <w:gridCol w:w="963"/>
        <w:gridCol w:w="1420"/>
        <w:gridCol w:w="1191"/>
        <w:gridCol w:w="1191"/>
        <w:gridCol w:w="1191"/>
        <w:gridCol w:w="1397"/>
        <w:gridCol w:w="985"/>
      </w:tblGrid>
      <w:tr w:rsidR="000B7F67" w:rsidRPr="000B7F67" w:rsidTr="00C44029">
        <w:trPr>
          <w:trHeight w:hRule="exact" w:val="651"/>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试验项目</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持续时间</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恢复时间</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运行试验</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中间检测</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最后检测</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sz w:val="24"/>
                <w:szCs w:val="24"/>
              </w:rPr>
            </w:pPr>
            <w:r w:rsidRPr="000B7F67">
              <w:rPr>
                <w:rFonts w:asciiTheme="minorEastAsia" w:hAnsiTheme="minorEastAsia"/>
                <w:sz w:val="24"/>
                <w:szCs w:val="24"/>
              </w:rPr>
              <w:t>备 注</w:t>
            </w:r>
          </w:p>
        </w:tc>
      </w:tr>
      <w:tr w:rsidR="000B7F67" w:rsidRPr="000B7F67" w:rsidTr="00C44029">
        <w:trPr>
          <w:trHeight w:hRule="exact" w:val="662"/>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额定工作低温试验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2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电源适应性</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r>
      <w:tr w:rsidR="000B7F67" w:rsidRPr="000B7F67" w:rsidTr="00C44029">
        <w:trPr>
          <w:trHeight w:hRule="exact" w:val="454"/>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低温贮存试验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4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8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r>
      <w:tr w:rsidR="000B7F67" w:rsidRPr="000B7F67" w:rsidTr="00C44029">
        <w:trPr>
          <w:trHeight w:hRule="exact" w:val="454"/>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额定工作高温试验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4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4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5 1.4</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电源适应性</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r>
      <w:tr w:rsidR="000B7F67" w:rsidRPr="000B7F67" w:rsidTr="00C44029">
        <w:trPr>
          <w:trHeight w:hRule="exact" w:val="454"/>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高温贮存试验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4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1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w:t>
            </w:r>
          </w:p>
          <w:p w:rsidR="000B7F67" w:rsidRPr="000B7F67" w:rsidRDefault="000B7F67" w:rsidP="000B7F67">
            <w:pPr>
              <w:jc w:val="center"/>
              <w:rPr>
                <w:rFonts w:asciiTheme="minorEastAsia" w:hAnsiTheme="minorEastAsia"/>
              </w:rPr>
            </w:pPr>
            <w:r w:rsidRPr="000B7F67">
              <w:rPr>
                <w:rFonts w:asciiTheme="minorEastAsia" w:hAnsiTheme="minorEastAsia"/>
              </w:rPr>
              <w:t>5. 10</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r>
      <w:tr w:rsidR="000B7F67" w:rsidRPr="000B7F67" w:rsidTr="00C44029">
        <w:trPr>
          <w:trHeight w:hRule="exact" w:val="454"/>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额定工作湿热试验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4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r>
      <w:tr w:rsidR="000B7F67" w:rsidRPr="000B7F67" w:rsidTr="00C44029">
        <w:trPr>
          <w:trHeight w:hRule="exact" w:val="454"/>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湿热贮存试验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48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24 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w:t>
            </w:r>
          </w:p>
          <w:p w:rsidR="000B7F67" w:rsidRPr="000B7F67" w:rsidRDefault="000B7F67" w:rsidP="000B7F67">
            <w:pPr>
              <w:jc w:val="center"/>
              <w:rPr>
                <w:rFonts w:asciiTheme="minorEastAsia" w:hAnsiTheme="minorEastAsia"/>
              </w:rPr>
            </w:pPr>
            <w:r w:rsidRPr="000B7F67">
              <w:rPr>
                <w:rFonts w:asciiTheme="minorEastAsia" w:hAnsiTheme="minorEastAsia"/>
              </w:rPr>
              <w:t>5. 10</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r>
      <w:tr w:rsidR="000B7F67" w:rsidRPr="000B7F67" w:rsidTr="00C44029">
        <w:trPr>
          <w:trHeight w:hRule="exact" w:val="655"/>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振动试验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按</w:t>
            </w:r>
            <w:r w:rsidRPr="000B7F67">
              <w:rPr>
                <w:rFonts w:asciiTheme="minorEastAsia" w:hAnsiTheme="minorEastAsia" w:hint="eastAsia"/>
              </w:rPr>
              <w:t>Ⅱ</w:t>
            </w:r>
            <w:r w:rsidRPr="000B7F67">
              <w:rPr>
                <w:rFonts w:asciiTheme="minorEastAsia" w:hAnsiTheme="minorEastAsia"/>
              </w:rPr>
              <w:t>组规定</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5.1.4,5</w:t>
            </w:r>
            <w:r w:rsidRPr="000B7F67">
              <w:rPr>
                <w:rFonts w:asciiTheme="minorEastAsia" w:hAnsiTheme="minorEastAsia" w:hint="eastAsia"/>
              </w:rPr>
              <w:t>.</w:t>
            </w:r>
            <w:r w:rsidRPr="000B7F67">
              <w:rPr>
                <w:rFonts w:asciiTheme="minorEastAsia" w:hAnsiTheme="minorEastAsia"/>
              </w:rPr>
              <w:t>10结构检查</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方向↑</w:t>
            </w:r>
          </w:p>
        </w:tc>
      </w:tr>
      <w:tr w:rsidR="000B7F67" w:rsidRPr="000B7F67" w:rsidTr="00C44029">
        <w:trPr>
          <w:trHeight w:hRule="exact" w:val="849"/>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碰撞试验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按</w:t>
            </w:r>
            <w:r w:rsidRPr="000B7F67">
              <w:rPr>
                <w:rFonts w:asciiTheme="minorEastAsia" w:hAnsiTheme="minorEastAsia" w:hint="eastAsia"/>
              </w:rPr>
              <w:t>Ⅱ</w:t>
            </w:r>
            <w:r w:rsidRPr="000B7F67">
              <w:rPr>
                <w:rFonts w:asciiTheme="minorEastAsia" w:hAnsiTheme="minorEastAsia"/>
              </w:rPr>
              <w:t>组规定</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5.1.4,5.10</w:t>
            </w:r>
          </w:p>
          <w:p w:rsidR="000B7F67" w:rsidRPr="000B7F67" w:rsidRDefault="000B7F67" w:rsidP="000B7F67">
            <w:pPr>
              <w:jc w:val="center"/>
              <w:rPr>
                <w:rFonts w:asciiTheme="minorEastAsia" w:hAnsiTheme="minorEastAsia"/>
              </w:rPr>
            </w:pPr>
            <w:r w:rsidRPr="000B7F67">
              <w:rPr>
                <w:rFonts w:asciiTheme="minorEastAsia" w:hAnsiTheme="minorEastAsia"/>
              </w:rPr>
              <w:t>结构检查</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方向↑</w:t>
            </w:r>
          </w:p>
        </w:tc>
      </w:tr>
      <w:tr w:rsidR="000B7F67" w:rsidRPr="000B7F67" w:rsidTr="00C44029">
        <w:trPr>
          <w:trHeight w:hRule="exact" w:val="988"/>
          <w:jc w:val="center"/>
        </w:trPr>
        <w:tc>
          <w:tcPr>
            <w:tcW w:w="1192" w:type="dxa"/>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能力试验</w:t>
            </w:r>
          </w:p>
        </w:tc>
        <w:tc>
          <w:tcPr>
            <w:tcW w:w="963" w:type="dxa"/>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198v</w:t>
            </w:r>
          </w:p>
          <w:p w:rsidR="000B7F67" w:rsidRPr="000B7F67" w:rsidRDefault="000B7F67" w:rsidP="000B7F67">
            <w:pPr>
              <w:jc w:val="center"/>
              <w:rPr>
                <w:rFonts w:asciiTheme="minorEastAsia" w:hAnsiTheme="minorEastAsia"/>
              </w:rPr>
            </w:pPr>
            <w:r w:rsidRPr="000B7F67">
              <w:rPr>
                <w:rFonts w:asciiTheme="minorEastAsia" w:hAnsiTheme="minorEastAsia"/>
              </w:rPr>
              <w:t>242v</w:t>
            </w:r>
          </w:p>
        </w:tc>
        <w:tc>
          <w:tcPr>
            <w:tcW w:w="1420" w:type="dxa"/>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15 min</w:t>
            </w:r>
          </w:p>
          <w:p w:rsidR="000B7F67" w:rsidRPr="000B7F67" w:rsidRDefault="000B7F67" w:rsidP="000B7F67">
            <w:pPr>
              <w:jc w:val="center"/>
              <w:rPr>
                <w:rFonts w:asciiTheme="minorEastAsia" w:hAnsiTheme="minorEastAsia"/>
              </w:rPr>
            </w:pPr>
            <w:r w:rsidRPr="000B7F67">
              <w:rPr>
                <w:rFonts w:asciiTheme="minorEastAsia" w:hAnsiTheme="minorEastAsia"/>
              </w:rPr>
              <w:t>15 min</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5.1.4</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985"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见 B.3</w:t>
            </w:r>
          </w:p>
        </w:tc>
      </w:tr>
      <w:tr w:rsidR="000B7F67" w:rsidRPr="000B7F67" w:rsidTr="00C44029">
        <w:trPr>
          <w:trHeight w:hRule="exact" w:val="1360"/>
          <w:jc w:val="center"/>
        </w:trPr>
        <w:tc>
          <w:tcPr>
            <w:tcW w:w="2155" w:type="dxa"/>
            <w:gridSpan w:val="2"/>
            <w:tcBorders>
              <w:top w:val="single" w:sz="2" w:space="0" w:color="000000"/>
              <w:left w:val="single" w:sz="4"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运输试验</w:t>
            </w:r>
          </w:p>
        </w:tc>
        <w:tc>
          <w:tcPr>
            <w:tcW w:w="1420"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hint="eastAsia"/>
              </w:rPr>
              <w:t>200 km</w:t>
            </w:r>
          </w:p>
          <w:p w:rsidR="000B7F67" w:rsidRPr="000B7F67" w:rsidRDefault="000B7F67" w:rsidP="000B7F67">
            <w:pPr>
              <w:jc w:val="center"/>
              <w:rPr>
                <w:rFonts w:asciiTheme="minorEastAsia" w:hAnsiTheme="minorEastAsia"/>
              </w:rPr>
            </w:pPr>
            <w:r w:rsidRPr="000B7F67">
              <w:rPr>
                <w:rFonts w:asciiTheme="minorEastAsia" w:hAnsiTheme="minorEastAsia"/>
              </w:rPr>
              <w:t>20 km/h</w:t>
            </w:r>
            <w:r w:rsidRPr="000B7F67">
              <w:rPr>
                <w:rFonts w:asciiTheme="minorEastAsia" w:hAnsiTheme="minorEastAsia" w:hint="eastAsia"/>
              </w:rPr>
              <w:t xml:space="preserve"> ~</w:t>
            </w:r>
          </w:p>
          <w:p w:rsidR="000B7F67" w:rsidRPr="000B7F67" w:rsidRDefault="000B7F67" w:rsidP="000B7F67">
            <w:pPr>
              <w:jc w:val="center"/>
              <w:rPr>
                <w:rFonts w:asciiTheme="minorEastAsia" w:hAnsiTheme="minorEastAsia"/>
              </w:rPr>
            </w:pPr>
            <w:r w:rsidRPr="000B7F67">
              <w:rPr>
                <w:rFonts w:asciiTheme="minorEastAsia" w:hAnsiTheme="minorEastAsia"/>
              </w:rPr>
              <w:t>40 km/h</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191"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w:t>
            </w:r>
          </w:p>
        </w:tc>
        <w:tc>
          <w:tcPr>
            <w:tcW w:w="1397" w:type="dxa"/>
            <w:tcBorders>
              <w:top w:val="single" w:sz="2" w:space="0" w:color="000000"/>
              <w:left w:val="single" w:sz="2" w:space="0" w:color="000000"/>
              <w:bottom w:val="single" w:sz="2" w:space="0" w:color="000000"/>
              <w:right w:val="single" w:sz="2"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5.10</w:t>
            </w:r>
          </w:p>
          <w:p w:rsidR="000B7F67" w:rsidRPr="000B7F67" w:rsidRDefault="000B7F67" w:rsidP="000B7F67">
            <w:pPr>
              <w:jc w:val="center"/>
              <w:rPr>
                <w:rFonts w:asciiTheme="minorEastAsia" w:hAnsiTheme="minorEastAsia"/>
              </w:rPr>
            </w:pPr>
            <w:r w:rsidRPr="000B7F67">
              <w:rPr>
                <w:rFonts w:asciiTheme="minorEastAsia" w:hAnsiTheme="minorEastAsia"/>
              </w:rPr>
              <w:t>工作正常， 结构检查</w:t>
            </w:r>
          </w:p>
        </w:tc>
        <w:tc>
          <w:tcPr>
            <w:tcW w:w="985" w:type="dxa"/>
            <w:tcBorders>
              <w:top w:val="single" w:sz="2" w:space="0" w:color="000000"/>
              <w:left w:val="single" w:sz="2" w:space="0" w:color="000000"/>
              <w:bottom w:val="single" w:sz="2" w:space="0" w:color="000000"/>
              <w:right w:val="single" w:sz="4" w:space="0" w:color="000000"/>
            </w:tcBorders>
            <w:vAlign w:val="center"/>
          </w:tcPr>
          <w:p w:rsidR="000B7F67" w:rsidRPr="000B7F67" w:rsidRDefault="000B7F67" w:rsidP="000B7F67">
            <w:pPr>
              <w:jc w:val="center"/>
              <w:rPr>
                <w:rFonts w:asciiTheme="minorEastAsia" w:hAnsiTheme="minorEastAsia"/>
              </w:rPr>
            </w:pPr>
            <w:r w:rsidRPr="000B7F67">
              <w:rPr>
                <w:rFonts w:asciiTheme="minorEastAsia" w:hAnsiTheme="minorEastAsia"/>
              </w:rPr>
              <w:t>包装后进行</w:t>
            </w:r>
          </w:p>
        </w:tc>
      </w:tr>
    </w:tbl>
    <w:p w:rsidR="000B7F67" w:rsidRPr="000B7F67" w:rsidRDefault="000B7F67" w:rsidP="000B7F67">
      <w:pPr>
        <w:rPr>
          <w:rFonts w:asciiTheme="minorEastAsia" w:hAnsiTheme="minorEastAsia"/>
          <w:sz w:val="24"/>
          <w:szCs w:val="24"/>
        </w:rPr>
      </w:pPr>
    </w:p>
    <w:p w:rsidR="000B7F67" w:rsidRPr="000B7F67" w:rsidRDefault="000B7F67" w:rsidP="000B7F67">
      <w:pPr>
        <w:rPr>
          <w:rFonts w:asciiTheme="minorEastAsia" w:hAnsiTheme="minorEastAsia"/>
          <w:sz w:val="24"/>
          <w:szCs w:val="24"/>
        </w:rPr>
      </w:pPr>
    </w:p>
    <w:p w:rsidR="00D17051" w:rsidRPr="000B7F67" w:rsidRDefault="00D17051" w:rsidP="000B7F67">
      <w:pPr>
        <w:spacing w:line="276" w:lineRule="auto"/>
        <w:rPr>
          <w:rFonts w:asciiTheme="minorEastAsia" w:hAnsiTheme="minorEastAsia"/>
          <w:sz w:val="24"/>
          <w:szCs w:val="24"/>
        </w:rPr>
      </w:pPr>
    </w:p>
    <w:sectPr w:rsidR="00D17051" w:rsidRPr="000B7F67">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86" w:rsidRDefault="00680386" w:rsidP="00F32C85">
      <w:pPr>
        <w:spacing w:after="0" w:line="240" w:lineRule="auto"/>
      </w:pPr>
      <w:r>
        <w:separator/>
      </w:r>
    </w:p>
  </w:endnote>
  <w:endnote w:type="continuationSeparator" w:id="0">
    <w:p w:rsidR="00680386" w:rsidRDefault="00680386" w:rsidP="00F3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
    <w:altName w:val="Microsoft Ya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30937"/>
      <w:docPartObj>
        <w:docPartGallery w:val="Page Numbers (Bottom of Page)"/>
        <w:docPartUnique/>
      </w:docPartObj>
    </w:sdtPr>
    <w:sdtEndPr/>
    <w:sdtContent>
      <w:p w:rsidR="00F32C85" w:rsidRDefault="00F32C85">
        <w:pPr>
          <w:pStyle w:val="a5"/>
          <w:jc w:val="center"/>
        </w:pPr>
        <w:r>
          <w:fldChar w:fldCharType="begin"/>
        </w:r>
        <w:r>
          <w:instrText>PAGE   \* MERGEFORMAT</w:instrText>
        </w:r>
        <w:r>
          <w:fldChar w:fldCharType="separate"/>
        </w:r>
        <w:r w:rsidR="000B7F67" w:rsidRPr="000B7F67">
          <w:rPr>
            <w:noProof/>
            <w:lang w:val="zh-CN"/>
          </w:rPr>
          <w:t>39</w:t>
        </w:r>
        <w:r>
          <w:fldChar w:fldCharType="end"/>
        </w:r>
      </w:p>
    </w:sdtContent>
  </w:sdt>
  <w:p w:rsidR="00F32C85" w:rsidRDefault="00F32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86" w:rsidRDefault="00680386" w:rsidP="00F32C85">
      <w:pPr>
        <w:spacing w:after="0" w:line="240" w:lineRule="auto"/>
      </w:pPr>
      <w:r>
        <w:separator/>
      </w:r>
    </w:p>
  </w:footnote>
  <w:footnote w:type="continuationSeparator" w:id="0">
    <w:p w:rsidR="00680386" w:rsidRDefault="00680386" w:rsidP="00F32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F728EA"/>
    <w:multiLevelType w:val="singleLevel"/>
    <w:tmpl w:val="A2F728EA"/>
    <w:lvl w:ilvl="0">
      <w:start w:val="1"/>
      <w:numFmt w:val="lowerLetter"/>
      <w:suff w:val="space"/>
      <w:lvlText w:val="%1)"/>
      <w:lvlJc w:val="left"/>
    </w:lvl>
  </w:abstractNum>
  <w:abstractNum w:abstractNumId="1">
    <w:nsid w:val="A5E165AE"/>
    <w:multiLevelType w:val="singleLevel"/>
    <w:tmpl w:val="A5E165AE"/>
    <w:lvl w:ilvl="0">
      <w:start w:val="1"/>
      <w:numFmt w:val="lowerLetter"/>
      <w:suff w:val="space"/>
      <w:lvlText w:val="%1)"/>
      <w:lvlJc w:val="left"/>
    </w:lvl>
  </w:abstractNum>
  <w:abstractNum w:abstractNumId="2">
    <w:nsid w:val="AF15CFDF"/>
    <w:multiLevelType w:val="singleLevel"/>
    <w:tmpl w:val="AF15CFDF"/>
    <w:lvl w:ilvl="0">
      <w:start w:val="1"/>
      <w:numFmt w:val="lowerLetter"/>
      <w:suff w:val="space"/>
      <w:lvlText w:val="%1)"/>
      <w:lvlJc w:val="left"/>
    </w:lvl>
  </w:abstractNum>
  <w:abstractNum w:abstractNumId="3">
    <w:nsid w:val="C371D14D"/>
    <w:multiLevelType w:val="singleLevel"/>
    <w:tmpl w:val="C371D14D"/>
    <w:lvl w:ilvl="0">
      <w:start w:val="1"/>
      <w:numFmt w:val="lowerLetter"/>
      <w:suff w:val="space"/>
      <w:lvlText w:val="%1)"/>
      <w:lvlJc w:val="left"/>
    </w:lvl>
  </w:abstractNum>
  <w:abstractNum w:abstractNumId="4">
    <w:nsid w:val="0B8A5B18"/>
    <w:multiLevelType w:val="singleLevel"/>
    <w:tmpl w:val="0B8A5B18"/>
    <w:lvl w:ilvl="0">
      <w:start w:val="1"/>
      <w:numFmt w:val="lowerLetter"/>
      <w:suff w:val="space"/>
      <w:lvlText w:val="%1)"/>
      <w:lvlJc w:val="left"/>
    </w:lvl>
  </w:abstractNum>
  <w:abstractNum w:abstractNumId="5">
    <w:nsid w:val="148855C6"/>
    <w:multiLevelType w:val="hybridMultilevel"/>
    <w:tmpl w:val="F7201548"/>
    <w:lvl w:ilvl="0" w:tplc="98822C68">
      <w:start w:val="4"/>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5A544E4"/>
    <w:multiLevelType w:val="singleLevel"/>
    <w:tmpl w:val="15A544E4"/>
    <w:lvl w:ilvl="0">
      <w:start w:val="1"/>
      <w:numFmt w:val="lowerLetter"/>
      <w:suff w:val="space"/>
      <w:lvlText w:val="%1)"/>
      <w:lvlJc w:val="left"/>
    </w:lvl>
  </w:abstractNum>
  <w:abstractNum w:abstractNumId="7">
    <w:nsid w:val="212E2C36"/>
    <w:multiLevelType w:val="hybridMultilevel"/>
    <w:tmpl w:val="EA7E8588"/>
    <w:lvl w:ilvl="0" w:tplc="361E6B18">
      <w:start w:val="1"/>
      <w:numFmt w:val="lowerLetter"/>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1B01B1B"/>
    <w:multiLevelType w:val="hybridMultilevel"/>
    <w:tmpl w:val="41442956"/>
    <w:lvl w:ilvl="0" w:tplc="ADEE3024">
      <w:start w:val="1"/>
      <w:numFmt w:val="lowerLetter"/>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45C8603"/>
    <w:multiLevelType w:val="singleLevel"/>
    <w:tmpl w:val="245C8603"/>
    <w:lvl w:ilvl="0">
      <w:start w:val="1"/>
      <w:numFmt w:val="lowerLetter"/>
      <w:suff w:val="space"/>
      <w:lvlText w:val="%1)"/>
      <w:lvlJc w:val="left"/>
    </w:lvl>
  </w:abstractNum>
  <w:abstractNum w:abstractNumId="10">
    <w:nsid w:val="459DD236"/>
    <w:multiLevelType w:val="singleLevel"/>
    <w:tmpl w:val="459DD236"/>
    <w:lvl w:ilvl="0">
      <w:start w:val="1"/>
      <w:numFmt w:val="lowerLetter"/>
      <w:suff w:val="space"/>
      <w:lvlText w:val="%1）"/>
      <w:lvlJc w:val="left"/>
    </w:lvl>
  </w:abstractNum>
  <w:abstractNum w:abstractNumId="11">
    <w:nsid w:val="73CFF53A"/>
    <w:multiLevelType w:val="singleLevel"/>
    <w:tmpl w:val="73CFF53A"/>
    <w:lvl w:ilvl="0">
      <w:start w:val="1"/>
      <w:numFmt w:val="lowerLetter"/>
      <w:suff w:val="space"/>
      <w:lvlText w:val="%1)"/>
      <w:lvlJc w:val="left"/>
    </w:lvl>
  </w:abstractNum>
  <w:num w:numId="1">
    <w:abstractNumId w:val="6"/>
  </w:num>
  <w:num w:numId="2">
    <w:abstractNumId w:val="5"/>
  </w:num>
  <w:num w:numId="3">
    <w:abstractNumId w:val="7"/>
  </w:num>
  <w:num w:numId="4">
    <w:abstractNumId w:val="8"/>
  </w:num>
  <w:num w:numId="5">
    <w:abstractNumId w:val="3"/>
  </w:num>
  <w:num w:numId="6">
    <w:abstractNumId w:val="10"/>
  </w:num>
  <w:num w:numId="7">
    <w:abstractNumId w:val="11"/>
  </w:num>
  <w:num w:numId="8">
    <w:abstractNumId w:val="4"/>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6"/>
    <w:rsid w:val="00057ADF"/>
    <w:rsid w:val="000B7F67"/>
    <w:rsid w:val="003657B1"/>
    <w:rsid w:val="0056404C"/>
    <w:rsid w:val="00570FEB"/>
    <w:rsid w:val="005F7290"/>
    <w:rsid w:val="00627B79"/>
    <w:rsid w:val="00680386"/>
    <w:rsid w:val="00694F0B"/>
    <w:rsid w:val="00712FDE"/>
    <w:rsid w:val="00767C48"/>
    <w:rsid w:val="008928DA"/>
    <w:rsid w:val="00975A63"/>
    <w:rsid w:val="00AC1007"/>
    <w:rsid w:val="00AE6E56"/>
    <w:rsid w:val="00B24668"/>
    <w:rsid w:val="00D17051"/>
    <w:rsid w:val="00EA42E1"/>
    <w:rsid w:val="00F24671"/>
    <w:rsid w:val="00F3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56878-C82B-4455-B187-1AFFC803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8DA"/>
    <w:pPr>
      <w:ind w:firstLineChars="200" w:firstLine="420"/>
    </w:pPr>
  </w:style>
  <w:style w:type="paragraph" w:styleId="a4">
    <w:name w:val="header"/>
    <w:basedOn w:val="a"/>
    <w:link w:val="Char"/>
    <w:uiPriority w:val="99"/>
    <w:unhideWhenUsed/>
    <w:rsid w:val="00F32C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F32C85"/>
    <w:rPr>
      <w:sz w:val="18"/>
      <w:szCs w:val="18"/>
    </w:rPr>
  </w:style>
  <w:style w:type="paragraph" w:styleId="a5">
    <w:name w:val="footer"/>
    <w:basedOn w:val="a"/>
    <w:link w:val="Char0"/>
    <w:uiPriority w:val="99"/>
    <w:unhideWhenUsed/>
    <w:rsid w:val="00F32C85"/>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F32C85"/>
    <w:rPr>
      <w:sz w:val="18"/>
      <w:szCs w:val="18"/>
    </w:rPr>
  </w:style>
  <w:style w:type="paragraph" w:styleId="a6">
    <w:name w:val="Body Text"/>
    <w:basedOn w:val="a"/>
    <w:link w:val="Char1"/>
    <w:uiPriority w:val="1"/>
    <w:unhideWhenUsed/>
    <w:qFormat/>
    <w:rsid w:val="000B7F67"/>
    <w:pPr>
      <w:widowControl w:val="0"/>
      <w:autoSpaceDE w:val="0"/>
      <w:autoSpaceDN w:val="0"/>
      <w:adjustRightInd w:val="0"/>
      <w:spacing w:before="26" w:after="0" w:line="240" w:lineRule="auto"/>
      <w:ind w:left="393"/>
    </w:pPr>
    <w:rPr>
      <w:rFonts w:ascii="宋体" w:eastAsia="宋体" w:hAnsi="宋体" w:cs="Times New Roman" w:hint="eastAsia"/>
      <w:sz w:val="13"/>
      <w:szCs w:val="20"/>
    </w:rPr>
  </w:style>
  <w:style w:type="character" w:customStyle="1" w:styleId="Char1">
    <w:name w:val="正文文本 Char"/>
    <w:basedOn w:val="a0"/>
    <w:link w:val="a6"/>
    <w:uiPriority w:val="1"/>
    <w:qFormat/>
    <w:rsid w:val="000B7F67"/>
    <w:rPr>
      <w:rFonts w:ascii="宋体" w:eastAsia="宋体" w:hAnsi="宋体" w:cs="Times New Roman"/>
      <w:sz w:val="13"/>
      <w:szCs w:val="20"/>
    </w:rPr>
  </w:style>
  <w:style w:type="table" w:styleId="a7">
    <w:name w:val="Table Grid"/>
    <w:basedOn w:val="a1"/>
    <w:uiPriority w:val="59"/>
    <w:qFormat/>
    <w:rsid w:val="000B7F67"/>
    <w:pPr>
      <w:widowControl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41</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Huang</dc:creator>
  <cp:lastModifiedBy>Microsoft 帐户</cp:lastModifiedBy>
  <cp:revision>13</cp:revision>
  <cp:lastPrinted>2019-06-17T03:22:00Z</cp:lastPrinted>
  <dcterms:created xsi:type="dcterms:W3CDTF">2019-06-16T14:33:00Z</dcterms:created>
  <dcterms:modified xsi:type="dcterms:W3CDTF">2019-08-05T01:51:00Z</dcterms:modified>
</cp:coreProperties>
</file>