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2C" w:rsidRPr="00DB07EA" w:rsidRDefault="00662DEE">
      <w:pPr>
        <w:jc w:val="center"/>
        <w:rPr>
          <w:b/>
          <w:sz w:val="32"/>
          <w:szCs w:val="32"/>
        </w:rPr>
      </w:pPr>
      <w:r w:rsidRPr="00DB07EA">
        <w:rPr>
          <w:rFonts w:hint="eastAsia"/>
          <w:b/>
          <w:sz w:val="32"/>
          <w:szCs w:val="32"/>
        </w:rPr>
        <w:t>行业标准《</w:t>
      </w:r>
      <w:r w:rsidR="006F415B" w:rsidRPr="006F415B">
        <w:rPr>
          <w:rFonts w:hint="eastAsia"/>
          <w:b/>
          <w:bCs/>
          <w:color w:val="000000"/>
          <w:kern w:val="0"/>
          <w:sz w:val="32"/>
          <w:szCs w:val="32"/>
        </w:rPr>
        <w:t>医用电气设备</w:t>
      </w:r>
      <w:r w:rsidR="006F415B" w:rsidRPr="006F415B">
        <w:rPr>
          <w:rFonts w:hint="eastAsia"/>
          <w:b/>
          <w:bCs/>
          <w:color w:val="000000"/>
          <w:kern w:val="0"/>
          <w:sz w:val="32"/>
          <w:szCs w:val="32"/>
        </w:rPr>
        <w:t xml:space="preserve"> </w:t>
      </w:r>
      <w:r w:rsidR="006F415B" w:rsidRPr="006F415B">
        <w:rPr>
          <w:rFonts w:hint="eastAsia"/>
          <w:b/>
          <w:bCs/>
          <w:color w:val="000000"/>
          <w:kern w:val="0"/>
          <w:sz w:val="32"/>
          <w:szCs w:val="32"/>
        </w:rPr>
        <w:t>第</w:t>
      </w:r>
      <w:r w:rsidR="006F415B" w:rsidRPr="006F415B">
        <w:rPr>
          <w:rFonts w:hint="eastAsia"/>
          <w:b/>
          <w:bCs/>
          <w:color w:val="000000"/>
          <w:kern w:val="0"/>
          <w:sz w:val="32"/>
          <w:szCs w:val="32"/>
        </w:rPr>
        <w:t>2-50</w:t>
      </w:r>
      <w:r w:rsidR="006F415B" w:rsidRPr="006F415B">
        <w:rPr>
          <w:rFonts w:hint="eastAsia"/>
          <w:b/>
          <w:bCs/>
          <w:color w:val="000000"/>
          <w:kern w:val="0"/>
          <w:sz w:val="32"/>
          <w:szCs w:val="32"/>
        </w:rPr>
        <w:t>部分：婴儿光治疗设备基本安全和基本性能的专用要求</w:t>
      </w:r>
      <w:r w:rsidRPr="00DB07EA">
        <w:rPr>
          <w:rFonts w:hint="eastAsia"/>
          <w:b/>
          <w:sz w:val="32"/>
          <w:szCs w:val="32"/>
        </w:rPr>
        <w:t>》</w:t>
      </w:r>
      <w:r w:rsidR="00840C2C" w:rsidRPr="00DB07EA">
        <w:rPr>
          <w:rFonts w:hint="eastAsia"/>
          <w:b/>
          <w:sz w:val="32"/>
          <w:szCs w:val="32"/>
        </w:rPr>
        <w:t>编制说明</w:t>
      </w:r>
    </w:p>
    <w:p w:rsidR="006F415B" w:rsidRDefault="006F415B" w:rsidP="001F3E90">
      <w:pPr>
        <w:spacing w:line="300" w:lineRule="auto"/>
        <w:ind w:firstLineChars="150" w:firstLine="361"/>
        <w:rPr>
          <w:b/>
          <w:sz w:val="24"/>
        </w:rPr>
      </w:pPr>
    </w:p>
    <w:p w:rsidR="004A297F" w:rsidRPr="0004397A" w:rsidRDefault="00DD2702" w:rsidP="001F3E90">
      <w:pPr>
        <w:spacing w:line="300" w:lineRule="auto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（一）</w:t>
      </w:r>
      <w:r w:rsidR="004A297F" w:rsidRPr="0004397A">
        <w:rPr>
          <w:b/>
          <w:sz w:val="24"/>
        </w:rPr>
        <w:t>工作简况</w:t>
      </w:r>
    </w:p>
    <w:p w:rsidR="004A297F" w:rsidRDefault="006F415B" w:rsidP="001F3E90">
      <w:pPr>
        <w:spacing w:line="300" w:lineRule="auto"/>
        <w:ind w:firstLineChars="200" w:firstLine="420"/>
        <w:outlineLvl w:val="0"/>
        <w:rPr>
          <w:rFonts w:ascii="宋体" w:hAnsi="宋体"/>
          <w:szCs w:val="21"/>
        </w:rPr>
      </w:pPr>
      <w:r w:rsidRPr="009D1A60">
        <w:rPr>
          <w:rFonts w:ascii="宋体" w:hAnsi="宋体" w:hint="eastAsia"/>
          <w:szCs w:val="21"/>
        </w:rPr>
        <w:t>标准</w:t>
      </w:r>
      <w:r w:rsidR="00EF7B37" w:rsidRPr="009D1A60">
        <w:rPr>
          <w:rFonts w:ascii="宋体" w:hAnsi="宋体" w:hint="eastAsia"/>
          <w:szCs w:val="21"/>
        </w:rPr>
        <w:t>《</w:t>
      </w:r>
      <w:r w:rsidRPr="006F415B">
        <w:rPr>
          <w:rFonts w:ascii="宋体" w:hAnsi="宋体" w:hint="eastAsia"/>
          <w:szCs w:val="21"/>
        </w:rPr>
        <w:t>医用电气设备 第2-50部分：婴儿光治疗设备基本安全和基本性能的专用要求</w:t>
      </w:r>
      <w:r w:rsidR="00EF7B37" w:rsidRPr="009D1A60">
        <w:rPr>
          <w:rFonts w:ascii="宋体" w:hAnsi="宋体" w:hint="eastAsia"/>
          <w:szCs w:val="21"/>
        </w:rPr>
        <w:t>》（以下简称：本标准）</w:t>
      </w:r>
      <w:r w:rsidR="00EB5AC3" w:rsidRPr="00EB5AC3">
        <w:rPr>
          <w:rFonts w:ascii="宋体" w:hAnsi="宋体" w:hint="eastAsia"/>
          <w:szCs w:val="21"/>
        </w:rPr>
        <w:t>是国家药品监督管理局《关于印发2019年医疗器械行业标准制修订项目计划的通知》（药监综械注[2019]23号）批准的一个项目，项目编号为</w:t>
      </w:r>
      <w:r w:rsidR="00EB5AC3">
        <w:rPr>
          <w:rFonts w:ascii="宋体" w:hAnsi="宋体" w:hint="eastAsia"/>
          <w:szCs w:val="21"/>
        </w:rPr>
        <w:t>A2019053-HZ</w:t>
      </w:r>
      <w:r w:rsidR="00EF7B37">
        <w:rPr>
          <w:rFonts w:ascii="宋体" w:hAnsi="宋体" w:hint="eastAsia"/>
          <w:szCs w:val="21"/>
        </w:rPr>
        <w:t>，</w:t>
      </w:r>
      <w:r w:rsidR="00EF7B37" w:rsidRPr="009D1A60">
        <w:rPr>
          <w:rFonts w:ascii="宋体" w:hAnsi="宋体" w:hint="eastAsia"/>
          <w:szCs w:val="21"/>
        </w:rPr>
        <w:t>起草单位是</w:t>
      </w:r>
      <w:r w:rsidR="0089173B">
        <w:rPr>
          <w:rFonts w:ascii="宋体" w:hAnsi="宋体" w:hint="eastAsia"/>
          <w:szCs w:val="21"/>
        </w:rPr>
        <w:t>浙江省医疗器械检验</w:t>
      </w:r>
      <w:r>
        <w:rPr>
          <w:rFonts w:ascii="宋体" w:hAnsi="宋体" w:hint="eastAsia"/>
          <w:szCs w:val="21"/>
        </w:rPr>
        <w:t>研究</w:t>
      </w:r>
      <w:r w:rsidR="0089173B">
        <w:rPr>
          <w:rFonts w:ascii="宋体" w:hAnsi="宋体" w:hint="eastAsia"/>
          <w:szCs w:val="21"/>
        </w:rPr>
        <w:t>院</w:t>
      </w:r>
      <w:r>
        <w:rPr>
          <w:rFonts w:ascii="宋体" w:hAnsi="宋体" w:hint="eastAsia"/>
          <w:szCs w:val="21"/>
        </w:rPr>
        <w:t>和宁波戴维医疗器械股份有限公司</w:t>
      </w:r>
      <w:r w:rsidR="00EF7B37" w:rsidRPr="009D1A60">
        <w:rPr>
          <w:rFonts w:ascii="宋体" w:hAnsi="宋体" w:hint="eastAsia"/>
          <w:szCs w:val="21"/>
        </w:rPr>
        <w:t>。</w:t>
      </w:r>
    </w:p>
    <w:p w:rsidR="00657CFC" w:rsidRPr="00DD2702" w:rsidRDefault="00657CFC" w:rsidP="001F3E90">
      <w:pPr>
        <w:spacing w:line="300" w:lineRule="auto"/>
        <w:ind w:firstLineChars="200" w:firstLine="420"/>
        <w:outlineLvl w:val="0"/>
        <w:rPr>
          <w:szCs w:val="21"/>
        </w:rPr>
      </w:pPr>
    </w:p>
    <w:p w:rsidR="004A297F" w:rsidRPr="002E6B8C" w:rsidRDefault="004A297F" w:rsidP="001F3E90">
      <w:pPr>
        <w:spacing w:line="300" w:lineRule="auto"/>
        <w:ind w:firstLineChars="196" w:firstLine="472"/>
      </w:pPr>
      <w:r w:rsidRPr="002E6B8C">
        <w:rPr>
          <w:b/>
          <w:sz w:val="24"/>
        </w:rPr>
        <w:t>(</w:t>
      </w:r>
      <w:r w:rsidRPr="002E6B8C">
        <w:rPr>
          <w:b/>
          <w:sz w:val="24"/>
        </w:rPr>
        <w:t>二</w:t>
      </w:r>
      <w:r w:rsidRPr="002E6B8C">
        <w:rPr>
          <w:b/>
          <w:sz w:val="24"/>
        </w:rPr>
        <w:t>)</w:t>
      </w:r>
      <w:r w:rsidRPr="002E6B8C">
        <w:rPr>
          <w:b/>
          <w:sz w:val="24"/>
        </w:rPr>
        <w:t>标准编制原则和确定标准主要内容</w:t>
      </w:r>
    </w:p>
    <w:p w:rsidR="00DD2702" w:rsidRPr="002E6B8C" w:rsidRDefault="004A297F" w:rsidP="001F3E90">
      <w:pPr>
        <w:spacing w:line="300" w:lineRule="auto"/>
      </w:pPr>
      <w:r w:rsidRPr="002E6B8C">
        <w:t> </w:t>
      </w:r>
      <w:r w:rsidR="006F415B" w:rsidRPr="002E6B8C">
        <w:rPr>
          <w:rFonts w:hint="eastAsia"/>
        </w:rPr>
        <w:t xml:space="preserve">   </w:t>
      </w:r>
      <w:r w:rsidR="00103C88" w:rsidRPr="002E6B8C">
        <w:rPr>
          <w:rFonts w:hint="eastAsia"/>
        </w:rPr>
        <w:t>本标准修改采用</w:t>
      </w:r>
      <w:r w:rsidR="00103C88" w:rsidRPr="002E6B8C">
        <w:rPr>
          <w:rFonts w:hint="eastAsia"/>
        </w:rPr>
        <w:t>IEC60601-2-50:2009+A1:2016</w:t>
      </w:r>
      <w:r w:rsidR="00103C88" w:rsidRPr="002E6B8C">
        <w:rPr>
          <w:rFonts w:hint="eastAsia"/>
        </w:rPr>
        <w:t>《医用电气设备</w:t>
      </w:r>
      <w:r w:rsidR="00103C88" w:rsidRPr="002E6B8C">
        <w:rPr>
          <w:rFonts w:hint="eastAsia"/>
        </w:rPr>
        <w:t xml:space="preserve"> </w:t>
      </w:r>
      <w:r w:rsidR="00103C88" w:rsidRPr="002E6B8C">
        <w:rPr>
          <w:rFonts w:hint="eastAsia"/>
        </w:rPr>
        <w:t>第</w:t>
      </w:r>
      <w:r w:rsidR="00103C88" w:rsidRPr="002E6B8C">
        <w:rPr>
          <w:rFonts w:hint="eastAsia"/>
        </w:rPr>
        <w:t>2-50</w:t>
      </w:r>
      <w:r w:rsidR="00103C88" w:rsidRPr="002E6B8C">
        <w:rPr>
          <w:rFonts w:hint="eastAsia"/>
        </w:rPr>
        <w:t>部分：婴儿光治疗设备基本安全和基本性能的专用要求》（英文版）。</w:t>
      </w:r>
    </w:p>
    <w:p w:rsidR="004A297F" w:rsidRPr="002E6B8C" w:rsidRDefault="0089661D" w:rsidP="00954F5A">
      <w:pPr>
        <w:spacing w:line="300" w:lineRule="auto"/>
        <w:ind w:firstLineChars="200" w:firstLine="420"/>
      </w:pPr>
      <w:r w:rsidRPr="002E6B8C">
        <w:rPr>
          <w:rFonts w:ascii="宋体" w:hAnsi="宋体" w:hint="eastAsia"/>
          <w:szCs w:val="21"/>
        </w:rPr>
        <w:t>本标准的主要内容为</w:t>
      </w:r>
      <w:r w:rsidR="00885E01" w:rsidRPr="002E6B8C">
        <w:rPr>
          <w:rFonts w:ascii="宋体" w:hAnsi="宋体" w:hint="eastAsia"/>
          <w:szCs w:val="21"/>
        </w:rPr>
        <w:t>通用</w:t>
      </w:r>
      <w:r w:rsidR="00103C88" w:rsidRPr="002E6B8C">
        <w:rPr>
          <w:rFonts w:ascii="宋体" w:hAnsi="宋体" w:hint="eastAsia"/>
          <w:szCs w:val="21"/>
        </w:rPr>
        <w:t>要求</w:t>
      </w:r>
      <w:r w:rsidR="00885E01" w:rsidRPr="002E6B8C">
        <w:rPr>
          <w:rFonts w:ascii="宋体" w:hAnsi="宋体" w:hint="eastAsia"/>
          <w:szCs w:val="21"/>
        </w:rPr>
        <w:t>、</w:t>
      </w:r>
      <w:r w:rsidR="00103C88" w:rsidRPr="002E6B8C">
        <w:rPr>
          <w:rFonts w:ascii="宋体" w:hAnsi="宋体" w:hint="eastAsia"/>
          <w:szCs w:val="21"/>
        </w:rPr>
        <w:t>对有害进液或颗粒物质的防护</w:t>
      </w:r>
      <w:r w:rsidR="001F3E90" w:rsidRPr="002E6B8C">
        <w:rPr>
          <w:rFonts w:ascii="宋体" w:hAnsi="宋体" w:hint="eastAsia"/>
          <w:szCs w:val="21"/>
        </w:rPr>
        <w:t>、</w:t>
      </w:r>
      <w:r w:rsidR="00103C88" w:rsidRPr="002E6B8C">
        <w:rPr>
          <w:rFonts w:ascii="宋体" w:hAnsi="宋体" w:hint="eastAsia"/>
          <w:szCs w:val="21"/>
        </w:rPr>
        <w:t>机械危险的防护、患者或操作者支承系统或悬挂系统的强度、红外辐射、紫外辐射、不向患者提供热量的应用部分、</w:t>
      </w:r>
      <w:r w:rsidR="00954F5A" w:rsidRPr="002E6B8C">
        <w:rPr>
          <w:rFonts w:ascii="宋体" w:hAnsi="宋体" w:hint="eastAsia"/>
          <w:szCs w:val="21"/>
        </w:rPr>
        <w:t>供电电源/供电网中断、</w:t>
      </w:r>
      <w:r w:rsidR="00954F5A" w:rsidRPr="002E6B8C">
        <w:rPr>
          <w:rFonts w:hint="eastAsia"/>
          <w:bCs/>
          <w:szCs w:val="21"/>
        </w:rPr>
        <w:t>预老化后的胆红素总辐照度</w:t>
      </w:r>
      <w:r w:rsidR="00954F5A" w:rsidRPr="002E6B8C">
        <w:rPr>
          <w:bCs/>
          <w:i/>
          <w:szCs w:val="21"/>
        </w:rPr>
        <w:t>E</w:t>
      </w:r>
      <w:r w:rsidR="00954F5A" w:rsidRPr="002E6B8C">
        <w:rPr>
          <w:bCs/>
          <w:szCs w:val="21"/>
          <w:vertAlign w:val="subscript"/>
        </w:rPr>
        <w:t>bi</w:t>
      </w:r>
      <w:r w:rsidR="00954F5A" w:rsidRPr="002E6B8C">
        <w:rPr>
          <w:rFonts w:ascii="宋体" w:hAnsi="宋体" w:hint="eastAsia"/>
          <w:szCs w:val="21"/>
        </w:rPr>
        <w:t>、</w:t>
      </w:r>
      <w:r w:rsidR="00954F5A" w:rsidRPr="002E6B8C">
        <w:rPr>
          <w:rFonts w:hint="eastAsia"/>
          <w:bCs/>
          <w:szCs w:val="21"/>
        </w:rPr>
        <w:t>局部分布</w:t>
      </w:r>
      <w:r w:rsidR="001F3E90" w:rsidRPr="002E6B8C">
        <w:rPr>
          <w:rFonts w:ascii="宋体" w:hAnsi="宋体" w:hint="eastAsia"/>
          <w:szCs w:val="21"/>
        </w:rPr>
        <w:t>、</w:t>
      </w:r>
      <w:r w:rsidR="00954F5A" w:rsidRPr="002E6B8C">
        <w:rPr>
          <w:rFonts w:hint="eastAsia"/>
          <w:bCs/>
          <w:szCs w:val="21"/>
        </w:rPr>
        <w:t>称重</w:t>
      </w:r>
      <w:r w:rsidR="00954F5A" w:rsidRPr="002E6B8C">
        <w:rPr>
          <w:rFonts w:hint="eastAsia"/>
          <w:szCs w:val="21"/>
        </w:rPr>
        <w:t>秤</w:t>
      </w:r>
      <w:r w:rsidR="001F3E90" w:rsidRPr="002E6B8C">
        <w:rPr>
          <w:rFonts w:ascii="宋体" w:hAnsi="宋体" w:hint="eastAsia"/>
          <w:szCs w:val="21"/>
        </w:rPr>
        <w:t>、</w:t>
      </w:r>
      <w:r w:rsidR="00954F5A" w:rsidRPr="002E6B8C">
        <w:rPr>
          <w:rFonts w:hint="eastAsia"/>
          <w:bCs/>
          <w:szCs w:val="21"/>
        </w:rPr>
        <w:t>供电源波动和寿命检查</w:t>
      </w:r>
      <w:r w:rsidR="001F3E90" w:rsidRPr="002E6B8C">
        <w:rPr>
          <w:rFonts w:ascii="宋体" w:hAnsi="宋体" w:hint="eastAsia"/>
          <w:szCs w:val="21"/>
        </w:rPr>
        <w:t>。</w:t>
      </w:r>
    </w:p>
    <w:p w:rsidR="00657CFC" w:rsidRPr="002E6B8C" w:rsidRDefault="00657CFC" w:rsidP="001F3E90">
      <w:pPr>
        <w:spacing w:line="300" w:lineRule="auto"/>
        <w:ind w:firstLineChars="200" w:firstLine="420"/>
        <w:rPr>
          <w:szCs w:val="21"/>
        </w:rPr>
      </w:pPr>
    </w:p>
    <w:p w:rsidR="004A297F" w:rsidRPr="002E6B8C" w:rsidRDefault="004A297F" w:rsidP="004A297F">
      <w:pPr>
        <w:spacing w:line="360" w:lineRule="auto"/>
        <w:ind w:firstLineChars="200" w:firstLine="482"/>
      </w:pPr>
      <w:r w:rsidRPr="002E6B8C">
        <w:rPr>
          <w:b/>
          <w:sz w:val="24"/>
        </w:rPr>
        <w:t>(</w:t>
      </w:r>
      <w:r w:rsidRPr="002E6B8C">
        <w:rPr>
          <w:b/>
          <w:sz w:val="24"/>
        </w:rPr>
        <w:t>三</w:t>
      </w:r>
      <w:r w:rsidRPr="002E6B8C">
        <w:rPr>
          <w:b/>
          <w:sz w:val="24"/>
        </w:rPr>
        <w:t>)</w:t>
      </w:r>
      <w:r w:rsidRPr="002E6B8C">
        <w:rPr>
          <w:b/>
          <w:sz w:val="24"/>
        </w:rPr>
        <w:t>主要试验</w:t>
      </w:r>
      <w:r w:rsidRPr="002E6B8C">
        <w:rPr>
          <w:b/>
          <w:sz w:val="24"/>
        </w:rPr>
        <w:t>(</w:t>
      </w:r>
      <w:r w:rsidRPr="002E6B8C">
        <w:rPr>
          <w:b/>
          <w:sz w:val="24"/>
        </w:rPr>
        <w:t>或验证</w:t>
      </w:r>
      <w:r w:rsidRPr="002E6B8C">
        <w:rPr>
          <w:b/>
          <w:sz w:val="24"/>
        </w:rPr>
        <w:t>)</w:t>
      </w:r>
      <w:r w:rsidR="00F33460" w:rsidRPr="002E6B8C">
        <w:rPr>
          <w:rFonts w:hint="eastAsia"/>
          <w:b/>
          <w:sz w:val="24"/>
        </w:rPr>
        <w:t xml:space="preserve">   </w:t>
      </w:r>
    </w:p>
    <w:p w:rsidR="004A297F" w:rsidRPr="002E6B8C" w:rsidRDefault="004A297F" w:rsidP="0004369C">
      <w:pPr>
        <w:widowControl/>
        <w:spacing w:line="360" w:lineRule="auto"/>
        <w:ind w:firstLineChars="250" w:firstLine="525"/>
        <w:jc w:val="left"/>
        <w:outlineLvl w:val="3"/>
        <w:rPr>
          <w:szCs w:val="21"/>
        </w:rPr>
      </w:pPr>
      <w:r w:rsidRPr="002E6B8C">
        <w:rPr>
          <w:rFonts w:hint="eastAsia"/>
          <w:szCs w:val="21"/>
        </w:rPr>
        <w:t>在编制《</w:t>
      </w:r>
      <w:r w:rsidR="00954F5A" w:rsidRPr="002E6B8C">
        <w:rPr>
          <w:rFonts w:hint="eastAsia"/>
        </w:rPr>
        <w:t>医用电气设备</w:t>
      </w:r>
      <w:r w:rsidR="00954F5A" w:rsidRPr="002E6B8C">
        <w:rPr>
          <w:rFonts w:hint="eastAsia"/>
        </w:rPr>
        <w:t xml:space="preserve"> </w:t>
      </w:r>
      <w:r w:rsidR="00954F5A" w:rsidRPr="002E6B8C">
        <w:rPr>
          <w:rFonts w:hint="eastAsia"/>
        </w:rPr>
        <w:t>第</w:t>
      </w:r>
      <w:r w:rsidR="00954F5A" w:rsidRPr="002E6B8C">
        <w:rPr>
          <w:rFonts w:hint="eastAsia"/>
        </w:rPr>
        <w:t>2-50</w:t>
      </w:r>
      <w:r w:rsidR="00954F5A" w:rsidRPr="002E6B8C">
        <w:rPr>
          <w:rFonts w:hint="eastAsia"/>
        </w:rPr>
        <w:t>部分：婴儿光治疗设备基本安全和基本性能的专用要求</w:t>
      </w:r>
      <w:r w:rsidRPr="002E6B8C">
        <w:rPr>
          <w:rFonts w:hint="eastAsia"/>
          <w:szCs w:val="21"/>
        </w:rPr>
        <w:t>》行业标准期间，</w:t>
      </w:r>
      <w:r w:rsidR="00106E92" w:rsidRPr="002E6B8C">
        <w:rPr>
          <w:rFonts w:ascii="宋体" w:hAnsi="宋体" w:hint="eastAsia"/>
          <w:szCs w:val="21"/>
        </w:rPr>
        <w:t>按照本标准的主要内容进行了验证检测</w:t>
      </w:r>
      <w:r w:rsidR="00954F5A" w:rsidRPr="002E6B8C">
        <w:rPr>
          <w:rFonts w:hint="eastAsia"/>
          <w:szCs w:val="21"/>
        </w:rPr>
        <w:t>，主要验证项目为</w:t>
      </w:r>
      <w:r w:rsidR="00954F5A" w:rsidRPr="002E6B8C">
        <w:rPr>
          <w:rFonts w:ascii="宋体" w:hAnsi="宋体" w:hint="eastAsia"/>
          <w:szCs w:val="21"/>
        </w:rPr>
        <w:t>通用要求、对有害进液或颗粒物质的防护、机械危险的防护、患者或操作者支承系统或悬挂系统的强度、红外辐射、紫外辐射、不向患者提供热量的应用部分、供电电源/供电网中断、</w:t>
      </w:r>
      <w:r w:rsidR="00954F5A" w:rsidRPr="002E6B8C">
        <w:rPr>
          <w:rFonts w:hint="eastAsia"/>
          <w:bCs/>
          <w:szCs w:val="21"/>
        </w:rPr>
        <w:t>预老化后的胆红素总辐照度</w:t>
      </w:r>
      <w:r w:rsidR="00954F5A" w:rsidRPr="002E6B8C">
        <w:rPr>
          <w:bCs/>
          <w:i/>
          <w:szCs w:val="21"/>
        </w:rPr>
        <w:t>E</w:t>
      </w:r>
      <w:r w:rsidR="00954F5A" w:rsidRPr="002E6B8C">
        <w:rPr>
          <w:bCs/>
          <w:szCs w:val="21"/>
          <w:vertAlign w:val="subscript"/>
        </w:rPr>
        <w:t>bi</w:t>
      </w:r>
      <w:r w:rsidR="00954F5A" w:rsidRPr="002E6B8C">
        <w:rPr>
          <w:rFonts w:ascii="宋体" w:hAnsi="宋体" w:hint="eastAsia"/>
          <w:szCs w:val="21"/>
        </w:rPr>
        <w:t>、</w:t>
      </w:r>
      <w:r w:rsidR="00954F5A" w:rsidRPr="002E6B8C">
        <w:rPr>
          <w:rFonts w:hint="eastAsia"/>
          <w:bCs/>
          <w:szCs w:val="21"/>
        </w:rPr>
        <w:t>局部分布</w:t>
      </w:r>
      <w:r w:rsidR="00954F5A" w:rsidRPr="002E6B8C">
        <w:rPr>
          <w:rFonts w:ascii="宋体" w:hAnsi="宋体" w:hint="eastAsia"/>
          <w:szCs w:val="21"/>
        </w:rPr>
        <w:t>、</w:t>
      </w:r>
      <w:r w:rsidR="00954F5A" w:rsidRPr="002E6B8C">
        <w:rPr>
          <w:rFonts w:hint="eastAsia"/>
          <w:bCs/>
          <w:szCs w:val="21"/>
        </w:rPr>
        <w:t>称重</w:t>
      </w:r>
      <w:r w:rsidR="00954F5A" w:rsidRPr="002E6B8C">
        <w:rPr>
          <w:rFonts w:hint="eastAsia"/>
          <w:szCs w:val="21"/>
        </w:rPr>
        <w:t>秤</w:t>
      </w:r>
      <w:r w:rsidR="00954F5A" w:rsidRPr="002E6B8C">
        <w:rPr>
          <w:rFonts w:ascii="宋体" w:hAnsi="宋体" w:hint="eastAsia"/>
          <w:szCs w:val="21"/>
        </w:rPr>
        <w:t>、</w:t>
      </w:r>
      <w:r w:rsidR="00954F5A" w:rsidRPr="002E6B8C">
        <w:rPr>
          <w:rFonts w:hint="eastAsia"/>
          <w:bCs/>
          <w:szCs w:val="21"/>
        </w:rPr>
        <w:t>供电源波动和寿命检查</w:t>
      </w:r>
      <w:r w:rsidR="00954F5A" w:rsidRPr="002E6B8C">
        <w:rPr>
          <w:rFonts w:ascii="宋体" w:hAnsi="宋体" w:hint="eastAsia"/>
          <w:szCs w:val="21"/>
        </w:rPr>
        <w:t>。</w:t>
      </w:r>
    </w:p>
    <w:p w:rsidR="00657CFC" w:rsidRPr="002E6B8C" w:rsidRDefault="00657CFC" w:rsidP="0004369C">
      <w:pPr>
        <w:widowControl/>
        <w:spacing w:line="360" w:lineRule="auto"/>
        <w:ind w:firstLineChars="250" w:firstLine="525"/>
        <w:jc w:val="left"/>
        <w:outlineLvl w:val="3"/>
        <w:rPr>
          <w:szCs w:val="21"/>
        </w:rPr>
      </w:pPr>
    </w:p>
    <w:p w:rsidR="004A297F" w:rsidRPr="002E6B8C" w:rsidRDefault="004A297F" w:rsidP="004A297F">
      <w:pPr>
        <w:spacing w:line="360" w:lineRule="auto"/>
        <w:ind w:firstLineChars="200" w:firstLine="482"/>
        <w:rPr>
          <w:b/>
          <w:sz w:val="24"/>
        </w:rPr>
      </w:pPr>
      <w:r w:rsidRPr="002E6B8C">
        <w:rPr>
          <w:rFonts w:hint="eastAsia"/>
          <w:b/>
          <w:sz w:val="24"/>
        </w:rPr>
        <w:t>(</w:t>
      </w:r>
      <w:r w:rsidRPr="002E6B8C">
        <w:rPr>
          <w:rFonts w:hint="eastAsia"/>
          <w:b/>
          <w:sz w:val="24"/>
        </w:rPr>
        <w:t>四</w:t>
      </w:r>
      <w:r w:rsidRPr="002E6B8C">
        <w:rPr>
          <w:rFonts w:hint="eastAsia"/>
          <w:b/>
          <w:sz w:val="24"/>
        </w:rPr>
        <w:t>)</w:t>
      </w:r>
      <w:r w:rsidRPr="002E6B8C">
        <w:rPr>
          <w:rFonts w:hint="eastAsia"/>
          <w:b/>
          <w:sz w:val="24"/>
        </w:rPr>
        <w:t>采用</w:t>
      </w:r>
      <w:r w:rsidRPr="002E6B8C">
        <w:rPr>
          <w:b/>
          <w:sz w:val="24"/>
        </w:rPr>
        <w:t>国际标准和国外先进标准的程度，以及与国际、国外同类标准水平的对比情况，或与测试的国外样品、样机的有关数据对比情况；</w:t>
      </w:r>
    </w:p>
    <w:p w:rsidR="00954F5A" w:rsidRPr="002E6B8C" w:rsidRDefault="0004369C" w:rsidP="00954F5A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</w:rPr>
      </w:pPr>
      <w:r w:rsidRPr="002E6B8C">
        <w:rPr>
          <w:rFonts w:hint="eastAsia"/>
        </w:rPr>
        <w:t>本标准</w:t>
      </w:r>
      <w:r w:rsidR="00885E01" w:rsidRPr="002E6B8C">
        <w:rPr>
          <w:rFonts w:hint="eastAsia"/>
        </w:rPr>
        <w:t>修改</w:t>
      </w:r>
      <w:r w:rsidRPr="002E6B8C">
        <w:rPr>
          <w:rFonts w:hint="eastAsia"/>
        </w:rPr>
        <w:t>采用</w:t>
      </w:r>
      <w:r w:rsidR="00657CFC" w:rsidRPr="002E6B8C">
        <w:rPr>
          <w:rFonts w:hint="eastAsia"/>
        </w:rPr>
        <w:t>国际标</w:t>
      </w:r>
      <w:r w:rsidR="00954F5A" w:rsidRPr="002E6B8C">
        <w:rPr>
          <w:rFonts w:hint="eastAsia"/>
        </w:rPr>
        <w:t>IEC60601-2-50:2009+A1:2016</w:t>
      </w:r>
      <w:r w:rsidR="00657CFC" w:rsidRPr="002E6B8C">
        <w:rPr>
          <w:rFonts w:hint="eastAsia"/>
        </w:rPr>
        <w:t>，</w:t>
      </w:r>
      <w:r w:rsidR="00885E01" w:rsidRPr="002E6B8C">
        <w:rPr>
          <w:rFonts w:ascii="Arial" w:hAnsi="Arial" w:cs="Arial" w:hint="eastAsia"/>
          <w:szCs w:val="21"/>
        </w:rPr>
        <w:t>本标准与</w:t>
      </w:r>
      <w:r w:rsidR="00885E01" w:rsidRPr="002E6B8C">
        <w:rPr>
          <w:rFonts w:hint="eastAsia"/>
        </w:rPr>
        <w:t>IEC</w:t>
      </w:r>
      <w:r w:rsidR="00954F5A" w:rsidRPr="002E6B8C">
        <w:rPr>
          <w:rFonts w:hint="eastAsia"/>
        </w:rPr>
        <w:t>60601-2-50</w:t>
      </w:r>
      <w:r w:rsidR="00885E01" w:rsidRPr="002E6B8C">
        <w:rPr>
          <w:rFonts w:hint="eastAsia"/>
        </w:rPr>
        <w:t>:</w:t>
      </w:r>
      <w:r w:rsidR="00885E01" w:rsidRPr="002E6B8C">
        <w:rPr>
          <w:rFonts w:hint="eastAsia"/>
        </w:rPr>
        <w:t>相比，</w:t>
      </w:r>
      <w:r w:rsidR="00885E01" w:rsidRPr="002E6B8C">
        <w:rPr>
          <w:rFonts w:ascii="宋体" w:hAnsi="宋体" w:hint="eastAsia"/>
        </w:rPr>
        <w:t>主要变化为</w:t>
      </w:r>
      <w:r w:rsidR="00954F5A" w:rsidRPr="002E6B8C">
        <w:rPr>
          <w:rFonts w:ascii="Arial" w:hAnsi="Arial" w:cs="Arial" w:hint="eastAsia"/>
          <w:szCs w:val="21"/>
        </w:rPr>
        <w:t>：</w:t>
      </w:r>
      <w:r w:rsidR="00954F5A" w:rsidRPr="002E6B8C">
        <w:rPr>
          <w:rFonts w:ascii="Arial" w:hAnsi="Arial" w:cs="Arial" w:hint="eastAsia"/>
          <w:szCs w:val="21"/>
        </w:rPr>
        <w:t>1</w:t>
      </w:r>
      <w:r w:rsidR="00954F5A" w:rsidRPr="002E6B8C">
        <w:rPr>
          <w:rFonts w:ascii="Arial" w:hAnsi="Arial" w:cs="Arial" w:hint="eastAsia"/>
          <w:szCs w:val="21"/>
        </w:rPr>
        <w:t>）按照</w:t>
      </w:r>
      <w:r w:rsidR="00954F5A" w:rsidRPr="002E6B8C">
        <w:rPr>
          <w:rFonts w:ascii="Arial" w:hAnsi="Arial" w:cs="Arial" w:hint="eastAsia"/>
          <w:szCs w:val="21"/>
        </w:rPr>
        <w:t>GB/T 1.1</w:t>
      </w:r>
      <w:r w:rsidR="00954F5A" w:rsidRPr="002E6B8C">
        <w:rPr>
          <w:rFonts w:ascii="Arial" w:hAnsi="Arial" w:cs="Arial" w:hint="eastAsia"/>
          <w:szCs w:val="21"/>
        </w:rPr>
        <w:t>对一些编排格式进行了修改；</w:t>
      </w:r>
      <w:r w:rsidR="00954F5A" w:rsidRPr="002E6B8C">
        <w:rPr>
          <w:rFonts w:ascii="Arial" w:hAnsi="Arial" w:cs="Arial" w:hint="eastAsia"/>
          <w:szCs w:val="21"/>
        </w:rPr>
        <w:t>2</w:t>
      </w:r>
      <w:r w:rsidR="00954F5A" w:rsidRPr="002E6B8C">
        <w:rPr>
          <w:rFonts w:ascii="Arial" w:hAnsi="Arial" w:cs="Arial" w:hint="eastAsia"/>
          <w:szCs w:val="21"/>
        </w:rPr>
        <w:t>）删除</w:t>
      </w:r>
      <w:r w:rsidR="00954F5A" w:rsidRPr="002E6B8C">
        <w:rPr>
          <w:szCs w:val="21"/>
        </w:rPr>
        <w:t>IEC 60601-2-5</w:t>
      </w:r>
      <w:r w:rsidR="00954F5A" w:rsidRPr="002E6B8C">
        <w:rPr>
          <w:rFonts w:hint="eastAsia"/>
          <w:szCs w:val="21"/>
        </w:rPr>
        <w:t>0</w:t>
      </w:r>
      <w:r w:rsidR="00954F5A" w:rsidRPr="002E6B8C">
        <w:rPr>
          <w:rFonts w:ascii="Arial" w:hAnsi="Arial" w:cs="Arial" w:hint="eastAsia"/>
          <w:szCs w:val="21"/>
        </w:rPr>
        <w:t>标准中的封面和前言；</w:t>
      </w:r>
      <w:r w:rsidR="00954F5A" w:rsidRPr="002E6B8C">
        <w:rPr>
          <w:rFonts w:ascii="Arial" w:hAnsi="Arial" w:cs="Arial" w:hint="eastAsia"/>
          <w:szCs w:val="21"/>
        </w:rPr>
        <w:t>3</w:t>
      </w:r>
      <w:r w:rsidR="00954F5A" w:rsidRPr="002E6B8C">
        <w:rPr>
          <w:rFonts w:ascii="Arial" w:hAnsi="Arial" w:cs="Arial" w:hint="eastAsia"/>
          <w:szCs w:val="21"/>
        </w:rPr>
        <w:t>）删除本专用标准</w:t>
      </w:r>
      <w:r w:rsidR="00954F5A" w:rsidRPr="002E6B8C">
        <w:rPr>
          <w:rFonts w:ascii="Arial" w:hAnsi="Arial" w:cs="Arial" w:hint="eastAsia"/>
        </w:rPr>
        <w:t>中术语定义的索引</w:t>
      </w:r>
      <w:r w:rsidR="00954F5A" w:rsidRPr="002E6B8C">
        <w:rPr>
          <w:rFonts w:ascii="Arial" w:hAnsi="Arial" w:cs="Arial" w:hint="eastAsia"/>
          <w:szCs w:val="21"/>
        </w:rPr>
        <w:t>。</w:t>
      </w:r>
    </w:p>
    <w:p w:rsidR="0004369C" w:rsidRPr="002E6B8C" w:rsidRDefault="00657CFC" w:rsidP="00954F5A">
      <w:pPr>
        <w:autoSpaceDE w:val="0"/>
        <w:autoSpaceDN w:val="0"/>
        <w:adjustRightInd w:val="0"/>
        <w:ind w:firstLineChars="200" w:firstLine="420"/>
        <w:jc w:val="left"/>
        <w:rPr>
          <w:rFonts w:ascii="Arial" w:hAnsi="Arial" w:cs="Arial"/>
          <w:szCs w:val="21"/>
        </w:rPr>
      </w:pPr>
      <w:r w:rsidRPr="002E6B8C">
        <w:rPr>
          <w:rFonts w:hint="eastAsia"/>
        </w:rPr>
        <w:t>与国际标准</w:t>
      </w:r>
      <w:r w:rsidR="00885E01" w:rsidRPr="002E6B8C">
        <w:rPr>
          <w:rFonts w:hint="eastAsia"/>
        </w:rPr>
        <w:t>最新</w:t>
      </w:r>
      <w:r w:rsidRPr="002E6B8C">
        <w:rPr>
          <w:rFonts w:hint="eastAsia"/>
        </w:rPr>
        <w:t>执行程度保持一致。</w:t>
      </w:r>
    </w:p>
    <w:p w:rsidR="004A297F" w:rsidRPr="002E6B8C" w:rsidRDefault="004A297F" w:rsidP="004A297F">
      <w:pPr>
        <w:spacing w:line="360" w:lineRule="auto"/>
        <w:ind w:firstLineChars="200" w:firstLine="420"/>
      </w:pPr>
    </w:p>
    <w:p w:rsidR="004A297F" w:rsidRPr="002E6B8C" w:rsidRDefault="004A297F" w:rsidP="004A297F">
      <w:pPr>
        <w:spacing w:line="360" w:lineRule="auto"/>
        <w:ind w:firstLineChars="200" w:firstLine="482"/>
        <w:rPr>
          <w:b/>
          <w:sz w:val="24"/>
        </w:rPr>
      </w:pPr>
      <w:r w:rsidRPr="002E6B8C">
        <w:rPr>
          <w:b/>
          <w:sz w:val="24"/>
        </w:rPr>
        <w:t> (</w:t>
      </w:r>
      <w:r w:rsidRPr="002E6B8C">
        <w:rPr>
          <w:b/>
          <w:sz w:val="24"/>
        </w:rPr>
        <w:t>五</w:t>
      </w:r>
      <w:r w:rsidRPr="002E6B8C">
        <w:rPr>
          <w:b/>
          <w:sz w:val="24"/>
        </w:rPr>
        <w:t>)</w:t>
      </w:r>
      <w:r w:rsidRPr="002E6B8C">
        <w:rPr>
          <w:b/>
          <w:sz w:val="24"/>
        </w:rPr>
        <w:t>与有关的现行法律、法规和强制性国家标准的关系；</w:t>
      </w:r>
    </w:p>
    <w:p w:rsidR="004A297F" w:rsidRPr="002E6B8C" w:rsidRDefault="00657CFC" w:rsidP="00657CFC">
      <w:pPr>
        <w:spacing w:line="360" w:lineRule="auto"/>
        <w:ind w:firstLineChars="200" w:firstLine="420"/>
      </w:pPr>
      <w:r w:rsidRPr="002E6B8C">
        <w:rPr>
          <w:rFonts w:hint="eastAsia"/>
          <w:szCs w:val="21"/>
        </w:rPr>
        <w:t>本</w:t>
      </w:r>
      <w:r w:rsidR="004A297F" w:rsidRPr="002E6B8C">
        <w:rPr>
          <w:rFonts w:hint="eastAsia"/>
          <w:szCs w:val="21"/>
        </w:rPr>
        <w:t>标准《</w:t>
      </w:r>
      <w:r w:rsidR="00954F5A" w:rsidRPr="002E6B8C">
        <w:rPr>
          <w:rFonts w:hint="eastAsia"/>
        </w:rPr>
        <w:t>医用电气设备</w:t>
      </w:r>
      <w:r w:rsidR="00954F5A" w:rsidRPr="002E6B8C">
        <w:rPr>
          <w:rFonts w:hint="eastAsia"/>
        </w:rPr>
        <w:t xml:space="preserve"> </w:t>
      </w:r>
      <w:r w:rsidR="00954F5A" w:rsidRPr="002E6B8C">
        <w:rPr>
          <w:rFonts w:hint="eastAsia"/>
        </w:rPr>
        <w:t>第</w:t>
      </w:r>
      <w:r w:rsidR="00954F5A" w:rsidRPr="002E6B8C">
        <w:rPr>
          <w:rFonts w:hint="eastAsia"/>
        </w:rPr>
        <w:t>2-50</w:t>
      </w:r>
      <w:r w:rsidR="00954F5A" w:rsidRPr="002E6B8C">
        <w:rPr>
          <w:rFonts w:hint="eastAsia"/>
        </w:rPr>
        <w:t>部分：婴儿光治疗设备基本安全和基本性能的专用要求</w:t>
      </w:r>
      <w:r w:rsidR="004A297F" w:rsidRPr="002E6B8C">
        <w:rPr>
          <w:rFonts w:hint="eastAsia"/>
          <w:szCs w:val="21"/>
        </w:rPr>
        <w:t>》</w:t>
      </w:r>
      <w:r w:rsidRPr="002E6B8C">
        <w:rPr>
          <w:rFonts w:hint="eastAsia"/>
          <w:szCs w:val="21"/>
        </w:rPr>
        <w:lastRenderedPageBreak/>
        <w:t>作为医用电气设备专用标准，除专用标准规定条款适用以外，其他</w:t>
      </w:r>
      <w:r w:rsidR="004A297F" w:rsidRPr="002E6B8C">
        <w:rPr>
          <w:rFonts w:hint="eastAsia"/>
        </w:rPr>
        <w:t>GB9706.1-20</w:t>
      </w:r>
      <w:r w:rsidR="00885E01" w:rsidRPr="002E6B8C">
        <w:rPr>
          <w:rFonts w:hint="eastAsia"/>
        </w:rPr>
        <w:t>1X</w:t>
      </w:r>
      <w:r w:rsidR="004A297F" w:rsidRPr="002E6B8C">
        <w:rPr>
          <w:rFonts w:hint="eastAsia"/>
        </w:rPr>
        <w:t>《医用电气设备第</w:t>
      </w:r>
      <w:r w:rsidR="004A297F" w:rsidRPr="002E6B8C">
        <w:rPr>
          <w:rFonts w:hint="eastAsia"/>
        </w:rPr>
        <w:t>1</w:t>
      </w:r>
      <w:r w:rsidR="004A297F" w:rsidRPr="002E6B8C">
        <w:rPr>
          <w:rFonts w:hint="eastAsia"/>
        </w:rPr>
        <w:t>部分</w:t>
      </w:r>
      <w:r w:rsidR="004A297F" w:rsidRPr="002E6B8C">
        <w:t xml:space="preserve">: </w:t>
      </w:r>
      <w:r w:rsidR="004A297F" w:rsidRPr="002E6B8C">
        <w:rPr>
          <w:rFonts w:hint="eastAsia"/>
        </w:rPr>
        <w:t>安全通用要求》</w:t>
      </w:r>
      <w:r w:rsidRPr="002E6B8C">
        <w:rPr>
          <w:rFonts w:hint="eastAsia"/>
        </w:rPr>
        <w:t>规定的章或条款适用。</w:t>
      </w:r>
    </w:p>
    <w:p w:rsidR="004A297F" w:rsidRPr="002E6B8C" w:rsidRDefault="004A297F" w:rsidP="004A297F">
      <w:pPr>
        <w:spacing w:line="360" w:lineRule="auto"/>
        <w:ind w:firstLineChars="200" w:firstLine="482"/>
        <w:rPr>
          <w:b/>
          <w:sz w:val="24"/>
        </w:rPr>
      </w:pPr>
      <w:r w:rsidRPr="002E6B8C">
        <w:rPr>
          <w:b/>
          <w:sz w:val="24"/>
        </w:rPr>
        <w:t> </w:t>
      </w:r>
    </w:p>
    <w:p w:rsidR="004A297F" w:rsidRPr="002E6B8C" w:rsidRDefault="004A297F" w:rsidP="004A297F">
      <w:pPr>
        <w:spacing w:line="360" w:lineRule="auto"/>
        <w:ind w:firstLineChars="200" w:firstLine="482"/>
        <w:rPr>
          <w:b/>
          <w:sz w:val="24"/>
        </w:rPr>
      </w:pPr>
      <w:r w:rsidRPr="002E6B8C">
        <w:rPr>
          <w:b/>
          <w:sz w:val="24"/>
        </w:rPr>
        <w:t>(</w:t>
      </w:r>
      <w:r w:rsidRPr="002E6B8C">
        <w:rPr>
          <w:b/>
          <w:sz w:val="24"/>
        </w:rPr>
        <w:t>六</w:t>
      </w:r>
      <w:r w:rsidRPr="002E6B8C">
        <w:rPr>
          <w:b/>
          <w:sz w:val="24"/>
        </w:rPr>
        <w:t>)</w:t>
      </w:r>
      <w:r w:rsidRPr="002E6B8C">
        <w:rPr>
          <w:b/>
          <w:sz w:val="24"/>
        </w:rPr>
        <w:t>重大分歧意见的处理经过和依据；</w:t>
      </w:r>
    </w:p>
    <w:p w:rsidR="004A297F" w:rsidRPr="002E6B8C" w:rsidRDefault="00B2008D" w:rsidP="0063669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E6B8C">
        <w:rPr>
          <w:rFonts w:ascii="宋体" w:hint="eastAsia"/>
          <w:szCs w:val="21"/>
        </w:rPr>
        <w:t>正在征集</w:t>
      </w:r>
      <w:r w:rsidRPr="002E6B8C">
        <w:rPr>
          <w:rFonts w:ascii="宋体"/>
          <w:szCs w:val="21"/>
        </w:rPr>
        <w:t>意见</w:t>
      </w:r>
      <w:r w:rsidR="00A925D3" w:rsidRPr="002E6B8C">
        <w:rPr>
          <w:rFonts w:ascii="宋体" w:hint="eastAsia"/>
          <w:szCs w:val="21"/>
        </w:rPr>
        <w:t>。</w:t>
      </w:r>
    </w:p>
    <w:p w:rsidR="004A297F" w:rsidRPr="002E6B8C" w:rsidRDefault="004A297F" w:rsidP="004A297F">
      <w:pPr>
        <w:spacing w:line="360" w:lineRule="auto"/>
        <w:ind w:firstLineChars="200" w:firstLine="482"/>
        <w:rPr>
          <w:b/>
          <w:sz w:val="24"/>
        </w:rPr>
      </w:pPr>
    </w:p>
    <w:p w:rsidR="004A297F" w:rsidRPr="002E6B8C" w:rsidRDefault="004A297F" w:rsidP="004A297F">
      <w:pPr>
        <w:spacing w:line="360" w:lineRule="auto"/>
        <w:ind w:firstLineChars="200" w:firstLine="482"/>
        <w:rPr>
          <w:b/>
          <w:sz w:val="24"/>
        </w:rPr>
      </w:pPr>
      <w:r w:rsidRPr="002E6B8C">
        <w:rPr>
          <w:b/>
          <w:sz w:val="24"/>
        </w:rPr>
        <w:t> (</w:t>
      </w:r>
      <w:r w:rsidRPr="002E6B8C">
        <w:rPr>
          <w:b/>
          <w:sz w:val="24"/>
        </w:rPr>
        <w:t>七</w:t>
      </w:r>
      <w:r w:rsidRPr="002E6B8C">
        <w:rPr>
          <w:b/>
          <w:sz w:val="24"/>
        </w:rPr>
        <w:t>)</w:t>
      </w:r>
      <w:r w:rsidRPr="002E6B8C">
        <w:rPr>
          <w:b/>
          <w:sz w:val="24"/>
        </w:rPr>
        <w:t>标准作为强制性标准的建议；</w:t>
      </w:r>
    </w:p>
    <w:p w:rsidR="002E6B8C" w:rsidRPr="002E6B8C" w:rsidRDefault="002E6B8C" w:rsidP="006F415B">
      <w:pPr>
        <w:spacing w:line="360" w:lineRule="auto"/>
        <w:ind w:firstLineChars="200" w:firstLine="420"/>
      </w:pPr>
      <w:r w:rsidRPr="002E6B8C">
        <w:rPr>
          <w:rFonts w:hint="eastAsia"/>
        </w:rPr>
        <w:t>本标准主要用于降低婴儿体内胆红素浓度，产品质量的好坏，直接影响到婴儿的治疗效果。若因治疗时间的耽误，可能会关系到婴儿的生命安全。</w:t>
      </w:r>
    </w:p>
    <w:p w:rsidR="004A297F" w:rsidRPr="002E6B8C" w:rsidRDefault="002E6B8C" w:rsidP="006F415B">
      <w:pPr>
        <w:spacing w:line="360" w:lineRule="auto"/>
        <w:ind w:firstLineChars="200" w:firstLine="420"/>
      </w:pPr>
      <w:r w:rsidRPr="002E6B8C">
        <w:rPr>
          <w:rFonts w:hint="eastAsia"/>
        </w:rPr>
        <w:t>本标准是</w:t>
      </w:r>
      <w:r w:rsidR="00954F5A" w:rsidRPr="002E6B8C">
        <w:rPr>
          <w:rFonts w:hint="eastAsia"/>
        </w:rPr>
        <w:t>YY 0669-2008</w:t>
      </w:r>
      <w:r w:rsidR="00954F5A" w:rsidRPr="002E6B8C">
        <w:rPr>
          <w:rFonts w:hint="eastAsia"/>
        </w:rPr>
        <w:t>《医用电气设备</w:t>
      </w:r>
      <w:r w:rsidR="00954F5A" w:rsidRPr="002E6B8C">
        <w:rPr>
          <w:rFonts w:hint="eastAsia"/>
        </w:rPr>
        <w:t xml:space="preserve"> </w:t>
      </w:r>
      <w:r w:rsidR="00954F5A" w:rsidRPr="002E6B8C">
        <w:rPr>
          <w:rFonts w:hint="eastAsia"/>
        </w:rPr>
        <w:t>第</w:t>
      </w:r>
      <w:r w:rsidR="00954F5A" w:rsidRPr="002E6B8C">
        <w:rPr>
          <w:rFonts w:hint="eastAsia"/>
        </w:rPr>
        <w:t>2</w:t>
      </w:r>
      <w:r w:rsidR="00954F5A" w:rsidRPr="002E6B8C">
        <w:rPr>
          <w:rFonts w:hint="eastAsia"/>
        </w:rPr>
        <w:t>部分</w:t>
      </w:r>
      <w:r w:rsidR="00954F5A" w:rsidRPr="002E6B8C">
        <w:rPr>
          <w:rFonts w:hint="eastAsia"/>
        </w:rPr>
        <w:t xml:space="preserve"> </w:t>
      </w:r>
      <w:r w:rsidR="00954F5A" w:rsidRPr="002E6B8C">
        <w:rPr>
          <w:rFonts w:hint="eastAsia"/>
        </w:rPr>
        <w:t>婴儿光治疗设备的专用要求》</w:t>
      </w:r>
      <w:r w:rsidRPr="002E6B8C">
        <w:rPr>
          <w:rFonts w:hint="eastAsia"/>
        </w:rPr>
        <w:t>所采用的国际版本的第二版，</w:t>
      </w:r>
      <w:r w:rsidRPr="002E6B8C">
        <w:rPr>
          <w:rFonts w:hint="eastAsia"/>
        </w:rPr>
        <w:t>YY0669</w:t>
      </w:r>
      <w:r w:rsidRPr="002E6B8C">
        <w:rPr>
          <w:rFonts w:hint="eastAsia"/>
        </w:rPr>
        <w:t>是现行有效的行业标准，且是强制性标准。因此，建议作为强制性标准来实施。</w:t>
      </w:r>
    </w:p>
    <w:p w:rsidR="002E6B8C" w:rsidRPr="006F415B" w:rsidRDefault="002E6B8C" w:rsidP="006F415B">
      <w:pPr>
        <w:spacing w:line="360" w:lineRule="auto"/>
        <w:ind w:firstLineChars="200" w:firstLine="420"/>
        <w:rPr>
          <w:color w:val="FF0000"/>
        </w:rPr>
      </w:pPr>
    </w:p>
    <w:p w:rsidR="004A297F" w:rsidRDefault="004A297F" w:rsidP="004A297F">
      <w:pPr>
        <w:spacing w:line="360" w:lineRule="auto"/>
        <w:ind w:firstLineChars="200" w:firstLine="482"/>
        <w:rPr>
          <w:b/>
          <w:sz w:val="24"/>
        </w:rPr>
      </w:pPr>
      <w:r w:rsidRPr="008E4DEF">
        <w:rPr>
          <w:b/>
          <w:sz w:val="24"/>
        </w:rPr>
        <w:t> (</w:t>
      </w:r>
      <w:r w:rsidRPr="008E4DEF">
        <w:rPr>
          <w:b/>
          <w:sz w:val="24"/>
        </w:rPr>
        <w:t>八</w:t>
      </w:r>
      <w:r w:rsidRPr="008E4DEF">
        <w:rPr>
          <w:b/>
          <w:sz w:val="24"/>
        </w:rPr>
        <w:t>)</w:t>
      </w:r>
      <w:r w:rsidRPr="008E4DEF">
        <w:rPr>
          <w:b/>
          <w:sz w:val="24"/>
        </w:rPr>
        <w:t>贯彻标准的要求和措施建议</w:t>
      </w:r>
    </w:p>
    <w:p w:rsidR="004A297F" w:rsidRDefault="004A297F" w:rsidP="00226A92">
      <w:pPr>
        <w:spacing w:line="360" w:lineRule="auto"/>
        <w:ind w:firstLineChars="200" w:firstLine="420"/>
        <w:rPr>
          <w:szCs w:val="21"/>
        </w:rPr>
      </w:pPr>
      <w:r w:rsidRPr="00226A92">
        <w:rPr>
          <w:rFonts w:hint="eastAsia"/>
          <w:szCs w:val="21"/>
        </w:rPr>
        <w:t>需要时可召开标准宣贯培训会。</w:t>
      </w:r>
    </w:p>
    <w:p w:rsidR="002E6B8C" w:rsidRPr="00226A92" w:rsidRDefault="002E6B8C" w:rsidP="00226A92">
      <w:pPr>
        <w:spacing w:line="360" w:lineRule="auto"/>
        <w:ind w:firstLineChars="200" w:firstLine="420"/>
        <w:rPr>
          <w:szCs w:val="21"/>
        </w:rPr>
      </w:pPr>
    </w:p>
    <w:p w:rsidR="004A297F" w:rsidRPr="00B9017D" w:rsidRDefault="004A297F" w:rsidP="004A297F">
      <w:pPr>
        <w:spacing w:line="360" w:lineRule="auto"/>
        <w:ind w:firstLineChars="200" w:firstLine="482"/>
        <w:rPr>
          <w:b/>
          <w:sz w:val="24"/>
        </w:rPr>
      </w:pPr>
      <w:r w:rsidRPr="00B9017D">
        <w:rPr>
          <w:b/>
          <w:sz w:val="24"/>
        </w:rPr>
        <w:t> (</w:t>
      </w:r>
      <w:r w:rsidRPr="00B9017D">
        <w:rPr>
          <w:b/>
          <w:sz w:val="24"/>
        </w:rPr>
        <w:t>九</w:t>
      </w:r>
      <w:r w:rsidRPr="00B9017D">
        <w:rPr>
          <w:b/>
          <w:sz w:val="24"/>
        </w:rPr>
        <w:t>)</w:t>
      </w:r>
      <w:r w:rsidRPr="00B9017D">
        <w:rPr>
          <w:b/>
          <w:sz w:val="24"/>
        </w:rPr>
        <w:t>废止现行有关标准的建议；</w:t>
      </w:r>
    </w:p>
    <w:p w:rsidR="004A297F" w:rsidRDefault="004A297F" w:rsidP="006F415B">
      <w:pPr>
        <w:spacing w:line="360" w:lineRule="auto"/>
        <w:ind w:firstLineChars="176" w:firstLine="424"/>
        <w:rPr>
          <w:szCs w:val="21"/>
        </w:rPr>
      </w:pPr>
      <w:r w:rsidRPr="00B9017D">
        <w:rPr>
          <w:b/>
          <w:sz w:val="24"/>
        </w:rPr>
        <w:t> </w:t>
      </w:r>
      <w:r w:rsidR="002E6B8C">
        <w:rPr>
          <w:rFonts w:hint="eastAsia"/>
          <w:szCs w:val="21"/>
        </w:rPr>
        <w:t>本标准是</w:t>
      </w:r>
      <w:r w:rsidR="002E6B8C">
        <w:rPr>
          <w:rFonts w:hint="eastAsia"/>
          <w:szCs w:val="21"/>
        </w:rPr>
        <w:t>YY 0669-2008</w:t>
      </w:r>
      <w:r w:rsidR="002E6B8C">
        <w:rPr>
          <w:rFonts w:hint="eastAsia"/>
          <w:szCs w:val="21"/>
        </w:rPr>
        <w:t>对应的国际标准的第二版，因此本标准的实施，建议废止</w:t>
      </w:r>
      <w:r w:rsidR="002E6B8C">
        <w:rPr>
          <w:rFonts w:hint="eastAsia"/>
          <w:szCs w:val="21"/>
        </w:rPr>
        <w:t>YY 0669-2008</w:t>
      </w:r>
      <w:r w:rsidR="002E6B8C">
        <w:rPr>
          <w:rFonts w:hint="eastAsia"/>
          <w:szCs w:val="21"/>
        </w:rPr>
        <w:t>。</w:t>
      </w:r>
      <w:bookmarkStart w:id="0" w:name="_GoBack"/>
      <w:bookmarkEnd w:id="0"/>
    </w:p>
    <w:p w:rsidR="002E6B8C" w:rsidRPr="00B9017D" w:rsidRDefault="002E6B8C" w:rsidP="002E6B8C">
      <w:pPr>
        <w:spacing w:line="360" w:lineRule="auto"/>
        <w:ind w:firstLineChars="176" w:firstLine="370"/>
        <w:rPr>
          <w:szCs w:val="21"/>
        </w:rPr>
      </w:pPr>
    </w:p>
    <w:p w:rsidR="004A297F" w:rsidRDefault="004A297F" w:rsidP="004A297F">
      <w:pPr>
        <w:spacing w:line="360" w:lineRule="auto"/>
        <w:ind w:firstLineChars="196" w:firstLine="472"/>
        <w:rPr>
          <w:b/>
          <w:sz w:val="24"/>
        </w:rPr>
      </w:pPr>
      <w:r w:rsidRPr="00B9017D">
        <w:rPr>
          <w:b/>
          <w:sz w:val="24"/>
        </w:rPr>
        <w:t>(</w:t>
      </w:r>
      <w:r w:rsidRPr="00B9017D">
        <w:rPr>
          <w:b/>
          <w:sz w:val="24"/>
        </w:rPr>
        <w:t>十</w:t>
      </w:r>
      <w:r w:rsidRPr="00B9017D">
        <w:rPr>
          <w:b/>
          <w:sz w:val="24"/>
        </w:rPr>
        <w:t>)</w:t>
      </w:r>
      <w:r w:rsidRPr="00B9017D">
        <w:rPr>
          <w:b/>
          <w:sz w:val="24"/>
        </w:rPr>
        <w:t>其他应予说明的事项。</w:t>
      </w:r>
    </w:p>
    <w:p w:rsidR="004A297F" w:rsidRPr="00C64FE0" w:rsidRDefault="00657CFC" w:rsidP="004A297F">
      <w:pPr>
        <w:widowControl/>
        <w:spacing w:line="360" w:lineRule="auto"/>
        <w:ind w:firstLineChars="200" w:firstLine="420"/>
        <w:jc w:val="left"/>
        <w:outlineLvl w:val="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无。</w:t>
      </w:r>
    </w:p>
    <w:p w:rsidR="004A297F" w:rsidRDefault="004A297F" w:rsidP="004A297F">
      <w:pPr>
        <w:ind w:firstLineChars="1924" w:firstLine="4056"/>
        <w:rPr>
          <w:b/>
          <w:szCs w:val="21"/>
        </w:rPr>
      </w:pPr>
    </w:p>
    <w:p w:rsidR="006F415B" w:rsidRDefault="006F415B" w:rsidP="0075234F">
      <w:pPr>
        <w:ind w:firstLineChars="2446" w:firstLine="5893"/>
        <w:rPr>
          <w:b/>
          <w:sz w:val="24"/>
        </w:rPr>
      </w:pPr>
    </w:p>
    <w:p w:rsidR="004A297F" w:rsidRPr="0075234F" w:rsidRDefault="004A297F" w:rsidP="006F415B">
      <w:pPr>
        <w:ind w:firstLineChars="2646" w:firstLine="6375"/>
        <w:rPr>
          <w:b/>
          <w:sz w:val="24"/>
        </w:rPr>
      </w:pPr>
      <w:r w:rsidRPr="00B9017D">
        <w:rPr>
          <w:rFonts w:hint="eastAsia"/>
          <w:b/>
          <w:sz w:val="24"/>
        </w:rPr>
        <w:t>行业标准起草小组</w:t>
      </w:r>
    </w:p>
    <w:p w:rsidR="004A297F" w:rsidRPr="00E16DAB" w:rsidRDefault="006F415B" w:rsidP="00040BCA">
      <w:pPr>
        <w:ind w:firstLineChars="2800" w:firstLine="6720"/>
        <w:rPr>
          <w:b/>
          <w:sz w:val="28"/>
        </w:rPr>
      </w:pPr>
      <w:r>
        <w:rPr>
          <w:rFonts w:hint="eastAsia"/>
          <w:sz w:val="24"/>
        </w:rPr>
        <w:t>2019</w:t>
      </w:r>
      <w:r w:rsidR="004A297F" w:rsidRPr="00C53751">
        <w:rPr>
          <w:rFonts w:hint="eastAsia"/>
          <w:sz w:val="24"/>
        </w:rPr>
        <w:t>-0</w:t>
      </w:r>
      <w:r w:rsidR="00226A92">
        <w:rPr>
          <w:rFonts w:hint="eastAsia"/>
          <w:sz w:val="24"/>
        </w:rPr>
        <w:t>7</w:t>
      </w:r>
      <w:r w:rsidR="004A297F" w:rsidRPr="00C53751">
        <w:rPr>
          <w:rFonts w:hint="eastAsia"/>
          <w:sz w:val="24"/>
        </w:rPr>
        <w:t>-</w:t>
      </w:r>
      <w:r w:rsidR="00DE1469">
        <w:rPr>
          <w:rFonts w:hint="eastAsia"/>
          <w:sz w:val="24"/>
        </w:rPr>
        <w:t>28</w:t>
      </w:r>
    </w:p>
    <w:p w:rsidR="00DC4E49" w:rsidRPr="00E16DAB" w:rsidRDefault="00DC4E49" w:rsidP="005F4B51">
      <w:pPr>
        <w:spacing w:line="360" w:lineRule="auto"/>
        <w:ind w:leftChars="171" w:left="359"/>
        <w:rPr>
          <w:rFonts w:ascii="Arial" w:hAnsi="Arial" w:cs="Arial"/>
          <w:sz w:val="24"/>
          <w:szCs w:val="24"/>
        </w:rPr>
      </w:pPr>
    </w:p>
    <w:sectPr w:rsidR="00DC4E49" w:rsidRPr="00E16DAB" w:rsidSect="00487AA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7F" w:rsidRDefault="00933F7F">
      <w:r>
        <w:separator/>
      </w:r>
    </w:p>
  </w:endnote>
  <w:endnote w:type="continuationSeparator" w:id="0">
    <w:p w:rsidR="00933F7F" w:rsidRDefault="0093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4F" w:rsidRDefault="00450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23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234F" w:rsidRDefault="007523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4F" w:rsidRDefault="00450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23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5AC3">
      <w:rPr>
        <w:rStyle w:val="a4"/>
        <w:noProof/>
      </w:rPr>
      <w:t>2</w:t>
    </w:r>
    <w:r>
      <w:rPr>
        <w:rStyle w:val="a4"/>
      </w:rPr>
      <w:fldChar w:fldCharType="end"/>
    </w:r>
  </w:p>
  <w:p w:rsidR="0075234F" w:rsidRDefault="007523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7F" w:rsidRDefault="00933F7F">
      <w:r>
        <w:separator/>
      </w:r>
    </w:p>
  </w:footnote>
  <w:footnote w:type="continuationSeparator" w:id="0">
    <w:p w:rsidR="00933F7F" w:rsidRDefault="0093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30C"/>
    <w:multiLevelType w:val="hybridMultilevel"/>
    <w:tmpl w:val="B662567C"/>
    <w:lvl w:ilvl="0" w:tplc="6F2423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18E3392"/>
    <w:multiLevelType w:val="hybridMultilevel"/>
    <w:tmpl w:val="E78A568C"/>
    <w:lvl w:ilvl="0" w:tplc="3B34B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AC819AA"/>
    <w:multiLevelType w:val="hybridMultilevel"/>
    <w:tmpl w:val="7DCEDB20"/>
    <w:lvl w:ilvl="0" w:tplc="96CECDA8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7E295C"/>
    <w:multiLevelType w:val="hybridMultilevel"/>
    <w:tmpl w:val="B9CA2706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44327147"/>
    <w:multiLevelType w:val="hybridMultilevel"/>
    <w:tmpl w:val="19A64C0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70A1702"/>
    <w:multiLevelType w:val="multilevel"/>
    <w:tmpl w:val="D2EAD2AC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6">
    <w:nsid w:val="4B344D22"/>
    <w:multiLevelType w:val="singleLevel"/>
    <w:tmpl w:val="C9A2EFF2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165"/>
      </w:pPr>
      <w:rPr>
        <w:rFonts w:hint="eastAsia"/>
      </w:rPr>
    </w:lvl>
  </w:abstractNum>
  <w:abstractNum w:abstractNumId="7">
    <w:nsid w:val="576C20B6"/>
    <w:multiLevelType w:val="hybridMultilevel"/>
    <w:tmpl w:val="725CD73E"/>
    <w:lvl w:ilvl="0" w:tplc="5986F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2801D1C"/>
    <w:multiLevelType w:val="singleLevel"/>
    <w:tmpl w:val="078A9754"/>
    <w:lvl w:ilvl="0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651D5F51"/>
    <w:multiLevelType w:val="multilevel"/>
    <w:tmpl w:val="C80291F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0">
    <w:nsid w:val="72016049"/>
    <w:multiLevelType w:val="hybridMultilevel"/>
    <w:tmpl w:val="54D26074"/>
    <w:lvl w:ilvl="0" w:tplc="EFD2D746">
      <w:start w:val="1"/>
      <w:numFmt w:val="japaneseCounting"/>
      <w:lvlText w:val="(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0"/>
        </w:tabs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0"/>
        </w:tabs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0"/>
        </w:tabs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0"/>
        </w:tabs>
        <w:ind w:left="38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A34090"/>
    <w:rsid w:val="00040BCA"/>
    <w:rsid w:val="0004369C"/>
    <w:rsid w:val="000475E0"/>
    <w:rsid w:val="000962D1"/>
    <w:rsid w:val="000B59B6"/>
    <w:rsid w:val="000B7356"/>
    <w:rsid w:val="000C2592"/>
    <w:rsid w:val="000E0671"/>
    <w:rsid w:val="000F5BF7"/>
    <w:rsid w:val="000F5CDA"/>
    <w:rsid w:val="00103C88"/>
    <w:rsid w:val="00106E92"/>
    <w:rsid w:val="00107F18"/>
    <w:rsid w:val="00110C33"/>
    <w:rsid w:val="0011204C"/>
    <w:rsid w:val="0012649F"/>
    <w:rsid w:val="00151639"/>
    <w:rsid w:val="00162410"/>
    <w:rsid w:val="00176EAC"/>
    <w:rsid w:val="00195487"/>
    <w:rsid w:val="001A71B3"/>
    <w:rsid w:val="001D2252"/>
    <w:rsid w:val="001D24DC"/>
    <w:rsid w:val="001E1BFE"/>
    <w:rsid w:val="001F3E90"/>
    <w:rsid w:val="002003EC"/>
    <w:rsid w:val="0020234A"/>
    <w:rsid w:val="00225472"/>
    <w:rsid w:val="00226A92"/>
    <w:rsid w:val="002427EB"/>
    <w:rsid w:val="002520A0"/>
    <w:rsid w:val="00271756"/>
    <w:rsid w:val="002720DF"/>
    <w:rsid w:val="0028117D"/>
    <w:rsid w:val="00282B0C"/>
    <w:rsid w:val="002E532C"/>
    <w:rsid w:val="002E6B8C"/>
    <w:rsid w:val="00302E45"/>
    <w:rsid w:val="003045E0"/>
    <w:rsid w:val="00313944"/>
    <w:rsid w:val="00326C18"/>
    <w:rsid w:val="00334023"/>
    <w:rsid w:val="00334373"/>
    <w:rsid w:val="0033585C"/>
    <w:rsid w:val="00342E60"/>
    <w:rsid w:val="00370F84"/>
    <w:rsid w:val="003854BE"/>
    <w:rsid w:val="003876CA"/>
    <w:rsid w:val="003A286C"/>
    <w:rsid w:val="003B3C5C"/>
    <w:rsid w:val="003F3EAF"/>
    <w:rsid w:val="003F6CE0"/>
    <w:rsid w:val="004029D7"/>
    <w:rsid w:val="004042BC"/>
    <w:rsid w:val="00405BCF"/>
    <w:rsid w:val="004067F8"/>
    <w:rsid w:val="0041446F"/>
    <w:rsid w:val="00416936"/>
    <w:rsid w:val="00421A70"/>
    <w:rsid w:val="00423D8D"/>
    <w:rsid w:val="004316B5"/>
    <w:rsid w:val="00446F80"/>
    <w:rsid w:val="0045004E"/>
    <w:rsid w:val="0046418A"/>
    <w:rsid w:val="00464C57"/>
    <w:rsid w:val="004714A9"/>
    <w:rsid w:val="0047556B"/>
    <w:rsid w:val="00476266"/>
    <w:rsid w:val="00487AA9"/>
    <w:rsid w:val="00497ED5"/>
    <w:rsid w:val="004A297F"/>
    <w:rsid w:val="004A31BA"/>
    <w:rsid w:val="004A5BCA"/>
    <w:rsid w:val="004B18C2"/>
    <w:rsid w:val="004C10E3"/>
    <w:rsid w:val="004C3600"/>
    <w:rsid w:val="004C68AE"/>
    <w:rsid w:val="004D1AEE"/>
    <w:rsid w:val="004D3EFB"/>
    <w:rsid w:val="004E0ECE"/>
    <w:rsid w:val="004F28B6"/>
    <w:rsid w:val="0051336F"/>
    <w:rsid w:val="00515EB1"/>
    <w:rsid w:val="00543C3E"/>
    <w:rsid w:val="00560150"/>
    <w:rsid w:val="00566167"/>
    <w:rsid w:val="0056673F"/>
    <w:rsid w:val="005A4E48"/>
    <w:rsid w:val="005C15CB"/>
    <w:rsid w:val="005C338F"/>
    <w:rsid w:val="005E226C"/>
    <w:rsid w:val="005E6B16"/>
    <w:rsid w:val="005E7731"/>
    <w:rsid w:val="005F4B51"/>
    <w:rsid w:val="0060521C"/>
    <w:rsid w:val="00606307"/>
    <w:rsid w:val="00624392"/>
    <w:rsid w:val="00636698"/>
    <w:rsid w:val="00652D0E"/>
    <w:rsid w:val="00657CFC"/>
    <w:rsid w:val="00662DEE"/>
    <w:rsid w:val="006900F5"/>
    <w:rsid w:val="00693724"/>
    <w:rsid w:val="006A668B"/>
    <w:rsid w:val="006B1C7E"/>
    <w:rsid w:val="006B69AB"/>
    <w:rsid w:val="006C4694"/>
    <w:rsid w:val="006C7150"/>
    <w:rsid w:val="006E7F63"/>
    <w:rsid w:val="006F415B"/>
    <w:rsid w:val="00717230"/>
    <w:rsid w:val="00723993"/>
    <w:rsid w:val="0075234F"/>
    <w:rsid w:val="0075488D"/>
    <w:rsid w:val="007C380B"/>
    <w:rsid w:val="007D5604"/>
    <w:rsid w:val="007F234E"/>
    <w:rsid w:val="007F3B6D"/>
    <w:rsid w:val="0080329C"/>
    <w:rsid w:val="008251D1"/>
    <w:rsid w:val="00827582"/>
    <w:rsid w:val="00837D36"/>
    <w:rsid w:val="00840C2C"/>
    <w:rsid w:val="00844E7F"/>
    <w:rsid w:val="00851BE4"/>
    <w:rsid w:val="00875DAA"/>
    <w:rsid w:val="00884DC8"/>
    <w:rsid w:val="00885E01"/>
    <w:rsid w:val="0089173B"/>
    <w:rsid w:val="0089661D"/>
    <w:rsid w:val="008B60A9"/>
    <w:rsid w:val="008C42B9"/>
    <w:rsid w:val="008E12E7"/>
    <w:rsid w:val="008F0DEB"/>
    <w:rsid w:val="008F61A8"/>
    <w:rsid w:val="0090654E"/>
    <w:rsid w:val="009115EE"/>
    <w:rsid w:val="00920D87"/>
    <w:rsid w:val="00933F7F"/>
    <w:rsid w:val="00954F5A"/>
    <w:rsid w:val="009701AA"/>
    <w:rsid w:val="009729B8"/>
    <w:rsid w:val="00983347"/>
    <w:rsid w:val="009A14CA"/>
    <w:rsid w:val="00A169A9"/>
    <w:rsid w:val="00A34090"/>
    <w:rsid w:val="00A61065"/>
    <w:rsid w:val="00A7569E"/>
    <w:rsid w:val="00A75AFB"/>
    <w:rsid w:val="00A855EB"/>
    <w:rsid w:val="00A925D3"/>
    <w:rsid w:val="00AC1399"/>
    <w:rsid w:val="00AC5C41"/>
    <w:rsid w:val="00AC6D74"/>
    <w:rsid w:val="00B01C6A"/>
    <w:rsid w:val="00B2008D"/>
    <w:rsid w:val="00B23172"/>
    <w:rsid w:val="00B54EC0"/>
    <w:rsid w:val="00B763B9"/>
    <w:rsid w:val="00B82D59"/>
    <w:rsid w:val="00BA7F52"/>
    <w:rsid w:val="00BC053E"/>
    <w:rsid w:val="00BD7548"/>
    <w:rsid w:val="00C101B6"/>
    <w:rsid w:val="00C14D2B"/>
    <w:rsid w:val="00C177C7"/>
    <w:rsid w:val="00C26DA9"/>
    <w:rsid w:val="00C363A0"/>
    <w:rsid w:val="00C47617"/>
    <w:rsid w:val="00C47642"/>
    <w:rsid w:val="00C901EF"/>
    <w:rsid w:val="00C91FAE"/>
    <w:rsid w:val="00CB3ED0"/>
    <w:rsid w:val="00CC171D"/>
    <w:rsid w:val="00CC6D6B"/>
    <w:rsid w:val="00CD332A"/>
    <w:rsid w:val="00CE1DFB"/>
    <w:rsid w:val="00D23B71"/>
    <w:rsid w:val="00D36593"/>
    <w:rsid w:val="00D543A2"/>
    <w:rsid w:val="00D572C4"/>
    <w:rsid w:val="00D61691"/>
    <w:rsid w:val="00D8690C"/>
    <w:rsid w:val="00DB07EA"/>
    <w:rsid w:val="00DB67D7"/>
    <w:rsid w:val="00DC4E49"/>
    <w:rsid w:val="00DC7592"/>
    <w:rsid w:val="00DD17C5"/>
    <w:rsid w:val="00DD2702"/>
    <w:rsid w:val="00DE1469"/>
    <w:rsid w:val="00DE16E9"/>
    <w:rsid w:val="00E10F39"/>
    <w:rsid w:val="00E156D8"/>
    <w:rsid w:val="00E16DAB"/>
    <w:rsid w:val="00E20C6C"/>
    <w:rsid w:val="00E22B84"/>
    <w:rsid w:val="00E315FC"/>
    <w:rsid w:val="00E4236D"/>
    <w:rsid w:val="00E52A96"/>
    <w:rsid w:val="00E52B57"/>
    <w:rsid w:val="00E821FC"/>
    <w:rsid w:val="00E86845"/>
    <w:rsid w:val="00EB5AC3"/>
    <w:rsid w:val="00EF1794"/>
    <w:rsid w:val="00EF7B37"/>
    <w:rsid w:val="00F111D9"/>
    <w:rsid w:val="00F17B13"/>
    <w:rsid w:val="00F33460"/>
    <w:rsid w:val="00F65CEF"/>
    <w:rsid w:val="00F862E9"/>
    <w:rsid w:val="00F87EEC"/>
    <w:rsid w:val="00FD4B0A"/>
    <w:rsid w:val="00FD5866"/>
    <w:rsid w:val="00FE1256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F3DC6-10CB-4D88-BDF4-8DB413CA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A9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rsid w:val="00F111D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qFormat/>
    <w:rsid w:val="00F111D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7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87AA9"/>
  </w:style>
  <w:style w:type="paragraph" w:styleId="a5">
    <w:name w:val="Balloon Text"/>
    <w:basedOn w:val="a"/>
    <w:semiHidden/>
    <w:rsid w:val="00487AA9"/>
    <w:rPr>
      <w:sz w:val="18"/>
      <w:szCs w:val="18"/>
    </w:rPr>
  </w:style>
  <w:style w:type="paragraph" w:styleId="30">
    <w:name w:val="Body Text Indent 3"/>
    <w:basedOn w:val="a"/>
    <w:rsid w:val="00DC4E49"/>
    <w:pPr>
      <w:ind w:firstLine="425"/>
    </w:pPr>
    <w:rPr>
      <w:color w:val="FF00FF"/>
    </w:rPr>
  </w:style>
  <w:style w:type="paragraph" w:styleId="a6">
    <w:name w:val="header"/>
    <w:basedOn w:val="a"/>
    <w:link w:val="Char"/>
    <w:rsid w:val="00DC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DC7592"/>
    <w:rPr>
      <w:kern w:val="2"/>
      <w:sz w:val="18"/>
      <w:szCs w:val="18"/>
    </w:rPr>
  </w:style>
  <w:style w:type="paragraph" w:styleId="a7">
    <w:name w:val="annotation text"/>
    <w:basedOn w:val="a"/>
    <w:link w:val="Char0"/>
    <w:rsid w:val="00342E60"/>
    <w:pPr>
      <w:jc w:val="left"/>
    </w:pPr>
    <w:rPr>
      <w:szCs w:val="24"/>
    </w:rPr>
  </w:style>
  <w:style w:type="character" w:customStyle="1" w:styleId="Char0">
    <w:name w:val="批注文字 Char"/>
    <w:link w:val="a7"/>
    <w:rsid w:val="00342E60"/>
    <w:rPr>
      <w:kern w:val="2"/>
      <w:sz w:val="21"/>
      <w:szCs w:val="24"/>
    </w:rPr>
  </w:style>
  <w:style w:type="paragraph" w:customStyle="1" w:styleId="a8">
    <w:name w:val="段"/>
    <w:rsid w:val="00E16DA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styleId="a9">
    <w:name w:val="Emphasis"/>
    <w:qFormat/>
    <w:rsid w:val="003045E0"/>
    <w:rPr>
      <w:b w:val="0"/>
      <w:bCs w:val="0"/>
      <w:i w:val="0"/>
      <w:iCs w:val="0"/>
      <w:color w:val="CC0033"/>
    </w:rPr>
  </w:style>
  <w:style w:type="character" w:styleId="aa">
    <w:name w:val="Strong"/>
    <w:qFormat/>
    <w:rsid w:val="00B01C6A"/>
    <w:rPr>
      <w:b/>
      <w:bCs/>
    </w:rPr>
  </w:style>
  <w:style w:type="character" w:styleId="ab">
    <w:name w:val="Hyperlink"/>
    <w:rsid w:val="00F111D9"/>
    <w:rPr>
      <w:strike w:val="0"/>
      <w:dstrike w:val="0"/>
      <w:color w:val="136EC2"/>
      <w:u w:val="single"/>
      <w:effect w:val="none"/>
    </w:rPr>
  </w:style>
  <w:style w:type="character" w:customStyle="1" w:styleId="headline-content2">
    <w:name w:val="headline-content2"/>
    <w:basedOn w:val="a0"/>
    <w:rsid w:val="00F111D9"/>
  </w:style>
  <w:style w:type="character" w:customStyle="1" w:styleId="textediteditable-title">
    <w:name w:val="text_edit editable-title"/>
    <w:basedOn w:val="a0"/>
    <w:rsid w:val="00F1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1351">
                      <w:marLeft w:val="0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436">
                      <w:marLeft w:val="0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6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205</Words>
  <Characters>1170</Characters>
  <Application>Microsoft Office Word</Application>
  <DocSecurity>0</DocSecurity>
  <Lines>9</Lines>
  <Paragraphs>2</Paragraphs>
  <ScaleCrop>false</ScaleCrop>
  <Company> 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《手术无影灯和诊断用照明灯安全专用要求》标准编制说明</dc:title>
  <dc:subject/>
  <dc:creator>WSL</dc:creator>
  <cp:keywords/>
  <cp:lastModifiedBy>Microsoft 帐户</cp:lastModifiedBy>
  <cp:revision>9</cp:revision>
  <cp:lastPrinted>2007-08-09T02:58:00Z</cp:lastPrinted>
  <dcterms:created xsi:type="dcterms:W3CDTF">2017-08-26T13:49:00Z</dcterms:created>
  <dcterms:modified xsi:type="dcterms:W3CDTF">2019-07-30T03:03:00Z</dcterms:modified>
</cp:coreProperties>
</file>